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54"/>
        <w:gridCol w:w="948"/>
        <w:gridCol w:w="1488"/>
        <w:gridCol w:w="5785"/>
      </w:tblGrid>
      <w:tr w:rsidR="007C0528">
        <w:tc>
          <w:tcPr>
            <w:tcW w:w="2202" w:type="dxa"/>
            <w:gridSpan w:val="2"/>
            <w:tcBorders>
              <w:top w:val="nil"/>
              <w:left w:val="nil"/>
              <w:bottom w:val="single" w:sz="24" w:space="0" w:color="auto"/>
              <w:right w:val="nil"/>
            </w:tcBorders>
            <w:shd w:val="clear" w:color="auto" w:fill="auto"/>
            <w:tcMar>
              <w:top w:w="0" w:type="dxa"/>
              <w:left w:w="0" w:type="dxa"/>
              <w:bottom w:w="0" w:type="dxa"/>
              <w:right w:w="0" w:type="dxa"/>
            </w:tcMar>
          </w:tcPr>
          <w:p w:rsidR="007C0528" w:rsidRDefault="007C0528" w:rsidP="00532DFB">
            <w:pPr>
              <w:pStyle w:val="MastHeadState"/>
            </w:pPr>
            <w:bookmarkStart w:id="0" w:name="_GoBack"/>
            <w:bookmarkEnd w:id="0"/>
            <w:r>
              <w:t>State of Florida</w:t>
            </w:r>
          </w:p>
          <w:p w:rsidR="007C0528" w:rsidRDefault="00072CCA">
            <w:pPr>
              <w:jc w:val="center"/>
            </w:pPr>
            <w:r>
              <w:rPr>
                <w:noProof/>
              </w:rPr>
              <w:drawing>
                <wp:inline distT="0" distB="0" distL="0" distR="0">
                  <wp:extent cx="923925" cy="914400"/>
                  <wp:effectExtent l="0" t="0" r="9525" b="0"/>
                  <wp:docPr id="1" name="Picture 1" descr="psc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cSEA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23925" cy="914400"/>
                          </a:xfrm>
                          <a:prstGeom prst="rect">
                            <a:avLst/>
                          </a:prstGeom>
                          <a:noFill/>
                          <a:ln>
                            <a:noFill/>
                          </a:ln>
                        </pic:spPr>
                      </pic:pic>
                    </a:graphicData>
                  </a:graphic>
                </wp:inline>
              </w:drawing>
            </w:r>
          </w:p>
          <w:p w:rsidR="007C0528" w:rsidRDefault="007C0528"/>
        </w:tc>
        <w:tc>
          <w:tcPr>
            <w:tcW w:w="7273" w:type="dxa"/>
            <w:gridSpan w:val="2"/>
            <w:tcBorders>
              <w:top w:val="nil"/>
              <w:left w:val="nil"/>
              <w:bottom w:val="single" w:sz="24" w:space="0" w:color="auto"/>
              <w:right w:val="nil"/>
            </w:tcBorders>
            <w:shd w:val="clear" w:color="auto" w:fill="auto"/>
            <w:vAlign w:val="bottom"/>
          </w:tcPr>
          <w:p w:rsidR="007C0528" w:rsidRDefault="007C0528">
            <w:pPr>
              <w:pStyle w:val="MastHeadPSC"/>
            </w:pPr>
            <w:r>
              <w:t>Public Service Commission</w:t>
            </w:r>
          </w:p>
          <w:p w:rsidR="007C0528" w:rsidRDefault="007C0528">
            <w:pPr>
              <w:pStyle w:val="MastHeadAddress"/>
            </w:pPr>
            <w:r>
              <w:t>Capital Circle Office Center ● 2540 Shumard Oak Boulevard</w:t>
            </w:r>
            <w:r>
              <w:br/>
              <w:t>Tallahassee, Florida 32399-0850</w:t>
            </w:r>
          </w:p>
          <w:p w:rsidR="007C0528" w:rsidRDefault="007C0528">
            <w:pPr>
              <w:pStyle w:val="MastHeadMemorandum"/>
            </w:pPr>
            <w:r>
              <w:t>-M-E-M-O-R-A-N-D-U-M-</w:t>
            </w:r>
          </w:p>
          <w:p w:rsidR="007C0528" w:rsidRDefault="007C0528">
            <w:pPr>
              <w:pStyle w:val="MemoHeading"/>
            </w:pPr>
          </w:p>
        </w:tc>
      </w:tr>
      <w:tr w:rsidR="007C0528">
        <w:tc>
          <w:tcPr>
            <w:tcW w:w="1254" w:type="dxa"/>
            <w:tcBorders>
              <w:top w:val="single" w:sz="24" w:space="0" w:color="auto"/>
              <w:left w:val="nil"/>
              <w:bottom w:val="nil"/>
              <w:right w:val="nil"/>
            </w:tcBorders>
            <w:shd w:val="clear" w:color="auto" w:fill="auto"/>
            <w:tcMar>
              <w:top w:w="288" w:type="dxa"/>
              <w:bottom w:w="0" w:type="dxa"/>
              <w:right w:w="0" w:type="dxa"/>
            </w:tcMar>
          </w:tcPr>
          <w:p w:rsidR="007C0528" w:rsidRDefault="007C0528" w:rsidP="00506C03">
            <w:pPr>
              <w:pStyle w:val="MemoHeadingLabel"/>
            </w:pPr>
            <w:r>
              <w:t>DATE:</w:t>
            </w:r>
          </w:p>
        </w:tc>
        <w:tc>
          <w:tcPr>
            <w:tcW w:w="8221" w:type="dxa"/>
            <w:gridSpan w:val="3"/>
            <w:tcBorders>
              <w:top w:val="single" w:sz="24" w:space="0" w:color="auto"/>
              <w:left w:val="nil"/>
              <w:bottom w:val="nil"/>
              <w:right w:val="nil"/>
            </w:tcBorders>
            <w:shd w:val="clear" w:color="auto" w:fill="auto"/>
            <w:tcMar>
              <w:bottom w:w="0" w:type="dxa"/>
            </w:tcMar>
          </w:tcPr>
          <w:p w:rsidR="007C0528" w:rsidRDefault="009C5C10">
            <w:pPr>
              <w:pStyle w:val="MemoHeading"/>
            </w:pPr>
            <w:bookmarkStart w:id="1" w:name="FilingDate"/>
            <w:r>
              <w:t>November 23, 2021</w:t>
            </w:r>
            <w:bookmarkEnd w:id="1"/>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TO:</w:t>
            </w:r>
          </w:p>
        </w:tc>
        <w:tc>
          <w:tcPr>
            <w:tcW w:w="8221" w:type="dxa"/>
            <w:gridSpan w:val="3"/>
            <w:tcBorders>
              <w:top w:val="nil"/>
              <w:left w:val="nil"/>
              <w:bottom w:val="nil"/>
              <w:right w:val="nil"/>
            </w:tcBorders>
            <w:shd w:val="clear" w:color="auto" w:fill="auto"/>
            <w:tcMar>
              <w:top w:w="288" w:type="dxa"/>
              <w:bottom w:w="0" w:type="dxa"/>
            </w:tcMar>
          </w:tcPr>
          <w:p w:rsidR="007C0528" w:rsidRDefault="007C0528" w:rsidP="0093658B">
            <w:pPr>
              <w:pStyle w:val="MemoHeading"/>
            </w:pPr>
            <w:r>
              <w:t>Office of Commission Clerk (</w:t>
            </w:r>
            <w:r w:rsidR="004E69B5">
              <w:t>Teitzman</w:t>
            </w:r>
            <w:r>
              <w:t>)</w:t>
            </w:r>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FROM:</w:t>
            </w:r>
          </w:p>
        </w:tc>
        <w:tc>
          <w:tcPr>
            <w:tcW w:w="8221" w:type="dxa"/>
            <w:gridSpan w:val="3"/>
            <w:tcBorders>
              <w:top w:val="nil"/>
              <w:left w:val="nil"/>
              <w:bottom w:val="nil"/>
              <w:right w:val="nil"/>
            </w:tcBorders>
            <w:shd w:val="clear" w:color="auto" w:fill="auto"/>
            <w:tcMar>
              <w:top w:w="288" w:type="dxa"/>
              <w:bottom w:w="0" w:type="dxa"/>
            </w:tcMar>
          </w:tcPr>
          <w:p w:rsidR="009C5C10" w:rsidRDefault="009C5C10">
            <w:pPr>
              <w:pStyle w:val="MemoHeading"/>
            </w:pPr>
            <w:bookmarkStart w:id="2" w:name="From"/>
            <w:r>
              <w:t>Division of Economics (Guffey)</w:t>
            </w:r>
          </w:p>
          <w:p w:rsidR="007C0528" w:rsidRDefault="009C5C10">
            <w:pPr>
              <w:pStyle w:val="MemoHeading"/>
            </w:pPr>
            <w:r>
              <w:t>Office of the General Counsel (Sandy, Crawford)</w:t>
            </w:r>
            <w:bookmarkEnd w:id="2"/>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RE:</w:t>
            </w:r>
          </w:p>
        </w:tc>
        <w:tc>
          <w:tcPr>
            <w:tcW w:w="8221" w:type="dxa"/>
            <w:gridSpan w:val="3"/>
            <w:tcBorders>
              <w:top w:val="nil"/>
              <w:left w:val="nil"/>
              <w:bottom w:val="nil"/>
              <w:right w:val="nil"/>
            </w:tcBorders>
            <w:shd w:val="clear" w:color="auto" w:fill="auto"/>
            <w:tcMar>
              <w:top w:w="288" w:type="dxa"/>
            </w:tcMar>
          </w:tcPr>
          <w:p w:rsidR="007C0528" w:rsidRDefault="009C5C10">
            <w:pPr>
              <w:pStyle w:val="MemoHeadingRe"/>
            </w:pPr>
            <w:bookmarkStart w:id="3" w:name="Re"/>
            <w:r>
              <w:t>Docket No. 20210160-EU – Joint petition for approval of modification to territorial agreement in Orange County, by City of Winter Park and Duke Energy Florida, LLC.</w:t>
            </w:r>
            <w:bookmarkEnd w:id="3"/>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AGENDA:</w:t>
            </w:r>
          </w:p>
        </w:tc>
        <w:tc>
          <w:tcPr>
            <w:tcW w:w="8221" w:type="dxa"/>
            <w:gridSpan w:val="3"/>
            <w:tcBorders>
              <w:top w:val="nil"/>
              <w:left w:val="nil"/>
              <w:bottom w:val="nil"/>
              <w:right w:val="nil"/>
            </w:tcBorders>
            <w:shd w:val="clear" w:color="auto" w:fill="auto"/>
            <w:tcMar>
              <w:top w:w="288" w:type="dxa"/>
            </w:tcMar>
          </w:tcPr>
          <w:p w:rsidR="007C0528" w:rsidRDefault="009C5C10">
            <w:pPr>
              <w:pStyle w:val="MemoHeading"/>
            </w:pPr>
            <w:bookmarkStart w:id="4" w:name="AgendaDate"/>
            <w:r>
              <w:t>12/07/21</w:t>
            </w:r>
            <w:bookmarkEnd w:id="4"/>
            <w:r w:rsidR="007C0528">
              <w:t xml:space="preserve"> – </w:t>
            </w:r>
            <w:bookmarkStart w:id="5" w:name="PermittedStatus"/>
            <w:r>
              <w:t>Regular Agenda – Proposed Agency Action – Interested Persons May Participate</w:t>
            </w:r>
            <w:bookmarkEnd w:id="5"/>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COMMISSIONERS ASSIGNED:</w:t>
            </w:r>
          </w:p>
        </w:tc>
        <w:tc>
          <w:tcPr>
            <w:tcW w:w="5785" w:type="dxa"/>
            <w:tcBorders>
              <w:top w:val="nil"/>
              <w:left w:val="nil"/>
              <w:bottom w:val="nil"/>
              <w:right w:val="nil"/>
            </w:tcBorders>
            <w:shd w:val="clear" w:color="auto" w:fill="auto"/>
          </w:tcPr>
          <w:p w:rsidR="007C0528" w:rsidRDefault="009C5C10">
            <w:pPr>
              <w:pStyle w:val="MemoHeading"/>
            </w:pPr>
            <w:bookmarkStart w:id="6" w:name="CommissionersAssigned"/>
            <w:r>
              <w:t>All Commissioners</w:t>
            </w:r>
            <w:bookmarkEnd w:id="6"/>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PREHEARING OFFICER:</w:t>
            </w:r>
          </w:p>
        </w:tc>
        <w:tc>
          <w:tcPr>
            <w:tcW w:w="5785" w:type="dxa"/>
            <w:tcBorders>
              <w:top w:val="nil"/>
              <w:left w:val="nil"/>
              <w:bottom w:val="nil"/>
              <w:right w:val="nil"/>
            </w:tcBorders>
            <w:shd w:val="clear" w:color="auto" w:fill="auto"/>
          </w:tcPr>
          <w:p w:rsidR="007C0528" w:rsidRDefault="009C5C10">
            <w:pPr>
              <w:pStyle w:val="MemoHeading"/>
            </w:pPr>
            <w:bookmarkStart w:id="7" w:name="PrehearingOfficer"/>
            <w:r>
              <w:t>Passidomo</w:t>
            </w:r>
            <w:bookmarkEnd w:id="7"/>
          </w:p>
        </w:tc>
      </w:tr>
      <w:tr w:rsidR="007C0528" w:rsidTr="0093658B">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bookmarkStart w:id="8" w:name="CriticalDatesLabel"/>
            <w:r>
              <w:t>CRITICAL DATES:</w:t>
            </w:r>
            <w:bookmarkEnd w:id="8"/>
          </w:p>
        </w:tc>
        <w:tc>
          <w:tcPr>
            <w:tcW w:w="5785" w:type="dxa"/>
            <w:tcBorders>
              <w:top w:val="nil"/>
              <w:left w:val="nil"/>
              <w:bottom w:val="nil"/>
              <w:right w:val="nil"/>
            </w:tcBorders>
            <w:shd w:val="clear" w:color="auto" w:fill="auto"/>
          </w:tcPr>
          <w:p w:rsidR="007C0528" w:rsidRDefault="009C5C10">
            <w:pPr>
              <w:pStyle w:val="MemoHeading"/>
            </w:pPr>
            <w:bookmarkStart w:id="9" w:name="CriticalDates"/>
            <w:r>
              <w:t>None</w:t>
            </w:r>
            <w:bookmarkEnd w:id="9"/>
          </w:p>
        </w:tc>
      </w:tr>
      <w:tr w:rsidR="007C0528" w:rsidTr="0093658B">
        <w:tc>
          <w:tcPr>
            <w:tcW w:w="3690" w:type="dxa"/>
            <w:gridSpan w:val="3"/>
            <w:tcBorders>
              <w:top w:val="nil"/>
              <w:left w:val="nil"/>
              <w:bottom w:val="single" w:sz="24" w:space="0" w:color="auto"/>
              <w:right w:val="nil"/>
            </w:tcBorders>
            <w:shd w:val="clear" w:color="auto" w:fill="auto"/>
            <w:tcMar>
              <w:top w:w="288" w:type="dxa"/>
              <w:bottom w:w="216" w:type="dxa"/>
              <w:right w:w="0" w:type="dxa"/>
            </w:tcMar>
          </w:tcPr>
          <w:p w:rsidR="007C0528" w:rsidRDefault="007C0528" w:rsidP="00506C03">
            <w:pPr>
              <w:pStyle w:val="MemoHeadingLabel"/>
            </w:pPr>
            <w:r>
              <w:t>SPECIAL INSTRUCTIONS:</w:t>
            </w:r>
          </w:p>
        </w:tc>
        <w:tc>
          <w:tcPr>
            <w:tcW w:w="5785" w:type="dxa"/>
            <w:tcBorders>
              <w:top w:val="nil"/>
              <w:left w:val="nil"/>
              <w:bottom w:val="single" w:sz="24" w:space="0" w:color="auto"/>
              <w:right w:val="nil"/>
            </w:tcBorders>
            <w:shd w:val="clear" w:color="auto" w:fill="auto"/>
            <w:tcMar>
              <w:bottom w:w="216" w:type="dxa"/>
            </w:tcMar>
          </w:tcPr>
          <w:p w:rsidR="007C0528" w:rsidRDefault="009C5C10">
            <w:pPr>
              <w:pStyle w:val="MemoHeading"/>
            </w:pPr>
            <w:bookmarkStart w:id="10" w:name="SpecialInstructions"/>
            <w:r>
              <w:t>None</w:t>
            </w:r>
            <w:bookmarkEnd w:id="10"/>
          </w:p>
        </w:tc>
      </w:tr>
    </w:tbl>
    <w:p w:rsidR="007C0528" w:rsidRDefault="007C0528">
      <w:pPr>
        <w:pStyle w:val="BodyText"/>
      </w:pPr>
    </w:p>
    <w:p w:rsidR="007C0528" w:rsidRDefault="007C0528">
      <w:pPr>
        <w:pStyle w:val="RecommendationMajorSectionHeading"/>
      </w:pPr>
      <w:bookmarkStart w:id="11" w:name="RecToC"/>
      <w:bookmarkEnd w:id="11"/>
      <w:r>
        <w:t xml:space="preserve"> </w:t>
      </w:r>
      <w:bookmarkStart w:id="12" w:name="CaseBackground"/>
      <w:r>
        <w:t>Case Background</w:t>
      </w:r>
      <w:r>
        <w:fldChar w:fldCharType="begin"/>
      </w:r>
      <w:r>
        <w:instrText xml:space="preserve"> TC  "</w:instrText>
      </w:r>
      <w:r>
        <w:tab/>
      </w:r>
      <w:bookmarkStart w:id="13" w:name="_Toc94516455"/>
      <w:r>
        <w:instrText>Case Background</w:instrText>
      </w:r>
      <w:bookmarkEnd w:id="13"/>
      <w:r>
        <w:instrText xml:space="preserve">" \l 1 </w:instrText>
      </w:r>
      <w:r>
        <w:fldChar w:fldCharType="end"/>
      </w:r>
    </w:p>
    <w:p w:rsidR="0068481F" w:rsidRDefault="00CB087C">
      <w:pPr>
        <w:pStyle w:val="BodyText"/>
      </w:pPr>
      <w:r>
        <w:t>On September 27, 2021, the City of Winter Park (Winter Park</w:t>
      </w:r>
      <w:r w:rsidR="0053392F">
        <w:t xml:space="preserve"> or City</w:t>
      </w:r>
      <w:r>
        <w:t>) and Duke Energy Florida, LLC</w:t>
      </w:r>
      <w:r w:rsidR="00ED3B75">
        <w:t xml:space="preserve"> </w:t>
      </w:r>
      <w:r>
        <w:t xml:space="preserve">(DEF) filed a joint petition for approval of </w:t>
      </w:r>
      <w:r w:rsidR="004232F7">
        <w:t>an</w:t>
      </w:r>
      <w:r w:rsidR="001442DB">
        <w:t xml:space="preserve"> amendment </w:t>
      </w:r>
      <w:r w:rsidR="00F248BA">
        <w:t xml:space="preserve">(First Amendment) </w:t>
      </w:r>
      <w:r>
        <w:t xml:space="preserve">to their </w:t>
      </w:r>
      <w:r w:rsidR="001442DB">
        <w:t xml:space="preserve">currently </w:t>
      </w:r>
      <w:r w:rsidR="00A41D6C">
        <w:t>effective</w:t>
      </w:r>
      <w:r w:rsidR="001442DB">
        <w:t xml:space="preserve"> </w:t>
      </w:r>
      <w:r>
        <w:t xml:space="preserve">territorial agreement in Orange County. </w:t>
      </w:r>
      <w:r w:rsidR="00D61609">
        <w:t>In 2005, t</w:t>
      </w:r>
      <w:r w:rsidR="004D7C49">
        <w:t>he City of Winter Park purchased DEF’s facilities and established a municipal utility to provide service with</w:t>
      </w:r>
      <w:r w:rsidR="00D61609">
        <w:t>in</w:t>
      </w:r>
      <w:r w:rsidR="004D7C49">
        <w:t xml:space="preserve"> the City.</w:t>
      </w:r>
      <w:r w:rsidR="00D61609" w:rsidRPr="00A85589">
        <w:rPr>
          <w:rStyle w:val="FootnoteReference"/>
        </w:rPr>
        <w:footnoteReference w:id="1"/>
      </w:r>
      <w:r w:rsidR="00D61609">
        <w:t xml:space="preserve"> In 2014,</w:t>
      </w:r>
      <w:r w:rsidR="004D7C49">
        <w:t xml:space="preserve"> </w:t>
      </w:r>
      <w:r>
        <w:t xml:space="preserve">the Commission </w:t>
      </w:r>
      <w:r w:rsidR="004232F7">
        <w:t>approved</w:t>
      </w:r>
      <w:r>
        <w:t xml:space="preserve"> the joint petitioners</w:t>
      </w:r>
      <w:r w:rsidR="00F238C0">
        <w:t>’</w:t>
      </w:r>
      <w:r>
        <w:t xml:space="preserve"> </w:t>
      </w:r>
      <w:r w:rsidR="004232F7">
        <w:t>currently effective territorial agreement</w:t>
      </w:r>
      <w:r w:rsidR="007F075F">
        <w:t>.</w:t>
      </w:r>
      <w:r w:rsidR="006A6502">
        <w:rPr>
          <w:rStyle w:val="FootnoteReference"/>
        </w:rPr>
        <w:footnoteReference w:id="2"/>
      </w:r>
      <w:r w:rsidR="007F075F">
        <w:t xml:space="preserve"> </w:t>
      </w:r>
      <w:r>
        <w:t xml:space="preserve">The proposed </w:t>
      </w:r>
      <w:r w:rsidR="005F46A9">
        <w:t>First A</w:t>
      </w:r>
      <w:r>
        <w:t xml:space="preserve">mendment to the agreement </w:t>
      </w:r>
      <w:r w:rsidR="007F075F">
        <w:t>seek</w:t>
      </w:r>
      <w:r w:rsidR="00F238C0">
        <w:t>s</w:t>
      </w:r>
      <w:r w:rsidR="007F075F">
        <w:t xml:space="preserve"> to </w:t>
      </w:r>
      <w:r w:rsidR="00D61609">
        <w:t xml:space="preserve">further </w:t>
      </w:r>
      <w:r w:rsidR="00E545F1">
        <w:t>redefine</w:t>
      </w:r>
      <w:r w:rsidR="007F075F">
        <w:t xml:space="preserve"> </w:t>
      </w:r>
      <w:r w:rsidR="006A6502">
        <w:t xml:space="preserve">the </w:t>
      </w:r>
      <w:r w:rsidR="006A6502">
        <w:lastRenderedPageBreak/>
        <w:t xml:space="preserve">parties’ </w:t>
      </w:r>
      <w:r w:rsidR="007F075F">
        <w:t xml:space="preserve">specific service </w:t>
      </w:r>
      <w:r w:rsidR="006A6502">
        <w:t>area</w:t>
      </w:r>
      <w:r w:rsidR="00C517C9">
        <w:t>s</w:t>
      </w:r>
      <w:r w:rsidR="006A6502">
        <w:t xml:space="preserve"> in Winter Park. </w:t>
      </w:r>
      <w:r>
        <w:t xml:space="preserve">The </w:t>
      </w:r>
      <w:r w:rsidR="006A6502">
        <w:t xml:space="preserve">proposed First Amendment </w:t>
      </w:r>
      <w:r>
        <w:t>and associated maps</w:t>
      </w:r>
      <w:r w:rsidR="000F6006">
        <w:t xml:space="preserve"> indicating the </w:t>
      </w:r>
      <w:r w:rsidR="00644E98">
        <w:t>service</w:t>
      </w:r>
      <w:r w:rsidR="000F6006">
        <w:t xml:space="preserve"> area revisions</w:t>
      </w:r>
      <w:r>
        <w:t xml:space="preserve"> are </w:t>
      </w:r>
      <w:r w:rsidR="006A6502">
        <w:t xml:space="preserve">included in Attachment A to this recommendation. </w:t>
      </w:r>
    </w:p>
    <w:p w:rsidR="006A6502" w:rsidRDefault="006A6502">
      <w:pPr>
        <w:pStyle w:val="BodyText"/>
      </w:pPr>
      <w:r>
        <w:t xml:space="preserve">During the </w:t>
      </w:r>
      <w:r w:rsidR="00E545F1">
        <w:t>review</w:t>
      </w:r>
      <w:r>
        <w:t xml:space="preserve"> process, staff issued </w:t>
      </w:r>
      <w:r w:rsidR="00F248BA">
        <w:t>two</w:t>
      </w:r>
      <w:r>
        <w:t xml:space="preserve"> data </w:t>
      </w:r>
      <w:r w:rsidR="00E545F1">
        <w:t>request</w:t>
      </w:r>
      <w:r w:rsidR="00F248BA">
        <w:t>s</w:t>
      </w:r>
      <w:r>
        <w:t xml:space="preserve"> to the </w:t>
      </w:r>
      <w:r w:rsidR="00E545F1">
        <w:t>joint</w:t>
      </w:r>
      <w:r>
        <w:t xml:space="preserve"> petitioners</w:t>
      </w:r>
      <w:r w:rsidR="00C45D38">
        <w:t>,</w:t>
      </w:r>
      <w:r>
        <w:t xml:space="preserve"> to which the responses were received on </w:t>
      </w:r>
      <w:r w:rsidR="002355F4">
        <w:t>October 26</w:t>
      </w:r>
      <w:r w:rsidR="00B346E2">
        <w:t xml:space="preserve"> </w:t>
      </w:r>
      <w:r w:rsidR="00F248BA">
        <w:t xml:space="preserve">and on </w:t>
      </w:r>
      <w:r w:rsidR="00C517C9">
        <w:t>November 9, 2021</w:t>
      </w:r>
      <w:r>
        <w:t xml:space="preserve">. </w:t>
      </w:r>
      <w:r w:rsidR="0035523D" w:rsidRPr="00A85589">
        <w:t xml:space="preserve">On November 17, 2021, DEF provided </w:t>
      </w:r>
      <w:r w:rsidR="000F6006" w:rsidRPr="00A85589">
        <w:t xml:space="preserve">an email, which has been placed in the docket file, with </w:t>
      </w:r>
      <w:r w:rsidR="0035523D" w:rsidRPr="00A85589">
        <w:t xml:space="preserve">additional clarifications on the process leading up to the proposed </w:t>
      </w:r>
      <w:r w:rsidR="000F6006" w:rsidRPr="00A85589">
        <w:t>First A</w:t>
      </w:r>
      <w:r w:rsidR="0035523D" w:rsidRPr="00A85589">
        <w:t>mendment.</w:t>
      </w:r>
      <w:r w:rsidR="0035523D" w:rsidRPr="00A85589">
        <w:rPr>
          <w:rStyle w:val="FootnoteReference"/>
        </w:rPr>
        <w:footnoteReference w:id="3"/>
      </w:r>
      <w:r w:rsidR="0073787D" w:rsidRPr="00A85589">
        <w:t xml:space="preserve"> </w:t>
      </w:r>
      <w:r w:rsidR="00825F46" w:rsidRPr="00A85589">
        <w:t>On November 19, 2021, staff had a</w:t>
      </w:r>
      <w:r w:rsidR="0073787D" w:rsidRPr="00A85589">
        <w:t xml:space="preserve">n informal </w:t>
      </w:r>
      <w:r w:rsidR="00825F46" w:rsidRPr="00A85589">
        <w:t>conference call meeting with the joint petitioners to obtain further clarifications related to the proposed First Amendment.</w:t>
      </w:r>
      <w:r w:rsidR="00825F46">
        <w:t xml:space="preserve"> </w:t>
      </w:r>
      <w:r>
        <w:t xml:space="preserve">The Commission has jurisdiction over this matter pursuant to Section 366.04, Florida </w:t>
      </w:r>
      <w:r w:rsidR="00E545F1">
        <w:t>Statutes</w:t>
      </w:r>
      <w:r>
        <w:t xml:space="preserve"> (F.S.).</w:t>
      </w:r>
    </w:p>
    <w:p w:rsidR="007C0528" w:rsidRDefault="007C0528" w:rsidP="0068481F"/>
    <w:bookmarkEnd w:id="12"/>
    <w:p w:rsidR="00EA2273" w:rsidRDefault="00EA2273">
      <w:pPr>
        <w:pStyle w:val="RecommendationMajorSectionHeading"/>
        <w:sectPr w:rsidR="00EA2273">
          <w:headerReference w:type="default" r:id="rId9"/>
          <w:footerReference w:type="default" r:id="rId10"/>
          <w:type w:val="continuous"/>
          <w:pgSz w:w="12240" w:h="15840" w:code="1"/>
          <w:pgMar w:top="1584" w:right="1440" w:bottom="1440" w:left="1440" w:header="720" w:footer="720" w:gutter="0"/>
          <w:cols w:space="720"/>
          <w:formProt w:val="0"/>
          <w:titlePg/>
          <w:docGrid w:linePitch="360"/>
        </w:sectPr>
      </w:pPr>
    </w:p>
    <w:p w:rsidR="007C0528" w:rsidRDefault="007C0528">
      <w:pPr>
        <w:pStyle w:val="RecommendationMajorSectionHeading"/>
      </w:pPr>
      <w:bookmarkStart w:id="16" w:name="DiscussionOfIssues"/>
      <w:r>
        <w:lastRenderedPageBreak/>
        <w:t>Discussion of Issues</w:t>
      </w:r>
    </w:p>
    <w:bookmarkEnd w:id="16"/>
    <w:p w:rsidR="0076483D" w:rsidRDefault="0076483D">
      <w:pPr>
        <w:pStyle w:val="IssueHeading"/>
        <w:rPr>
          <w:vanish/>
          <w:specVanish/>
        </w:rPr>
      </w:pPr>
      <w:r w:rsidRPr="004C3641">
        <w:t xml:space="preserve">Issue </w:t>
      </w:r>
      <w:fldSimple w:instr=" SEQ Issue \* MERGEFORMAT ">
        <w:r w:rsidR="008012BE">
          <w:rPr>
            <w:noProof/>
          </w:rPr>
          <w:t>1</w:t>
        </w:r>
      </w:fldSimple>
      <w:r w:rsidRPr="004C3641">
        <w:t>:</w:t>
      </w:r>
      <w:r>
        <w:fldChar w:fldCharType="begin"/>
      </w:r>
      <w:r>
        <w:instrText xml:space="preserve"> TC "</w:instrText>
      </w:r>
      <w:r>
        <w:fldChar w:fldCharType="begin"/>
      </w:r>
      <w:r>
        <w:instrText xml:space="preserve"> SEQ issue \c </w:instrText>
      </w:r>
      <w:r>
        <w:fldChar w:fldCharType="separate"/>
      </w:r>
      <w:r w:rsidR="008012BE">
        <w:rPr>
          <w:noProof/>
        </w:rPr>
        <w:instrText>1</w:instrText>
      </w:r>
      <w:r>
        <w:fldChar w:fldCharType="end"/>
      </w:r>
      <w:r>
        <w:tab/>
        <w:instrText xml:space="preserve">(Guffey, Sandy)" \l 1 </w:instrText>
      </w:r>
      <w:r>
        <w:fldChar w:fldCharType="end"/>
      </w:r>
      <w:r>
        <w:t> </w:t>
      </w:r>
    </w:p>
    <w:p w:rsidR="0076483D" w:rsidRDefault="0076483D">
      <w:pPr>
        <w:pStyle w:val="BodyText"/>
      </w:pPr>
      <w:r>
        <w:t xml:space="preserve"> Should the Commission approve the </w:t>
      </w:r>
      <w:r w:rsidR="00FB4269">
        <w:t xml:space="preserve">proposed </w:t>
      </w:r>
      <w:r>
        <w:t xml:space="preserve">First Amendment to the current territorial agreement in Orange County between </w:t>
      </w:r>
      <w:r w:rsidR="00E630AC">
        <w:t>W</w:t>
      </w:r>
      <w:r>
        <w:t>inter Park and DEF?</w:t>
      </w:r>
    </w:p>
    <w:p w:rsidR="0076483D" w:rsidRPr="004C3641" w:rsidRDefault="0076483D">
      <w:pPr>
        <w:pStyle w:val="IssueSubsectionHeading"/>
        <w:rPr>
          <w:vanish/>
          <w:specVanish/>
        </w:rPr>
      </w:pPr>
      <w:r w:rsidRPr="004C3641">
        <w:t>Recommendation: </w:t>
      </w:r>
    </w:p>
    <w:p w:rsidR="0076483D" w:rsidRDefault="0076483D">
      <w:pPr>
        <w:pStyle w:val="BodyText"/>
      </w:pPr>
      <w:r>
        <w:t> </w:t>
      </w:r>
      <w:r w:rsidR="00E630AC">
        <w:t xml:space="preserve">Yes, the Commission should approve the proposed First Amendment to the current territorial agreement in Orange County between </w:t>
      </w:r>
      <w:r w:rsidR="00C517C9">
        <w:t>W</w:t>
      </w:r>
      <w:r w:rsidR="00E630AC">
        <w:t xml:space="preserve">inter Park and DEF. The approval of this amendment will not be a detriment to the public interest and will enable Winter Park and DEF </w:t>
      </w:r>
      <w:r w:rsidR="00F11C46">
        <w:t xml:space="preserve">to </w:t>
      </w:r>
      <w:r w:rsidR="00FA3DDE">
        <w:t>redefine</w:t>
      </w:r>
      <w:r w:rsidR="005F46A9">
        <w:t xml:space="preserve"> specific service area</w:t>
      </w:r>
      <w:r w:rsidR="00C517C9">
        <w:t>s</w:t>
      </w:r>
      <w:r w:rsidR="005F46A9">
        <w:t xml:space="preserve"> in the C</w:t>
      </w:r>
      <w:r w:rsidR="00F11C46">
        <w:t xml:space="preserve">ity of Winter Park. </w:t>
      </w:r>
      <w:r>
        <w:t>(Guffey, Sandy)</w:t>
      </w:r>
    </w:p>
    <w:p w:rsidR="0076483D" w:rsidRPr="004C3641" w:rsidRDefault="0076483D">
      <w:pPr>
        <w:pStyle w:val="IssueSubsectionHeading"/>
        <w:rPr>
          <w:vanish/>
          <w:specVanish/>
        </w:rPr>
      </w:pPr>
      <w:r w:rsidRPr="004C3641">
        <w:t>Staff Analysis: </w:t>
      </w:r>
    </w:p>
    <w:p w:rsidR="0076483D" w:rsidRDefault="0076483D">
      <w:pPr>
        <w:pStyle w:val="BodyText"/>
      </w:pPr>
      <w:r>
        <w:t> </w:t>
      </w:r>
      <w:r w:rsidR="00FA3DDE" w:rsidRPr="00BA36D8">
        <w:t>Pursuant to Section 366.04(2</w:t>
      </w:r>
      <w:proofErr w:type="gramStart"/>
      <w:r w:rsidR="00FA3DDE" w:rsidRPr="00BA36D8">
        <w:t>)(</w:t>
      </w:r>
      <w:proofErr w:type="gramEnd"/>
      <w:r w:rsidR="00FA3DDE" w:rsidRPr="00BA36D8">
        <w:t>d), F.S.</w:t>
      </w:r>
      <w:r w:rsidR="00FA3DDE">
        <w:t>, and</w:t>
      </w:r>
      <w:r w:rsidR="00FA3DDE" w:rsidRPr="009E3F7A">
        <w:t xml:space="preserve"> </w:t>
      </w:r>
      <w:r w:rsidR="00FA3DDE" w:rsidRPr="00BA36D8">
        <w:t xml:space="preserve">Rule 25-6.0440(2), </w:t>
      </w:r>
      <w:r w:rsidR="00C45D38">
        <w:t>Florida Administrative Code</w:t>
      </w:r>
      <w:r w:rsidR="00ED3B75">
        <w:t xml:space="preserve"> (F.A.C.)</w:t>
      </w:r>
      <w:r w:rsidR="00FA3DDE">
        <w:t>,</w:t>
      </w:r>
      <w:r w:rsidR="00FA3DDE" w:rsidRPr="00BA36D8">
        <w:t xml:space="preserve"> the Commission has the jurisdiction to approve territorial </w:t>
      </w:r>
      <w:r w:rsidR="00FA3DDE">
        <w:t>agreement</w:t>
      </w:r>
      <w:r w:rsidR="00FA3DDE" w:rsidRPr="00BA36D8">
        <w:t>s between and among rural electric cooperatives, municipal electric utilities, and other electric utilities.</w:t>
      </w:r>
      <w:r w:rsidR="00FA3DDE">
        <w:t xml:space="preserve"> </w:t>
      </w:r>
      <w:r w:rsidR="00FA3DDE" w:rsidRPr="00BA36D8">
        <w:t xml:space="preserve">Unless the Commission determines that the </w:t>
      </w:r>
      <w:r w:rsidR="00FA3DDE">
        <w:t>Agreement</w:t>
      </w:r>
      <w:r w:rsidR="00FA3DDE" w:rsidRPr="00BA36D8">
        <w:t xml:space="preserve"> will cause a detriment to the public interest, the </w:t>
      </w:r>
      <w:r w:rsidR="00FA3DDE">
        <w:t>Agreement</w:t>
      </w:r>
      <w:r w:rsidR="00FA3DDE" w:rsidRPr="00BA36D8">
        <w:t xml:space="preserve"> should be approved.</w:t>
      </w:r>
      <w:r w:rsidR="00FA3DDE" w:rsidRPr="00BA36D8">
        <w:rPr>
          <w:rStyle w:val="FootnoteReference"/>
        </w:rPr>
        <w:footnoteReference w:id="4"/>
      </w:r>
    </w:p>
    <w:p w:rsidR="00E06484" w:rsidRDefault="00FA3DDE" w:rsidP="00FA3DDE">
      <w:pPr>
        <w:pStyle w:val="First-LevelSubheading"/>
      </w:pPr>
      <w:r>
        <w:t>The Proposed First Amendment to the Territorial Agreement</w:t>
      </w:r>
    </w:p>
    <w:p w:rsidR="00B346E2" w:rsidRDefault="002355F4" w:rsidP="0062136D">
      <w:pPr>
        <w:pStyle w:val="BodyText"/>
      </w:pPr>
      <w:r>
        <w:t>Through this proposed First Amendment, t</w:t>
      </w:r>
      <w:r w:rsidR="0062136D">
        <w:t xml:space="preserve">he joint petitioners desire to </w:t>
      </w:r>
      <w:r w:rsidR="000A6C42">
        <w:t xml:space="preserve">redraw </w:t>
      </w:r>
      <w:r w:rsidR="000F6006">
        <w:t>certain small sections of the</w:t>
      </w:r>
      <w:r w:rsidR="0062136D">
        <w:t xml:space="preserve"> territorial boundaries in </w:t>
      </w:r>
      <w:r w:rsidR="000A6C42">
        <w:t xml:space="preserve">Winter Park. </w:t>
      </w:r>
      <w:r w:rsidR="000F6006">
        <w:t xml:space="preserve">The joint petitioners explained, that after the separation of the City from DEF and the 2014 territorial </w:t>
      </w:r>
      <w:r w:rsidR="00644E98">
        <w:t>agreement</w:t>
      </w:r>
      <w:r w:rsidR="000F6006">
        <w:t xml:space="preserve">, DEF </w:t>
      </w:r>
      <w:r w:rsidR="000B419F">
        <w:t>continued to serve</w:t>
      </w:r>
      <w:r w:rsidR="000F6006">
        <w:t xml:space="preserve"> certain </w:t>
      </w:r>
      <w:r w:rsidR="000B419F">
        <w:t xml:space="preserve">small </w:t>
      </w:r>
      <w:r w:rsidR="000F6006">
        <w:t>areas with</w:t>
      </w:r>
      <w:r w:rsidR="000B419F">
        <w:t>in</w:t>
      </w:r>
      <w:r w:rsidR="000F6006">
        <w:t xml:space="preserve"> the City. </w:t>
      </w:r>
      <w:r w:rsidR="000B419F">
        <w:t>The proposed First A</w:t>
      </w:r>
      <w:r w:rsidR="008C7405">
        <w:t>mendment</w:t>
      </w:r>
      <w:r w:rsidR="000B419F">
        <w:t xml:space="preserve"> addresses those areas still served by DEF within the City and would eliminate </w:t>
      </w:r>
      <w:r w:rsidR="008C7405">
        <w:t xml:space="preserve">potential </w:t>
      </w:r>
      <w:r w:rsidR="000B419F">
        <w:t xml:space="preserve">duplicate facilities, create </w:t>
      </w:r>
      <w:r w:rsidR="00D6260A">
        <w:t xml:space="preserve">contiguous </w:t>
      </w:r>
      <w:r w:rsidR="000B419F">
        <w:t xml:space="preserve">boundaries, and address certain parcels that were split by the current territorial boundaries. </w:t>
      </w:r>
      <w:r w:rsidR="00A63288">
        <w:t>Pursuant to Paragraph 3 of the First Amendment, 11 DEF customers (ni</w:t>
      </w:r>
      <w:r w:rsidR="00432284">
        <w:t>n</w:t>
      </w:r>
      <w:r w:rsidR="00A63288">
        <w:t xml:space="preserve">e commercial and two residential) will be transferred to Winter Park. </w:t>
      </w:r>
      <w:r w:rsidR="000B419F">
        <w:t>R</w:t>
      </w:r>
      <w:r w:rsidR="00EE6F28">
        <w:t>evised Exhibit F</w:t>
      </w:r>
      <w:r w:rsidR="009B5260">
        <w:t xml:space="preserve">, as shown on Page 19 of 26 in Attachment A to the </w:t>
      </w:r>
      <w:r w:rsidR="00FD55AB">
        <w:t>recommendation</w:t>
      </w:r>
      <w:r w:rsidR="009B5260">
        <w:t xml:space="preserve">, </w:t>
      </w:r>
      <w:r w:rsidR="00FA67ED">
        <w:t>clarified</w:t>
      </w:r>
      <w:r w:rsidR="00EE6F28">
        <w:t xml:space="preserve"> that </w:t>
      </w:r>
      <w:r w:rsidR="009B5260">
        <w:t xml:space="preserve">of </w:t>
      </w:r>
      <w:r w:rsidR="00F238C0">
        <w:t xml:space="preserve">the </w:t>
      </w:r>
      <w:r w:rsidR="009B5260">
        <w:t xml:space="preserve">11 customers to be transferred to the City, </w:t>
      </w:r>
      <w:r w:rsidR="00FA67ED">
        <w:t xml:space="preserve">seven are existing customers and </w:t>
      </w:r>
      <w:r w:rsidR="00EE6F28">
        <w:t xml:space="preserve">four </w:t>
      </w:r>
      <w:r w:rsidR="00FA67ED">
        <w:t xml:space="preserve">are vacant </w:t>
      </w:r>
      <w:r w:rsidR="00EE6F28">
        <w:t>parcels.</w:t>
      </w:r>
      <w:r w:rsidR="00EE6F28">
        <w:rPr>
          <w:rStyle w:val="FootnoteReference"/>
        </w:rPr>
        <w:footnoteReference w:id="5"/>
      </w:r>
      <w:r w:rsidR="009B5260">
        <w:t xml:space="preserve"> No customers will be transferred from the City to DEF.</w:t>
      </w:r>
    </w:p>
    <w:p w:rsidR="00F70AE7" w:rsidRDefault="0087256D" w:rsidP="0062136D">
      <w:pPr>
        <w:pStyle w:val="BodyText"/>
      </w:pPr>
      <w:r w:rsidRPr="00A85589">
        <w:t>During the November 19, 2021 conference call meeting</w:t>
      </w:r>
      <w:r w:rsidR="0035523D" w:rsidRPr="00A85589">
        <w:t xml:space="preserve"> with staff</w:t>
      </w:r>
      <w:r w:rsidRPr="00A85589">
        <w:t xml:space="preserve">, the joint petitioners stated that </w:t>
      </w:r>
      <w:r w:rsidR="0035523D" w:rsidRPr="00A85589">
        <w:t xml:space="preserve">in an effort to have </w:t>
      </w:r>
      <w:r w:rsidR="006340F1" w:rsidRPr="00A85589">
        <w:t xml:space="preserve">a </w:t>
      </w:r>
      <w:r w:rsidR="0035523D" w:rsidRPr="00A85589">
        <w:t>more contiguous boundary</w:t>
      </w:r>
      <w:r w:rsidR="0073787D" w:rsidRPr="00A85589">
        <w:t>,</w:t>
      </w:r>
      <w:r w:rsidR="0035523D" w:rsidRPr="00A85589">
        <w:t xml:space="preserve"> and avoid duplication of service, </w:t>
      </w:r>
      <w:r w:rsidRPr="00A85589">
        <w:t>DEF approached the City</w:t>
      </w:r>
      <w:r w:rsidR="004D7C49" w:rsidRPr="00A85589">
        <w:t>, after a review of its service territory,</w:t>
      </w:r>
      <w:r w:rsidRPr="00A85589">
        <w:t xml:space="preserve"> regarding the transfer of </w:t>
      </w:r>
      <w:r w:rsidR="0035523D" w:rsidRPr="00A85589">
        <w:t xml:space="preserve">certain parcels </w:t>
      </w:r>
      <w:r w:rsidRPr="00A85589">
        <w:t xml:space="preserve">within </w:t>
      </w:r>
      <w:r w:rsidR="006340F1" w:rsidRPr="00A85589">
        <w:t xml:space="preserve">the </w:t>
      </w:r>
      <w:r w:rsidRPr="00A85589">
        <w:t xml:space="preserve">City’s boundary </w:t>
      </w:r>
      <w:r w:rsidR="006340F1" w:rsidRPr="00A85589">
        <w:t xml:space="preserve">that are currently </w:t>
      </w:r>
      <w:r w:rsidRPr="00A85589">
        <w:t xml:space="preserve">served by DEF. The </w:t>
      </w:r>
      <w:r w:rsidR="006340F1" w:rsidRPr="00A85589">
        <w:t xml:space="preserve">joint petitioners </w:t>
      </w:r>
      <w:r w:rsidRPr="00A85589">
        <w:t xml:space="preserve">agreed to transfer </w:t>
      </w:r>
      <w:r w:rsidR="006340F1" w:rsidRPr="00A85589">
        <w:t>seven existing DEF</w:t>
      </w:r>
      <w:r w:rsidRPr="00A85589">
        <w:t xml:space="preserve"> customers</w:t>
      </w:r>
      <w:r w:rsidR="006340F1" w:rsidRPr="00A85589">
        <w:t xml:space="preserve"> and four vacant lots within DEF’s service area to the City of Winter Park</w:t>
      </w:r>
      <w:r w:rsidRPr="00A85589">
        <w:t xml:space="preserve">. </w:t>
      </w:r>
      <w:r w:rsidR="006340F1" w:rsidRPr="00A85589">
        <w:t xml:space="preserve">In addition, the joint petitioners agreed to transfer the </w:t>
      </w:r>
      <w:r w:rsidR="008C7405">
        <w:t xml:space="preserve">service of the </w:t>
      </w:r>
      <w:r w:rsidR="00095ABF">
        <w:t xml:space="preserve">land parcel </w:t>
      </w:r>
      <w:r w:rsidR="00B355E8">
        <w:t xml:space="preserve">which includes the </w:t>
      </w:r>
      <w:r w:rsidR="006340F1" w:rsidRPr="00A85589">
        <w:t xml:space="preserve">City’s </w:t>
      </w:r>
      <w:r w:rsidRPr="00A85589">
        <w:t>wastewater treatment plant</w:t>
      </w:r>
      <w:r w:rsidR="006340F1" w:rsidRPr="00A85589">
        <w:t>,</w:t>
      </w:r>
      <w:r w:rsidRPr="00A85589">
        <w:t xml:space="preserve"> </w:t>
      </w:r>
      <w:r w:rsidR="006340F1" w:rsidRPr="00A85589">
        <w:t xml:space="preserve">which </w:t>
      </w:r>
      <w:r w:rsidRPr="00A85589">
        <w:t>has been temporarily served by DEF for many years</w:t>
      </w:r>
      <w:r w:rsidR="004D7C49" w:rsidRPr="00A85589">
        <w:t>,</w:t>
      </w:r>
      <w:r w:rsidRPr="00A85589">
        <w:t xml:space="preserve"> </w:t>
      </w:r>
      <w:r w:rsidR="006340F1" w:rsidRPr="00A85589">
        <w:t>to DEF</w:t>
      </w:r>
      <w:r w:rsidR="004D7C49" w:rsidRPr="00A85589">
        <w:t xml:space="preserve"> as the City has no facilities nearby to economically extend service to the wastewater treatment plant</w:t>
      </w:r>
      <w:r w:rsidR="00D6260A">
        <w:t>.</w:t>
      </w:r>
    </w:p>
    <w:p w:rsidR="0062136D" w:rsidRDefault="00A63288" w:rsidP="0062136D">
      <w:pPr>
        <w:pStyle w:val="BodyText"/>
      </w:pPr>
      <w:r>
        <w:t xml:space="preserve">The proposed amendment </w:t>
      </w:r>
      <w:r w:rsidR="000A6C42">
        <w:t>will</w:t>
      </w:r>
      <w:r w:rsidR="0062136D">
        <w:t xml:space="preserve"> eliminate uneconomic duplication of service facilities </w:t>
      </w:r>
      <w:r w:rsidR="000A6C42">
        <w:t xml:space="preserve">and resolve split parcels due to annexation and create cohesive boundaries. </w:t>
      </w:r>
      <w:r>
        <w:t>The proposed First Amendment does not contemplate transfer or purchase of any facilities by either utility</w:t>
      </w:r>
      <w:r w:rsidR="00432284">
        <w:t xml:space="preserve"> and t</w:t>
      </w:r>
      <w:r w:rsidR="000A6C42">
        <w:t xml:space="preserve">he joint petitioners assert that the proposed amendment will not cause a decrease in service reliability to </w:t>
      </w:r>
      <w:r w:rsidR="00432284">
        <w:lastRenderedPageBreak/>
        <w:t xml:space="preserve">their </w:t>
      </w:r>
      <w:r w:rsidR="000A6C42">
        <w:t xml:space="preserve">existing or future customers. </w:t>
      </w:r>
      <w:r w:rsidR="00F617D4">
        <w:t>The currently effective agreement approved in 2014, shall remain effective for a term of</w:t>
      </w:r>
      <w:r w:rsidR="0062136D">
        <w:t xml:space="preserve"> 20 years</w:t>
      </w:r>
      <w:r w:rsidR="00C45D38">
        <w:t>,</w:t>
      </w:r>
      <w:r w:rsidR="00F617D4">
        <w:t xml:space="preserve"> pursuant to Section 6.1 of the agreement</w:t>
      </w:r>
      <w:r w:rsidR="00B346E2">
        <w:t xml:space="preserve"> and the proposed First Amendment does not modify the term of the agreement. </w:t>
      </w:r>
    </w:p>
    <w:p w:rsidR="0062136D" w:rsidRDefault="0062136D" w:rsidP="0062136D">
      <w:pPr>
        <w:pStyle w:val="BodyText"/>
      </w:pPr>
      <w:r w:rsidRPr="002355F4">
        <w:t>The petitioners</w:t>
      </w:r>
      <w:r w:rsidR="002355F4">
        <w:t xml:space="preserve">, in their response to staff’s </w:t>
      </w:r>
      <w:r w:rsidR="00B229BD">
        <w:t xml:space="preserve">first </w:t>
      </w:r>
      <w:r w:rsidR="002355F4">
        <w:t>data request, stated that</w:t>
      </w:r>
      <w:r w:rsidRPr="002355F4">
        <w:t xml:space="preserve"> in accordance with Rule 25-6.0440(1)(d), F.A.C., the customers to be transferred from DEF to Winter Park pursuant to this agreement were notified by mail and a description of the difference between DEF’s and Winter Park’s </w:t>
      </w:r>
      <w:r w:rsidR="00432284">
        <w:t xml:space="preserve">electric </w:t>
      </w:r>
      <w:r w:rsidRPr="002355F4">
        <w:t>rates was provided.</w:t>
      </w:r>
      <w:r w:rsidR="00285465">
        <w:rPr>
          <w:rStyle w:val="FootnoteReference"/>
        </w:rPr>
        <w:footnoteReference w:id="6"/>
      </w:r>
      <w:r w:rsidRPr="002355F4">
        <w:t xml:space="preserve"> </w:t>
      </w:r>
      <w:r w:rsidR="00FE2C4F">
        <w:t xml:space="preserve">Since the initial notification, the rates have changed. As of October 2021, DEF’s residential rate for 1,000 </w:t>
      </w:r>
      <w:r w:rsidR="008C7405">
        <w:t>kilowatt-hours (</w:t>
      </w:r>
      <w:r w:rsidR="00FE2C4F">
        <w:t>kWh</w:t>
      </w:r>
      <w:r w:rsidR="008C7405">
        <w:t>)</w:t>
      </w:r>
      <w:r w:rsidR="00FE2C4F">
        <w:t xml:space="preserve"> is $132.24 and commercial rate for 1,500 kWh </w:t>
      </w:r>
      <w:r w:rsidR="00FD7247">
        <w:t>is $207.60. For the same month, Winter Park residential rate for 1,000 kWh is $121.27 and commercial rate for 1,500 kWh is $202.54.</w:t>
      </w:r>
      <w:r w:rsidR="00FD7247">
        <w:rPr>
          <w:rStyle w:val="FootnoteReference"/>
        </w:rPr>
        <w:footnoteReference w:id="7"/>
      </w:r>
      <w:r w:rsidR="00FD7247">
        <w:t xml:space="preserve"> </w:t>
      </w:r>
      <w:r w:rsidR="002355F4">
        <w:t xml:space="preserve">The customer notice states that </w:t>
      </w:r>
      <w:r w:rsidRPr="002355F4">
        <w:t>DEF will apply customers’ deposits to their last electric bill and will directly refund any surplus.</w:t>
      </w:r>
      <w:r w:rsidR="00B229BD">
        <w:rPr>
          <w:rStyle w:val="FootnoteReference"/>
        </w:rPr>
        <w:footnoteReference w:id="8"/>
      </w:r>
      <w:r w:rsidRPr="002355F4">
        <w:t xml:space="preserve">  With regard to the degree of acceptance by affected customers, the petitioners</w:t>
      </w:r>
      <w:r w:rsidR="007A3C47">
        <w:t xml:space="preserve">, in their response to staff’s </w:t>
      </w:r>
      <w:r w:rsidR="00B229BD">
        <w:t xml:space="preserve">first </w:t>
      </w:r>
      <w:r w:rsidR="007A3C47">
        <w:t xml:space="preserve">data </w:t>
      </w:r>
      <w:r w:rsidR="008724C0">
        <w:t>request</w:t>
      </w:r>
      <w:r w:rsidR="00C45D38">
        <w:t>,</w:t>
      </w:r>
      <w:r w:rsidR="007A3C47">
        <w:t xml:space="preserve"> </w:t>
      </w:r>
      <w:r w:rsidRPr="002355F4">
        <w:t>state</w:t>
      </w:r>
      <w:r w:rsidR="00C45D38">
        <w:t>d</w:t>
      </w:r>
      <w:r w:rsidRPr="002355F4">
        <w:t xml:space="preserve"> that </w:t>
      </w:r>
      <w:r w:rsidR="007A3C47">
        <w:t xml:space="preserve">DEF has not received any comments from customers subject to the transfer and </w:t>
      </w:r>
      <w:r w:rsidR="008724C0">
        <w:t>will</w:t>
      </w:r>
      <w:r w:rsidR="007A3C47">
        <w:t xml:space="preserve"> notify the Commission if any comments or questions are received.</w:t>
      </w:r>
      <w:r w:rsidR="000A0D63">
        <w:t xml:space="preserve"> </w:t>
      </w:r>
      <w:r w:rsidRPr="002355F4">
        <w:t xml:space="preserve">The joint petitioners </w:t>
      </w:r>
      <w:r w:rsidR="00432284">
        <w:t>intend to transfer the 11 customers by end of 2022.</w:t>
      </w:r>
    </w:p>
    <w:p w:rsidR="00D34EEF" w:rsidRDefault="00D34EEF" w:rsidP="00D34EEF">
      <w:pPr>
        <w:pStyle w:val="First-LevelSubheading"/>
      </w:pPr>
      <w:r>
        <w:t xml:space="preserve">Conclusion </w:t>
      </w:r>
    </w:p>
    <w:p w:rsidR="006160A5" w:rsidRPr="006160A5" w:rsidRDefault="006160A5" w:rsidP="0062136D">
      <w:pPr>
        <w:pStyle w:val="BodyText"/>
        <w:rPr>
          <w:highlight w:val="yellow"/>
        </w:rPr>
      </w:pPr>
      <w:r w:rsidRPr="00D30ECA">
        <w:t xml:space="preserve">After review of the joint petition, the proposed First Amendment to the </w:t>
      </w:r>
      <w:r w:rsidR="009B5260">
        <w:t>t</w:t>
      </w:r>
      <w:r w:rsidRPr="00D30ECA">
        <w:t xml:space="preserve">erritorial </w:t>
      </w:r>
      <w:r w:rsidR="009B5260">
        <w:t>a</w:t>
      </w:r>
      <w:r w:rsidRPr="00D30ECA">
        <w:t>greement, and responses to staff’s data request</w:t>
      </w:r>
      <w:r w:rsidR="002D2CBF">
        <w:t>s</w:t>
      </w:r>
      <w:r w:rsidRPr="00D30ECA">
        <w:t xml:space="preserve">, staff believes the First Amendment to the </w:t>
      </w:r>
      <w:r w:rsidR="009B5260">
        <w:t>t</w:t>
      </w:r>
      <w:r w:rsidRPr="00D30ECA">
        <w:t xml:space="preserve">erritorial </w:t>
      </w:r>
      <w:r w:rsidR="009B5260">
        <w:t>a</w:t>
      </w:r>
      <w:r w:rsidRPr="00D30ECA">
        <w:t xml:space="preserve">greement will not cause a detriment to the public interest, will eliminate any potential uneconomic duplication of facilities and will not cause a decrease in reliability of electric service to the present or future customers of </w:t>
      </w:r>
      <w:r w:rsidR="00D30ECA" w:rsidRPr="00D30ECA">
        <w:t>Winter Park</w:t>
      </w:r>
      <w:r w:rsidRPr="00D30ECA">
        <w:t xml:space="preserve"> or DEF. Therefore, staff recommends that the Commission should approve the proposed First Amendment to the </w:t>
      </w:r>
      <w:r w:rsidR="009B5260">
        <w:t>t</w:t>
      </w:r>
      <w:r w:rsidRPr="00D30ECA">
        <w:t xml:space="preserve">erritorial </w:t>
      </w:r>
      <w:r w:rsidR="009B5260">
        <w:t>a</w:t>
      </w:r>
      <w:r w:rsidRPr="00D30ECA">
        <w:t xml:space="preserve">greement between </w:t>
      </w:r>
      <w:r w:rsidR="00D30ECA" w:rsidRPr="00D30ECA">
        <w:t xml:space="preserve">Winter Park </w:t>
      </w:r>
      <w:r w:rsidRPr="00D30ECA">
        <w:t xml:space="preserve">and DEF in </w:t>
      </w:r>
      <w:r w:rsidR="00D30ECA" w:rsidRPr="00D30ECA">
        <w:t>Orange County.</w:t>
      </w:r>
    </w:p>
    <w:p w:rsidR="008012BE" w:rsidRDefault="008012BE">
      <w:pPr>
        <w:pStyle w:val="IssueHeading"/>
        <w:rPr>
          <w:vanish/>
          <w:specVanish/>
        </w:rPr>
      </w:pPr>
      <w:r w:rsidRPr="004C3641">
        <w:rPr>
          <w:b w:val="0"/>
          <w:i w:val="0"/>
        </w:rPr>
        <w:br w:type="page"/>
      </w:r>
      <w:r w:rsidRPr="004C3641">
        <w:lastRenderedPageBreak/>
        <w:t xml:space="preserve">Issue </w:t>
      </w:r>
      <w:fldSimple w:instr=" SEQ Issue \* MERGEFORMAT ">
        <w:r>
          <w:rPr>
            <w:noProof/>
          </w:rPr>
          <w:t>2</w:t>
        </w:r>
      </w:fldSimple>
      <w:r w:rsidRPr="004C3641">
        <w:t>:</w:t>
      </w:r>
      <w:r>
        <w:fldChar w:fldCharType="begin"/>
      </w:r>
      <w:r>
        <w:instrText xml:space="preserve"> TC "</w:instrText>
      </w:r>
      <w:r>
        <w:fldChar w:fldCharType="begin"/>
      </w:r>
      <w:r>
        <w:instrText xml:space="preserve"> SEQ issue \c </w:instrText>
      </w:r>
      <w:r>
        <w:fldChar w:fldCharType="separate"/>
      </w:r>
      <w:r>
        <w:rPr>
          <w:noProof/>
        </w:rPr>
        <w:instrText>2</w:instrText>
      </w:r>
      <w:r>
        <w:fldChar w:fldCharType="end"/>
      </w:r>
      <w:r>
        <w:tab/>
        <w:instrText xml:space="preserve">(Sandy)" \l 1 </w:instrText>
      </w:r>
      <w:r>
        <w:fldChar w:fldCharType="end"/>
      </w:r>
      <w:r>
        <w:t> </w:t>
      </w:r>
    </w:p>
    <w:p w:rsidR="008012BE" w:rsidRDefault="008012BE">
      <w:pPr>
        <w:pStyle w:val="BodyText"/>
      </w:pPr>
      <w:r>
        <w:t> Should this docket be closed?</w:t>
      </w:r>
    </w:p>
    <w:p w:rsidR="008012BE" w:rsidRPr="004C3641" w:rsidRDefault="008012BE">
      <w:pPr>
        <w:pStyle w:val="IssueSubsectionHeading"/>
        <w:rPr>
          <w:vanish/>
          <w:specVanish/>
        </w:rPr>
      </w:pPr>
      <w:r w:rsidRPr="004C3641">
        <w:t>Recommendation: </w:t>
      </w:r>
    </w:p>
    <w:p w:rsidR="008012BE" w:rsidRDefault="008012BE">
      <w:pPr>
        <w:pStyle w:val="BodyText"/>
      </w:pPr>
      <w:r>
        <w:t> </w:t>
      </w:r>
      <w:r w:rsidR="00D34EEF">
        <w:t>Yes. If no protest is filed by a person whose substantial interests are affected within 21 days of the issuance of the Order, this docket should be closed upon the issuance of the Consummating Order.</w:t>
      </w:r>
      <w:r>
        <w:t xml:space="preserve"> (Sandy)</w:t>
      </w:r>
    </w:p>
    <w:p w:rsidR="008012BE" w:rsidRPr="004C3641" w:rsidRDefault="008012BE">
      <w:pPr>
        <w:pStyle w:val="IssueSubsectionHeading"/>
        <w:rPr>
          <w:vanish/>
          <w:specVanish/>
        </w:rPr>
      </w:pPr>
      <w:r w:rsidRPr="004C3641">
        <w:t>Staff Analysis: </w:t>
      </w:r>
    </w:p>
    <w:p w:rsidR="008012BE" w:rsidRDefault="008012BE">
      <w:pPr>
        <w:pStyle w:val="BodyText"/>
      </w:pPr>
      <w:r>
        <w:t> </w:t>
      </w:r>
      <w:r w:rsidR="00D34EEF">
        <w:t>If no protest is filed by a person whose substantial interests are affected within 21 days of the issuance of the Order, this docket should be closed upon the issuance of the Consummating Order.</w:t>
      </w:r>
    </w:p>
    <w:p w:rsidR="00D30ECA" w:rsidRDefault="00D30ECA" w:rsidP="0062136D">
      <w:pPr>
        <w:pStyle w:val="BodyText"/>
        <w:sectPr w:rsidR="00D30ECA" w:rsidSect="0068481F">
          <w:headerReference w:type="default" r:id="rId11"/>
          <w:headerReference w:type="first" r:id="rId12"/>
          <w:footerReference w:type="first" r:id="rId13"/>
          <w:pgSz w:w="12240" w:h="15840" w:code="1"/>
          <w:pgMar w:top="1584" w:right="1440" w:bottom="1440" w:left="1440" w:header="720" w:footer="720" w:gutter="0"/>
          <w:cols w:space="720"/>
          <w:formProt w:val="0"/>
          <w:docGrid w:linePitch="360"/>
        </w:sectPr>
      </w:pPr>
    </w:p>
    <w:p w:rsidR="008012BE" w:rsidRDefault="00DE71EE" w:rsidP="0062136D">
      <w:pPr>
        <w:pStyle w:val="BodyText"/>
      </w:pPr>
      <w:r>
        <w:rPr>
          <w:noProof/>
        </w:rPr>
        <w:lastRenderedPageBreak/>
        <w:drawing>
          <wp:inline distT="0" distB="0" distL="0" distR="0">
            <wp:extent cx="5943600" cy="76917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10160-EU Attachment_Page_0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10160-EU Attachment_Page_0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10160-EU Attachment_Page_0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210160-EU Attachment_Page_04.jpg"/>
                    <pic:cNvPicPr/>
                  </pic:nvPicPr>
                  <pic:blipFill>
                    <a:blip r:embed="rId17">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210160-EU Attachment_Page_0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210160-EU Attachment_Page_06.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3845560"/>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210160-EU Attachment_Page_07.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3845560"/>
                    </a:xfrm>
                    <a:prstGeom prst="rect">
                      <a:avLst/>
                    </a:prstGeom>
                  </pic:spPr>
                </pic:pic>
              </a:graphicData>
            </a:graphic>
          </wp:inline>
        </w:drawing>
      </w:r>
      <w:r>
        <w:rPr>
          <w:noProof/>
        </w:rPr>
        <w:lastRenderedPageBreak/>
        <w:drawing>
          <wp:inline distT="0" distB="0" distL="0" distR="0">
            <wp:extent cx="5943600" cy="769175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210160-EU Attachment_Page_08.jpg"/>
                    <pic:cNvPicPr/>
                  </pic:nvPicPr>
                  <pic:blipFill>
                    <a:blip r:embed="rId21">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210160-EU Attachment_Page_09.jpg"/>
                    <pic:cNvPicPr/>
                  </pic:nvPicPr>
                  <pic:blipFill>
                    <a:blip r:embed="rId22">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210160-EU Attachment_Page_10.jpg"/>
                    <pic:cNvPicPr/>
                  </pic:nvPicPr>
                  <pic:blipFill>
                    <a:blip r:embed="rId23">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210160-EU Attachment_Page_11.jpg"/>
                    <pic:cNvPicPr/>
                  </pic:nvPicPr>
                  <pic:blipFill>
                    <a:blip r:embed="rId24">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210160-EU Attachment_Page_12.jpg"/>
                    <pic:cNvPicPr/>
                  </pic:nvPicPr>
                  <pic:blipFill>
                    <a:blip r:embed="rId25">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210160-EU Attachment_Page_13.jpg"/>
                    <pic:cNvPicPr/>
                  </pic:nvPicPr>
                  <pic:blipFill>
                    <a:blip r:embed="rId26">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210160-EU Attachment_Page_14.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0210160-EU Attachment_Page_15.jpg"/>
                    <pic:cNvPicPr/>
                  </pic:nvPicPr>
                  <pic:blipFill>
                    <a:blip r:embed="rId28">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0210160-EU Attachment_Page_16.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0210160-EU Attachment_Page_17.jpg"/>
                    <pic:cNvPicPr/>
                  </pic:nvPicPr>
                  <pic:blipFill>
                    <a:blip r:embed="rId30">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0210160-EU Attachment_Page_18.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17"/>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0210160-EU Attachment_Page_19.jpg"/>
                    <pic:cNvPicPr/>
                  </pic:nvPicPr>
                  <pic:blipFill>
                    <a:blip r:embed="rId32">
                      <a:extLst>
                        <a:ext uri="{28A0092B-C50C-407E-A947-70E740481C1C}">
                          <a14:useLocalDpi xmlns:a14="http://schemas.microsoft.com/office/drawing/2010/main" val="0"/>
                        </a:ext>
                      </a:extLst>
                    </a:blip>
                    <a:stretch>
                      <a:fillRect/>
                    </a:stretch>
                  </pic:blipFill>
                  <pic:spPr>
                    <a:xfrm>
                      <a:off x="0" y="0"/>
                      <a:ext cx="5943600" cy="7691717"/>
                    </a:xfrm>
                    <a:prstGeom prst="rect">
                      <a:avLst/>
                    </a:prstGeom>
                  </pic:spPr>
                </pic:pic>
              </a:graphicData>
            </a:graphic>
          </wp:inline>
        </w:drawing>
      </w:r>
      <w:r>
        <w:rPr>
          <w:noProof/>
        </w:rPr>
        <w:lastRenderedPageBreak/>
        <w:drawing>
          <wp:inline distT="0" distB="0" distL="0" distR="0">
            <wp:extent cx="5943600" cy="7691755"/>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0210160-EU Attachment_Page_20.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0210160-EU Attachment_Page_21.jpg"/>
                    <pic:cNvPicPr/>
                  </pic:nvPicPr>
                  <pic:blipFill>
                    <a:blip r:embed="rId34">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0210160-EU Attachment_Page_22.jpg"/>
                    <pic:cNvPicPr/>
                  </pic:nvPicPr>
                  <pic:blipFill>
                    <a:blip r:embed="rId35">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0210160-EU Attachment_Page_23.jpg"/>
                    <pic:cNvPicPr/>
                  </pic:nvPicPr>
                  <pic:blipFill>
                    <a:blip r:embed="rId36">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0210160-EU Attachment_Page_24.jpg"/>
                    <pic:cNvPicPr/>
                  </pic:nvPicPr>
                  <pic:blipFill>
                    <a:blip r:embed="rId37">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0210160-EU Attachment_Page_25.jpg"/>
                    <pic:cNvPicPr/>
                  </pic:nvPicPr>
                  <pic:blipFill>
                    <a:blip r:embed="rId38">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0210160-EU Attachment_Page_26.jpg"/>
                    <pic:cNvPicPr/>
                  </pic:nvPicPr>
                  <pic:blipFill>
                    <a:blip r:embed="rId39">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sectPr w:rsidR="008012BE" w:rsidSect="0068481F">
      <w:headerReference w:type="default" r:id="rId40"/>
      <w:pgSz w:w="12240" w:h="15840" w:code="1"/>
      <w:pgMar w:top="1584" w:right="1440" w:bottom="1440" w:left="1440" w:header="720" w:footer="72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131FD" w:rsidRDefault="008131FD">
      <w:r>
        <w:separator/>
      </w:r>
    </w:p>
  </w:endnote>
  <w:endnote w:type="continuationSeparator" w:id="0">
    <w:p w:rsidR="008131FD" w:rsidRDefault="008131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BC402E">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780377">
      <w:rPr>
        <w:rStyle w:val="PageNumber"/>
        <w:noProof/>
      </w:rPr>
      <w:t>21</w:t>
    </w:r>
    <w:r>
      <w:rPr>
        <w:rStyle w:val="PageNumber"/>
      </w:rPr>
      <w:fldChar w:fldCharType="end"/>
    </w:r>
    <w:r>
      <w:rPr>
        <w:rStyle w:val="PageNumber"/>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BC40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131FD" w:rsidRDefault="008131FD">
      <w:r>
        <w:separator/>
      </w:r>
    </w:p>
  </w:footnote>
  <w:footnote w:type="continuationSeparator" w:id="0">
    <w:p w:rsidR="008131FD" w:rsidRDefault="008131FD">
      <w:r>
        <w:continuationSeparator/>
      </w:r>
    </w:p>
  </w:footnote>
  <w:footnote w:id="1">
    <w:p w:rsidR="00D61609" w:rsidRDefault="00D61609" w:rsidP="00D61609">
      <w:pPr>
        <w:pStyle w:val="FootnoteText"/>
      </w:pPr>
      <w:r>
        <w:rPr>
          <w:rStyle w:val="FootnoteReference"/>
        </w:rPr>
        <w:footnoteRef/>
      </w:r>
      <w:r>
        <w:t xml:space="preserve"> Order No. PSC-05-0453-PAA-EI, issued April 28, 2005, in Docket No. 20050117-EI, </w:t>
      </w:r>
      <w:r w:rsidRPr="006A5307">
        <w:rPr>
          <w:i/>
        </w:rPr>
        <w:t>In re: Petition to relieve Progress Energy Florida, Inc. of the statutory obligation to provide electrical service to certain customers within the City of Winter Park, pursuant to Section 366.03 and 366.04, F.S.</w:t>
      </w:r>
      <w:r>
        <w:t xml:space="preserve"> </w:t>
      </w:r>
    </w:p>
  </w:footnote>
  <w:footnote w:id="2">
    <w:p w:rsidR="006A6502" w:rsidRDefault="006A6502">
      <w:pPr>
        <w:pStyle w:val="FootnoteText"/>
      </w:pPr>
      <w:r>
        <w:rPr>
          <w:rStyle w:val="FootnoteReference"/>
        </w:rPr>
        <w:footnoteRef/>
      </w:r>
      <w:r>
        <w:t xml:space="preserve"> Order No. PSC-14-0108-PAA-EU, issued February 24, 2014, in Docket No. 20130267-EU, </w:t>
      </w:r>
      <w:r w:rsidRPr="006A6502">
        <w:rPr>
          <w:i/>
        </w:rPr>
        <w:t>In re: Joint petition for approval of territorial agreement in Orange County by the City of Winter Park and Duke Energy Florida, Inc</w:t>
      </w:r>
      <w:r>
        <w:t>.</w:t>
      </w:r>
    </w:p>
  </w:footnote>
  <w:footnote w:id="3">
    <w:p w:rsidR="0035523D" w:rsidRDefault="0035523D">
      <w:pPr>
        <w:pStyle w:val="FootnoteText"/>
      </w:pPr>
      <w:r>
        <w:rPr>
          <w:rStyle w:val="FootnoteReference"/>
        </w:rPr>
        <w:footnoteRef/>
      </w:r>
      <w:r>
        <w:t xml:space="preserve"> </w:t>
      </w:r>
      <w:r w:rsidR="006340F1" w:rsidRPr="00D6260A">
        <w:t xml:space="preserve">Document No. </w:t>
      </w:r>
      <w:r w:rsidR="00D6260A">
        <w:t>12808-2021.</w:t>
      </w:r>
    </w:p>
  </w:footnote>
  <w:footnote w:id="4">
    <w:p w:rsidR="00FA3DDE" w:rsidRDefault="00FA3DDE" w:rsidP="00FA3DDE">
      <w:pPr>
        <w:pStyle w:val="FootnoteText"/>
      </w:pPr>
      <w:r>
        <w:rPr>
          <w:rStyle w:val="FootnoteReference"/>
        </w:rPr>
        <w:footnoteRef/>
      </w:r>
      <w:r>
        <w:t xml:space="preserve"> </w:t>
      </w:r>
      <w:r w:rsidRPr="001A76C7">
        <w:rPr>
          <w:i/>
        </w:rPr>
        <w:t>Utilities Commission of the City of New Smyrna Beach v. Florida Public Service Commission</w:t>
      </w:r>
      <w:r>
        <w:t>, 469 So. 2d 731 (Fla. 1985).</w:t>
      </w:r>
    </w:p>
  </w:footnote>
  <w:footnote w:id="5">
    <w:p w:rsidR="00EE6F28" w:rsidRDefault="00EE6F28">
      <w:pPr>
        <w:pStyle w:val="FootnoteText"/>
      </w:pPr>
      <w:r>
        <w:rPr>
          <w:rStyle w:val="FootnoteReference"/>
        </w:rPr>
        <w:footnoteRef/>
      </w:r>
      <w:r>
        <w:t xml:space="preserve"> Document No. 12593-2021, Response 1 and Revised Exhibit F </w:t>
      </w:r>
      <w:r w:rsidR="00C45D38">
        <w:t>to</w:t>
      </w:r>
      <w:r>
        <w:t xml:space="preserve"> Staff’s Second Data Request.</w:t>
      </w:r>
    </w:p>
  </w:footnote>
  <w:footnote w:id="6">
    <w:p w:rsidR="00285465" w:rsidRDefault="00285465">
      <w:pPr>
        <w:pStyle w:val="FootnoteText"/>
      </w:pPr>
      <w:r>
        <w:rPr>
          <w:rStyle w:val="FootnoteReference"/>
        </w:rPr>
        <w:footnoteRef/>
      </w:r>
      <w:r>
        <w:t xml:space="preserve"> In August 2021, DEF’s residential rate for 1,000 kWh was $132.21 and commercial rate for 1,500 kWh was $207.72. For the same month, Winter Park residential rate for 1,000 kWh was $</w:t>
      </w:r>
      <w:r w:rsidR="00FE2C4F">
        <w:t>115.30</w:t>
      </w:r>
      <w:r>
        <w:t xml:space="preserve"> and commercial rate for 1,500 kWh was $</w:t>
      </w:r>
      <w:r w:rsidR="00095ABF">
        <w:t>183.57.</w:t>
      </w:r>
    </w:p>
  </w:footnote>
  <w:footnote w:id="7">
    <w:p w:rsidR="00FD7247" w:rsidRDefault="00FD7247">
      <w:pPr>
        <w:pStyle w:val="FootnoteText"/>
      </w:pPr>
      <w:r>
        <w:rPr>
          <w:rStyle w:val="FootnoteReference"/>
        </w:rPr>
        <w:footnoteRef/>
      </w:r>
      <w:r>
        <w:t xml:space="preserve"> Document No. 12404-2021, Response 2 in Staff’s First Data Request.</w:t>
      </w:r>
    </w:p>
  </w:footnote>
  <w:footnote w:id="8">
    <w:p w:rsidR="00B229BD" w:rsidRDefault="00B229BD">
      <w:pPr>
        <w:pStyle w:val="FootnoteText"/>
      </w:pPr>
      <w:r>
        <w:rPr>
          <w:rStyle w:val="FootnoteReference"/>
        </w:rPr>
        <w:footnoteRef/>
      </w:r>
      <w:r>
        <w:t xml:space="preserve"> Document No. 12404-2021, Response 2 and Attachment A </w:t>
      </w:r>
      <w:r w:rsidR="00C45D38">
        <w:t>to</w:t>
      </w:r>
      <w:r>
        <w:t xml:space="preserve"> Staff’s First Data Request.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9C5C10" w:rsidP="00220732">
    <w:pPr>
      <w:pStyle w:val="Header"/>
      <w:tabs>
        <w:tab w:val="clear" w:pos="4320"/>
        <w:tab w:val="clear" w:pos="8640"/>
        <w:tab w:val="right" w:pos="9360"/>
      </w:tabs>
    </w:pPr>
    <w:bookmarkStart w:id="14" w:name="DocketLabel"/>
    <w:r>
      <w:t>Docket No.</w:t>
    </w:r>
    <w:bookmarkEnd w:id="14"/>
    <w:r w:rsidR="00BC402E">
      <w:t xml:space="preserve"> </w:t>
    </w:r>
    <w:bookmarkStart w:id="15" w:name="DocketList"/>
    <w:r>
      <w:t>20210160-EU</w:t>
    </w:r>
    <w:bookmarkEnd w:id="15"/>
  </w:p>
  <w:p w:rsidR="00BC402E" w:rsidRDefault="00BC402E">
    <w:pPr>
      <w:pStyle w:val="Header"/>
    </w:pPr>
    <w:r>
      <w:t xml:space="preserve">Date: </w:t>
    </w:r>
    <w:fldSimple w:instr=" REF FilingDate ">
      <w:r w:rsidR="008012BE">
        <w:t>November 23, 2021</w:t>
      </w:r>
    </w:fldSimple>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BC402E" w:rsidP="00220732">
    <w:pPr>
      <w:pStyle w:val="Header"/>
      <w:tabs>
        <w:tab w:val="clear" w:pos="4320"/>
        <w:tab w:val="clear" w:pos="8640"/>
        <w:tab w:val="right" w:pos="9360"/>
      </w:tabs>
    </w:pPr>
    <w:r>
      <w:fldChar w:fldCharType="begin"/>
    </w:r>
    <w:r>
      <w:instrText xml:space="preserve"> REF DocketLabel</w:instrText>
    </w:r>
    <w:r>
      <w:fldChar w:fldCharType="separate"/>
    </w:r>
    <w:r w:rsidR="008012BE">
      <w:t>Docket No.</w:t>
    </w:r>
    <w:r>
      <w:fldChar w:fldCharType="end"/>
    </w:r>
    <w:r>
      <w:t xml:space="preserve"> </w:t>
    </w:r>
    <w:r>
      <w:fldChar w:fldCharType="begin"/>
    </w:r>
    <w:r>
      <w:instrText xml:space="preserve"> REF DocketList</w:instrText>
    </w:r>
    <w:r>
      <w:fldChar w:fldCharType="separate"/>
    </w:r>
    <w:r w:rsidR="008012BE">
      <w:t>20210160-EU</w:t>
    </w:r>
    <w:r>
      <w:fldChar w:fldCharType="end"/>
    </w:r>
    <w:r>
      <w:tab/>
      <w:t xml:space="preserve">Issue </w:t>
    </w:r>
    <w:r w:rsidR="00B50818">
      <w:fldChar w:fldCharType="begin"/>
    </w:r>
    <w:r w:rsidR="00B50818">
      <w:instrText xml:space="preserve"> Seq </w:instrText>
    </w:r>
    <w:r w:rsidR="00B50818">
      <w:instrText xml:space="preserve">Issue \c \* Arabic </w:instrText>
    </w:r>
    <w:r w:rsidR="00B50818">
      <w:fldChar w:fldCharType="separate"/>
    </w:r>
    <w:r w:rsidR="00780377">
      <w:rPr>
        <w:noProof/>
      </w:rPr>
      <w:t>2</w:t>
    </w:r>
    <w:r w:rsidR="00B50818">
      <w:rPr>
        <w:noProof/>
      </w:rPr>
      <w:fldChar w:fldCharType="end"/>
    </w:r>
  </w:p>
  <w:p w:rsidR="00BC402E" w:rsidRDefault="00BC402E">
    <w:pPr>
      <w:pStyle w:val="Header"/>
    </w:pPr>
    <w:r>
      <w:t xml:space="preserve">Date: </w:t>
    </w:r>
    <w:fldSimple w:instr=" REF FilingDate ">
      <w:r w:rsidR="008012BE">
        <w:t>November 23, 2021</w:t>
      </w:r>
    </w:fldSimple>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BC402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0ECA" w:rsidRDefault="00D30ECA" w:rsidP="00220732">
    <w:pPr>
      <w:pStyle w:val="Header"/>
      <w:tabs>
        <w:tab w:val="clear" w:pos="4320"/>
        <w:tab w:val="clear" w:pos="8640"/>
        <w:tab w:val="right" w:pos="9360"/>
      </w:tabs>
    </w:pPr>
    <w:r>
      <w:fldChar w:fldCharType="begin"/>
    </w:r>
    <w:r>
      <w:instrText xml:space="preserve"> REF DocketLabel</w:instrText>
    </w:r>
    <w:r>
      <w:fldChar w:fldCharType="separate"/>
    </w:r>
    <w:r>
      <w:t>Docket No.</w:t>
    </w:r>
    <w:r>
      <w:fldChar w:fldCharType="end"/>
    </w:r>
    <w:r>
      <w:t xml:space="preserve"> </w:t>
    </w:r>
    <w:r>
      <w:fldChar w:fldCharType="begin"/>
    </w:r>
    <w:r>
      <w:instrText xml:space="preserve"> REF DocketList</w:instrText>
    </w:r>
    <w:r>
      <w:fldChar w:fldCharType="separate"/>
    </w:r>
    <w:r>
      <w:t>20210160-EU</w:t>
    </w:r>
    <w:r>
      <w:fldChar w:fldCharType="end"/>
    </w:r>
    <w:r w:rsidR="00D758E0">
      <w:tab/>
    </w:r>
    <w:r>
      <w:t>Attachment A</w:t>
    </w:r>
  </w:p>
  <w:p w:rsidR="00D30ECA" w:rsidRDefault="00D30ECA" w:rsidP="00D758E0">
    <w:pPr>
      <w:pStyle w:val="Header"/>
    </w:pPr>
    <w:r>
      <w:t xml:space="preserve">Date: </w:t>
    </w:r>
    <w:fldSimple w:instr=" REF FilingDate ">
      <w:r>
        <w:t>November 23, 2021</w:t>
      </w:r>
    </w:fldSimple>
    <w:r w:rsidR="00D758E0">
      <w:tab/>
    </w:r>
    <w:r w:rsidR="00D758E0">
      <w:tab/>
      <w:t xml:space="preserve">                                                             Page </w:t>
    </w:r>
    <w:r w:rsidR="00D758E0">
      <w:fldChar w:fldCharType="begin"/>
    </w:r>
    <w:r w:rsidR="00D758E0">
      <w:instrText xml:space="preserve">= </w:instrText>
    </w:r>
    <w:r w:rsidR="00D758E0">
      <w:fldChar w:fldCharType="begin"/>
    </w:r>
    <w:r w:rsidR="00D758E0">
      <w:instrText xml:space="preserve">Page </w:instrText>
    </w:r>
    <w:r w:rsidR="00D758E0">
      <w:fldChar w:fldCharType="separate"/>
    </w:r>
    <w:r w:rsidR="00780377">
      <w:rPr>
        <w:noProof/>
      </w:rPr>
      <w:instrText>21</w:instrText>
    </w:r>
    <w:r w:rsidR="00D758E0">
      <w:fldChar w:fldCharType="end"/>
    </w:r>
    <w:r w:rsidR="00D758E0">
      <w:instrText xml:space="preserve">-5 </w:instrText>
    </w:r>
    <w:r w:rsidR="00D758E0">
      <w:fldChar w:fldCharType="separate"/>
    </w:r>
    <w:r w:rsidR="00780377">
      <w:rPr>
        <w:noProof/>
      </w:rPr>
      <w:t>16</w:t>
    </w:r>
    <w:r w:rsidR="00D758E0">
      <w:fldChar w:fldCharType="end"/>
    </w:r>
    <w:r w:rsidR="00D758E0">
      <w:t xml:space="preserve"> of 26</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BEFC6C1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0AA0D9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7762B0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8FE44F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320B40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60CFDA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63058F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5F8770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0D63E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024AEA4"/>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1"/>
  <w:activeWritingStyle w:appName="MSWord" w:lang="es-MX" w:vendorID="64" w:dllVersion="131078" w:nlCheck="1" w:checkStyle="1"/>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57"/>
  <w:noPunctuationKerning/>
  <w:characterSpacingControl w:val="doNotCompress"/>
  <w:hdrShapeDefaults>
    <o:shapedefaults v:ext="edit" spidmax="36865"/>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32DC39D9-B7F2-4F33-8079-DE13EA01171C}"/>
    <w:docVar w:name="dgnword-eventsink" w:val="337566896"/>
    <w:docVar w:name="NumberOfIssues" w:val="0"/>
    <w:docVar w:name="StaffInToC" w:val="True"/>
  </w:docVars>
  <w:rsids>
    <w:rsidRoot w:val="009C5C10"/>
    <w:rsid w:val="000043D5"/>
    <w:rsid w:val="00006170"/>
    <w:rsid w:val="00010E37"/>
    <w:rsid w:val="000172DA"/>
    <w:rsid w:val="000247C5"/>
    <w:rsid w:val="000277C2"/>
    <w:rsid w:val="00035B48"/>
    <w:rsid w:val="00036CE2"/>
    <w:rsid w:val="000437FE"/>
    <w:rsid w:val="000513BE"/>
    <w:rsid w:val="00065A06"/>
    <w:rsid w:val="000666F3"/>
    <w:rsid w:val="00070DCB"/>
    <w:rsid w:val="00072CCA"/>
    <w:rsid w:val="00073120"/>
    <w:rsid w:val="000764D0"/>
    <w:rsid w:val="000828D3"/>
    <w:rsid w:val="00095ABF"/>
    <w:rsid w:val="000A0D63"/>
    <w:rsid w:val="000A2B57"/>
    <w:rsid w:val="000A418B"/>
    <w:rsid w:val="000A6C42"/>
    <w:rsid w:val="000B419F"/>
    <w:rsid w:val="000C4431"/>
    <w:rsid w:val="000C6914"/>
    <w:rsid w:val="000D1C06"/>
    <w:rsid w:val="000D4319"/>
    <w:rsid w:val="000F374A"/>
    <w:rsid w:val="000F6006"/>
    <w:rsid w:val="001076AF"/>
    <w:rsid w:val="00117C8C"/>
    <w:rsid w:val="00124C38"/>
    <w:rsid w:val="00124E2E"/>
    <w:rsid w:val="00125ED4"/>
    <w:rsid w:val="001305E9"/>
    <w:rsid w:val="001307AF"/>
    <w:rsid w:val="00135687"/>
    <w:rsid w:val="001442DB"/>
    <w:rsid w:val="0015506E"/>
    <w:rsid w:val="00163031"/>
    <w:rsid w:val="00171A90"/>
    <w:rsid w:val="00180254"/>
    <w:rsid w:val="00191E1F"/>
    <w:rsid w:val="00192943"/>
    <w:rsid w:val="001A7406"/>
    <w:rsid w:val="001B10AE"/>
    <w:rsid w:val="001B4FEE"/>
    <w:rsid w:val="001B51C5"/>
    <w:rsid w:val="001B6F3F"/>
    <w:rsid w:val="001C52B5"/>
    <w:rsid w:val="001D0D3E"/>
    <w:rsid w:val="001F2245"/>
    <w:rsid w:val="001F2C63"/>
    <w:rsid w:val="001F48C7"/>
    <w:rsid w:val="001F6DA1"/>
    <w:rsid w:val="002044E6"/>
    <w:rsid w:val="00205C82"/>
    <w:rsid w:val="00205DC2"/>
    <w:rsid w:val="00212B17"/>
    <w:rsid w:val="002163B6"/>
    <w:rsid w:val="00220732"/>
    <w:rsid w:val="00221D32"/>
    <w:rsid w:val="00225C3F"/>
    <w:rsid w:val="002355F4"/>
    <w:rsid w:val="00263D44"/>
    <w:rsid w:val="002702AD"/>
    <w:rsid w:val="00285465"/>
    <w:rsid w:val="00292D82"/>
    <w:rsid w:val="002963CB"/>
    <w:rsid w:val="002B4A01"/>
    <w:rsid w:val="002D226D"/>
    <w:rsid w:val="002D2CBF"/>
    <w:rsid w:val="002F6030"/>
    <w:rsid w:val="003037E1"/>
    <w:rsid w:val="00307E51"/>
    <w:rsid w:val="003103EC"/>
    <w:rsid w:val="003144EF"/>
    <w:rsid w:val="00322F74"/>
    <w:rsid w:val="00340073"/>
    <w:rsid w:val="0035523D"/>
    <w:rsid w:val="003632FD"/>
    <w:rsid w:val="00372805"/>
    <w:rsid w:val="00373180"/>
    <w:rsid w:val="00375AB9"/>
    <w:rsid w:val="003821A0"/>
    <w:rsid w:val="00385B04"/>
    <w:rsid w:val="003864CF"/>
    <w:rsid w:val="003948AE"/>
    <w:rsid w:val="003A22A6"/>
    <w:rsid w:val="003A5494"/>
    <w:rsid w:val="003B2510"/>
    <w:rsid w:val="003C2CC4"/>
    <w:rsid w:val="003C3710"/>
    <w:rsid w:val="003E0EFC"/>
    <w:rsid w:val="003E4A2B"/>
    <w:rsid w:val="003E76C2"/>
    <w:rsid w:val="003F1679"/>
    <w:rsid w:val="003F21EB"/>
    <w:rsid w:val="003F4A35"/>
    <w:rsid w:val="003F7FDD"/>
    <w:rsid w:val="00402481"/>
    <w:rsid w:val="004042B4"/>
    <w:rsid w:val="00410DC4"/>
    <w:rsid w:val="00412DAE"/>
    <w:rsid w:val="004232F7"/>
    <w:rsid w:val="004242E6"/>
    <w:rsid w:val="00431598"/>
    <w:rsid w:val="004319AD"/>
    <w:rsid w:val="00432284"/>
    <w:rsid w:val="004426B8"/>
    <w:rsid w:val="00444432"/>
    <w:rsid w:val="00471860"/>
    <w:rsid w:val="00477026"/>
    <w:rsid w:val="00490B3A"/>
    <w:rsid w:val="004A744D"/>
    <w:rsid w:val="004B60BD"/>
    <w:rsid w:val="004C3150"/>
    <w:rsid w:val="004C3641"/>
    <w:rsid w:val="004C3683"/>
    <w:rsid w:val="004C4390"/>
    <w:rsid w:val="004C4AF7"/>
    <w:rsid w:val="004D2881"/>
    <w:rsid w:val="004D385F"/>
    <w:rsid w:val="004D5B39"/>
    <w:rsid w:val="004D7C49"/>
    <w:rsid w:val="004E330D"/>
    <w:rsid w:val="004E5147"/>
    <w:rsid w:val="004E69B5"/>
    <w:rsid w:val="004F5C43"/>
    <w:rsid w:val="0050652D"/>
    <w:rsid w:val="00506C03"/>
    <w:rsid w:val="00511A11"/>
    <w:rsid w:val="00516496"/>
    <w:rsid w:val="00523B11"/>
    <w:rsid w:val="0052572A"/>
    <w:rsid w:val="00532DFB"/>
    <w:rsid w:val="0053392F"/>
    <w:rsid w:val="00543CB3"/>
    <w:rsid w:val="005442E4"/>
    <w:rsid w:val="0055529B"/>
    <w:rsid w:val="00560FF0"/>
    <w:rsid w:val="005614BD"/>
    <w:rsid w:val="0057154F"/>
    <w:rsid w:val="00576F07"/>
    <w:rsid w:val="00580F69"/>
    <w:rsid w:val="00581CA3"/>
    <w:rsid w:val="00587A44"/>
    <w:rsid w:val="0059292A"/>
    <w:rsid w:val="00597730"/>
    <w:rsid w:val="005977EC"/>
    <w:rsid w:val="00597DE7"/>
    <w:rsid w:val="005A4AA2"/>
    <w:rsid w:val="005B34B6"/>
    <w:rsid w:val="005B6C8F"/>
    <w:rsid w:val="005B6EC3"/>
    <w:rsid w:val="005D0F74"/>
    <w:rsid w:val="005D2E7D"/>
    <w:rsid w:val="005D4A8F"/>
    <w:rsid w:val="005D561B"/>
    <w:rsid w:val="005D5ECF"/>
    <w:rsid w:val="005F468D"/>
    <w:rsid w:val="005F46A9"/>
    <w:rsid w:val="005F69A3"/>
    <w:rsid w:val="0060043F"/>
    <w:rsid w:val="00604CC7"/>
    <w:rsid w:val="00615423"/>
    <w:rsid w:val="006160A5"/>
    <w:rsid w:val="006165B2"/>
    <w:rsid w:val="00617276"/>
    <w:rsid w:val="0062136D"/>
    <w:rsid w:val="0062527B"/>
    <w:rsid w:val="00625D97"/>
    <w:rsid w:val="00625F1C"/>
    <w:rsid w:val="006279E1"/>
    <w:rsid w:val="00630CEB"/>
    <w:rsid w:val="00632264"/>
    <w:rsid w:val="006340F1"/>
    <w:rsid w:val="00636C5E"/>
    <w:rsid w:val="00644E98"/>
    <w:rsid w:val="006470BC"/>
    <w:rsid w:val="006554D3"/>
    <w:rsid w:val="00667036"/>
    <w:rsid w:val="00673BDB"/>
    <w:rsid w:val="00674341"/>
    <w:rsid w:val="006771B8"/>
    <w:rsid w:val="006843B6"/>
    <w:rsid w:val="0068481F"/>
    <w:rsid w:val="00696F5D"/>
    <w:rsid w:val="00697249"/>
    <w:rsid w:val="006A5307"/>
    <w:rsid w:val="006A6502"/>
    <w:rsid w:val="006B3947"/>
    <w:rsid w:val="006B4293"/>
    <w:rsid w:val="006B624F"/>
    <w:rsid w:val="006C0C95"/>
    <w:rsid w:val="006C31E3"/>
    <w:rsid w:val="006D18D3"/>
    <w:rsid w:val="006E08CB"/>
    <w:rsid w:val="006E598D"/>
    <w:rsid w:val="0070437D"/>
    <w:rsid w:val="00704CF1"/>
    <w:rsid w:val="00705B04"/>
    <w:rsid w:val="00724992"/>
    <w:rsid w:val="00734820"/>
    <w:rsid w:val="007349DC"/>
    <w:rsid w:val="0073787D"/>
    <w:rsid w:val="0074365E"/>
    <w:rsid w:val="00744B55"/>
    <w:rsid w:val="007515FD"/>
    <w:rsid w:val="00760D80"/>
    <w:rsid w:val="0076483D"/>
    <w:rsid w:val="00780377"/>
    <w:rsid w:val="00780C09"/>
    <w:rsid w:val="00780DDF"/>
    <w:rsid w:val="007834E9"/>
    <w:rsid w:val="00787DBC"/>
    <w:rsid w:val="0079019A"/>
    <w:rsid w:val="00792935"/>
    <w:rsid w:val="007A04A1"/>
    <w:rsid w:val="007A1840"/>
    <w:rsid w:val="007A3C47"/>
    <w:rsid w:val="007C0528"/>
    <w:rsid w:val="007C3D38"/>
    <w:rsid w:val="007D0F35"/>
    <w:rsid w:val="007D4FEB"/>
    <w:rsid w:val="007D6146"/>
    <w:rsid w:val="007E0CE7"/>
    <w:rsid w:val="007F075F"/>
    <w:rsid w:val="007F1193"/>
    <w:rsid w:val="007F417F"/>
    <w:rsid w:val="007F7644"/>
    <w:rsid w:val="008012BE"/>
    <w:rsid w:val="008042BD"/>
    <w:rsid w:val="00812A28"/>
    <w:rsid w:val="008131FD"/>
    <w:rsid w:val="00816624"/>
    <w:rsid w:val="00822427"/>
    <w:rsid w:val="00822562"/>
    <w:rsid w:val="00823663"/>
    <w:rsid w:val="00825F46"/>
    <w:rsid w:val="00832DDC"/>
    <w:rsid w:val="00850BAC"/>
    <w:rsid w:val="00854A3E"/>
    <w:rsid w:val="00855D08"/>
    <w:rsid w:val="008724C0"/>
    <w:rsid w:val="0087256D"/>
    <w:rsid w:val="00874344"/>
    <w:rsid w:val="00882155"/>
    <w:rsid w:val="0088233B"/>
    <w:rsid w:val="0088599E"/>
    <w:rsid w:val="00886C37"/>
    <w:rsid w:val="00892D99"/>
    <w:rsid w:val="00893315"/>
    <w:rsid w:val="008B62AE"/>
    <w:rsid w:val="008C04B5"/>
    <w:rsid w:val="008C14FA"/>
    <w:rsid w:val="008C7405"/>
    <w:rsid w:val="008C7B0B"/>
    <w:rsid w:val="008D4057"/>
    <w:rsid w:val="008E1F19"/>
    <w:rsid w:val="008F2262"/>
    <w:rsid w:val="008F4672"/>
    <w:rsid w:val="008F4D2B"/>
    <w:rsid w:val="008F7736"/>
    <w:rsid w:val="0090019E"/>
    <w:rsid w:val="00901086"/>
    <w:rsid w:val="00901C8A"/>
    <w:rsid w:val="0090401E"/>
    <w:rsid w:val="00905886"/>
    <w:rsid w:val="009070D6"/>
    <w:rsid w:val="009076C6"/>
    <w:rsid w:val="0091019E"/>
    <w:rsid w:val="009106F1"/>
    <w:rsid w:val="00912404"/>
    <w:rsid w:val="009145D6"/>
    <w:rsid w:val="00920E64"/>
    <w:rsid w:val="00922002"/>
    <w:rsid w:val="00924020"/>
    <w:rsid w:val="009271A7"/>
    <w:rsid w:val="0093658B"/>
    <w:rsid w:val="009429FF"/>
    <w:rsid w:val="00945BD6"/>
    <w:rsid w:val="009479FB"/>
    <w:rsid w:val="00951C45"/>
    <w:rsid w:val="009656F2"/>
    <w:rsid w:val="00966A08"/>
    <w:rsid w:val="00971207"/>
    <w:rsid w:val="00975CB4"/>
    <w:rsid w:val="009863B0"/>
    <w:rsid w:val="00987DE1"/>
    <w:rsid w:val="00990571"/>
    <w:rsid w:val="0099673A"/>
    <w:rsid w:val="009A3330"/>
    <w:rsid w:val="009A5D96"/>
    <w:rsid w:val="009A7C96"/>
    <w:rsid w:val="009B5260"/>
    <w:rsid w:val="009C3DB9"/>
    <w:rsid w:val="009C5C10"/>
    <w:rsid w:val="009D46E5"/>
    <w:rsid w:val="009D568A"/>
    <w:rsid w:val="009E153D"/>
    <w:rsid w:val="009F04EC"/>
    <w:rsid w:val="009F2A7C"/>
    <w:rsid w:val="009F3B36"/>
    <w:rsid w:val="00A019B9"/>
    <w:rsid w:val="00A12508"/>
    <w:rsid w:val="00A1282B"/>
    <w:rsid w:val="00A13A27"/>
    <w:rsid w:val="00A175B6"/>
    <w:rsid w:val="00A21835"/>
    <w:rsid w:val="00A2374B"/>
    <w:rsid w:val="00A27D6E"/>
    <w:rsid w:val="00A328EC"/>
    <w:rsid w:val="00A33A51"/>
    <w:rsid w:val="00A41CA6"/>
    <w:rsid w:val="00A41D6C"/>
    <w:rsid w:val="00A47927"/>
    <w:rsid w:val="00A47FFC"/>
    <w:rsid w:val="00A5442F"/>
    <w:rsid w:val="00A54FF9"/>
    <w:rsid w:val="00A56765"/>
    <w:rsid w:val="00A63288"/>
    <w:rsid w:val="00A675AC"/>
    <w:rsid w:val="00A7581F"/>
    <w:rsid w:val="00A85589"/>
    <w:rsid w:val="00A92FB1"/>
    <w:rsid w:val="00A95A0C"/>
    <w:rsid w:val="00AA2765"/>
    <w:rsid w:val="00AA77B5"/>
    <w:rsid w:val="00AB6C5D"/>
    <w:rsid w:val="00AC3401"/>
    <w:rsid w:val="00AC51A7"/>
    <w:rsid w:val="00AD444B"/>
    <w:rsid w:val="00AD5614"/>
    <w:rsid w:val="00AD6C78"/>
    <w:rsid w:val="00AE2EAB"/>
    <w:rsid w:val="00AF5F89"/>
    <w:rsid w:val="00AF73CB"/>
    <w:rsid w:val="00B002D6"/>
    <w:rsid w:val="00B03379"/>
    <w:rsid w:val="00B05B51"/>
    <w:rsid w:val="00B14E5A"/>
    <w:rsid w:val="00B15370"/>
    <w:rsid w:val="00B16DA4"/>
    <w:rsid w:val="00B17BEB"/>
    <w:rsid w:val="00B21A3C"/>
    <w:rsid w:val="00B223C0"/>
    <w:rsid w:val="00B229BD"/>
    <w:rsid w:val="00B234ED"/>
    <w:rsid w:val="00B249B2"/>
    <w:rsid w:val="00B25CA3"/>
    <w:rsid w:val="00B2765A"/>
    <w:rsid w:val="00B3109A"/>
    <w:rsid w:val="00B346E2"/>
    <w:rsid w:val="00B355E8"/>
    <w:rsid w:val="00B43D91"/>
    <w:rsid w:val="00B516ED"/>
    <w:rsid w:val="00B57A6A"/>
    <w:rsid w:val="00B760F1"/>
    <w:rsid w:val="00B7669E"/>
    <w:rsid w:val="00B77DA1"/>
    <w:rsid w:val="00B822A0"/>
    <w:rsid w:val="00B858AE"/>
    <w:rsid w:val="00B85964"/>
    <w:rsid w:val="00B96250"/>
    <w:rsid w:val="00BA0D55"/>
    <w:rsid w:val="00BA37B3"/>
    <w:rsid w:val="00BA4CC6"/>
    <w:rsid w:val="00BB3493"/>
    <w:rsid w:val="00BB7468"/>
    <w:rsid w:val="00BC188A"/>
    <w:rsid w:val="00BC402E"/>
    <w:rsid w:val="00BD0F48"/>
    <w:rsid w:val="00BE6DDB"/>
    <w:rsid w:val="00BF5010"/>
    <w:rsid w:val="00C03D5F"/>
    <w:rsid w:val="00C13791"/>
    <w:rsid w:val="00C31BB3"/>
    <w:rsid w:val="00C36977"/>
    <w:rsid w:val="00C45D38"/>
    <w:rsid w:val="00C467DA"/>
    <w:rsid w:val="00C477D9"/>
    <w:rsid w:val="00C517C9"/>
    <w:rsid w:val="00C60BA3"/>
    <w:rsid w:val="00C623F7"/>
    <w:rsid w:val="00C62A81"/>
    <w:rsid w:val="00C75BC5"/>
    <w:rsid w:val="00C81670"/>
    <w:rsid w:val="00C81773"/>
    <w:rsid w:val="00C82861"/>
    <w:rsid w:val="00C846DA"/>
    <w:rsid w:val="00C86896"/>
    <w:rsid w:val="00C907A8"/>
    <w:rsid w:val="00C93211"/>
    <w:rsid w:val="00C942EC"/>
    <w:rsid w:val="00C96047"/>
    <w:rsid w:val="00C979D0"/>
    <w:rsid w:val="00CA0818"/>
    <w:rsid w:val="00CA15C8"/>
    <w:rsid w:val="00CA2C8F"/>
    <w:rsid w:val="00CA30DA"/>
    <w:rsid w:val="00CA3A24"/>
    <w:rsid w:val="00CB087C"/>
    <w:rsid w:val="00CB1777"/>
    <w:rsid w:val="00CB33E9"/>
    <w:rsid w:val="00CC10A9"/>
    <w:rsid w:val="00CE2BF8"/>
    <w:rsid w:val="00CE3076"/>
    <w:rsid w:val="00CE484E"/>
    <w:rsid w:val="00CE656F"/>
    <w:rsid w:val="00CF0DA8"/>
    <w:rsid w:val="00CF2E25"/>
    <w:rsid w:val="00CF4453"/>
    <w:rsid w:val="00CF5D94"/>
    <w:rsid w:val="00CF7E0F"/>
    <w:rsid w:val="00D034D7"/>
    <w:rsid w:val="00D04BE4"/>
    <w:rsid w:val="00D065AB"/>
    <w:rsid w:val="00D06FC7"/>
    <w:rsid w:val="00D12565"/>
    <w:rsid w:val="00D130F5"/>
    <w:rsid w:val="00D14127"/>
    <w:rsid w:val="00D30ECA"/>
    <w:rsid w:val="00D34EEF"/>
    <w:rsid w:val="00D60B16"/>
    <w:rsid w:val="00D60F02"/>
    <w:rsid w:val="00D61609"/>
    <w:rsid w:val="00D6260A"/>
    <w:rsid w:val="00D66E49"/>
    <w:rsid w:val="00D70D71"/>
    <w:rsid w:val="00D72F74"/>
    <w:rsid w:val="00D758E0"/>
    <w:rsid w:val="00D81563"/>
    <w:rsid w:val="00D85907"/>
    <w:rsid w:val="00D9073E"/>
    <w:rsid w:val="00D9221D"/>
    <w:rsid w:val="00D958DF"/>
    <w:rsid w:val="00D96DA1"/>
    <w:rsid w:val="00DA51E7"/>
    <w:rsid w:val="00DB0260"/>
    <w:rsid w:val="00DB1C78"/>
    <w:rsid w:val="00DB7D96"/>
    <w:rsid w:val="00DC23FE"/>
    <w:rsid w:val="00DC59E6"/>
    <w:rsid w:val="00DD150B"/>
    <w:rsid w:val="00DD5025"/>
    <w:rsid w:val="00DE71EE"/>
    <w:rsid w:val="00DF1510"/>
    <w:rsid w:val="00E02F1F"/>
    <w:rsid w:val="00E06484"/>
    <w:rsid w:val="00E20A7D"/>
    <w:rsid w:val="00E229AC"/>
    <w:rsid w:val="00E275D8"/>
    <w:rsid w:val="00E30F6A"/>
    <w:rsid w:val="00E3117C"/>
    <w:rsid w:val="00E375CA"/>
    <w:rsid w:val="00E5364F"/>
    <w:rsid w:val="00E545F1"/>
    <w:rsid w:val="00E567E8"/>
    <w:rsid w:val="00E630AC"/>
    <w:rsid w:val="00E64679"/>
    <w:rsid w:val="00E65EBC"/>
    <w:rsid w:val="00E67122"/>
    <w:rsid w:val="00E677FE"/>
    <w:rsid w:val="00E73432"/>
    <w:rsid w:val="00E77B0C"/>
    <w:rsid w:val="00E77FB8"/>
    <w:rsid w:val="00E838B0"/>
    <w:rsid w:val="00E86A7C"/>
    <w:rsid w:val="00E878E1"/>
    <w:rsid w:val="00E87F2C"/>
    <w:rsid w:val="00E95278"/>
    <w:rsid w:val="00EA2273"/>
    <w:rsid w:val="00EA7C3C"/>
    <w:rsid w:val="00EB2DB3"/>
    <w:rsid w:val="00EC3FBB"/>
    <w:rsid w:val="00EC6B7A"/>
    <w:rsid w:val="00ED3A87"/>
    <w:rsid w:val="00ED3B75"/>
    <w:rsid w:val="00ED5B67"/>
    <w:rsid w:val="00EE6F28"/>
    <w:rsid w:val="00EF264C"/>
    <w:rsid w:val="00EF3FEE"/>
    <w:rsid w:val="00F04B59"/>
    <w:rsid w:val="00F11741"/>
    <w:rsid w:val="00F11C46"/>
    <w:rsid w:val="00F12B1C"/>
    <w:rsid w:val="00F13CF8"/>
    <w:rsid w:val="00F15855"/>
    <w:rsid w:val="00F200B2"/>
    <w:rsid w:val="00F227DC"/>
    <w:rsid w:val="00F238C0"/>
    <w:rsid w:val="00F2458D"/>
    <w:rsid w:val="00F248BA"/>
    <w:rsid w:val="00F32978"/>
    <w:rsid w:val="00F45CB2"/>
    <w:rsid w:val="00F544C0"/>
    <w:rsid w:val="00F55332"/>
    <w:rsid w:val="00F617D4"/>
    <w:rsid w:val="00F6504A"/>
    <w:rsid w:val="00F65519"/>
    <w:rsid w:val="00F70AE7"/>
    <w:rsid w:val="00F713C0"/>
    <w:rsid w:val="00F75DDC"/>
    <w:rsid w:val="00F7792F"/>
    <w:rsid w:val="00F842AA"/>
    <w:rsid w:val="00F8476F"/>
    <w:rsid w:val="00F853E1"/>
    <w:rsid w:val="00F85604"/>
    <w:rsid w:val="00F94B7A"/>
    <w:rsid w:val="00FA17AC"/>
    <w:rsid w:val="00FA32DE"/>
    <w:rsid w:val="00FA3382"/>
    <w:rsid w:val="00FA3DDE"/>
    <w:rsid w:val="00FA59CD"/>
    <w:rsid w:val="00FA6734"/>
    <w:rsid w:val="00FA67ED"/>
    <w:rsid w:val="00FB1740"/>
    <w:rsid w:val="00FB4269"/>
    <w:rsid w:val="00FC5469"/>
    <w:rsid w:val="00FC6D7D"/>
    <w:rsid w:val="00FD16B0"/>
    <w:rsid w:val="00FD4FED"/>
    <w:rsid w:val="00FD55AB"/>
    <w:rsid w:val="00FD7247"/>
    <w:rsid w:val="00FE0577"/>
    <w:rsid w:val="00FE2C4F"/>
    <w:rsid w:val="00FE531B"/>
    <w:rsid w:val="00FE59EC"/>
    <w:rsid w:val="00FE5B67"/>
    <w:rsid w:val="00FE60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865"/>
    <o:shapelayout v:ext="edit">
      <o:idmap v:ext="edit" data="1"/>
    </o:shapelayout>
  </w:shapeDefaults>
  <w:decimalSymbol w:val="."/>
  <w:listSeparator w:val=","/>
  <w15:docId w15:val="{F02D7D9E-A035-4174-85A1-78BDDB672D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link w:val="FootnoteTextChar"/>
    <w:uiPriority w:val="99"/>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styleId="FootnoteReference">
    <w:name w:val="footnote reference"/>
    <w:basedOn w:val="DefaultParagraphFont"/>
    <w:uiPriority w:val="99"/>
    <w:unhideWhenUsed/>
    <w:rsid w:val="006A6502"/>
    <w:rPr>
      <w:vertAlign w:val="superscript"/>
    </w:rPr>
  </w:style>
  <w:style w:type="character" w:customStyle="1" w:styleId="FootnoteTextChar">
    <w:name w:val="Footnote Text Char"/>
    <w:basedOn w:val="DefaultParagraphFont"/>
    <w:link w:val="FootnoteText"/>
    <w:uiPriority w:val="99"/>
    <w:rsid w:val="00FA3D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6.jpg"/><Relationship Id="rId26" Type="http://schemas.openxmlformats.org/officeDocument/2006/relationships/image" Target="media/image14.jpg"/><Relationship Id="rId39" Type="http://schemas.openxmlformats.org/officeDocument/2006/relationships/image" Target="media/image27.jpg"/><Relationship Id="rId3" Type="http://schemas.openxmlformats.org/officeDocument/2006/relationships/styles" Target="styles.xml"/><Relationship Id="rId21" Type="http://schemas.openxmlformats.org/officeDocument/2006/relationships/image" Target="media/image9.jpg"/><Relationship Id="rId34" Type="http://schemas.openxmlformats.org/officeDocument/2006/relationships/image" Target="media/image22.jp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jpg"/><Relationship Id="rId25" Type="http://schemas.openxmlformats.org/officeDocument/2006/relationships/image" Target="media/image13.jpg"/><Relationship Id="rId33" Type="http://schemas.openxmlformats.org/officeDocument/2006/relationships/image" Target="media/image21.jpg"/><Relationship Id="rId38" Type="http://schemas.openxmlformats.org/officeDocument/2006/relationships/image" Target="media/image26.jpg"/><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image" Target="media/image8.jpeg"/><Relationship Id="rId29" Type="http://schemas.openxmlformats.org/officeDocument/2006/relationships/image" Target="media/image17.jp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2.jpg"/><Relationship Id="rId32" Type="http://schemas.openxmlformats.org/officeDocument/2006/relationships/image" Target="media/image20.jpg"/><Relationship Id="rId37" Type="http://schemas.openxmlformats.org/officeDocument/2006/relationships/image" Target="media/image25.jpg"/><Relationship Id="rId40"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3.jpg"/><Relationship Id="rId23" Type="http://schemas.openxmlformats.org/officeDocument/2006/relationships/image" Target="media/image11.jpg"/><Relationship Id="rId28" Type="http://schemas.openxmlformats.org/officeDocument/2006/relationships/image" Target="media/image16.jpg"/><Relationship Id="rId36" Type="http://schemas.openxmlformats.org/officeDocument/2006/relationships/image" Target="media/image24.jpg"/><Relationship Id="rId10" Type="http://schemas.openxmlformats.org/officeDocument/2006/relationships/footer" Target="footer1.xml"/><Relationship Id="rId19" Type="http://schemas.openxmlformats.org/officeDocument/2006/relationships/image" Target="media/image7.jpg"/><Relationship Id="rId31" Type="http://schemas.openxmlformats.org/officeDocument/2006/relationships/image" Target="media/image19.jp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jpg"/><Relationship Id="rId22" Type="http://schemas.openxmlformats.org/officeDocument/2006/relationships/image" Target="media/image10.jpg"/><Relationship Id="rId27" Type="http://schemas.openxmlformats.org/officeDocument/2006/relationships/image" Target="media/image15.jpg"/><Relationship Id="rId30" Type="http://schemas.openxmlformats.org/officeDocument/2006/relationships/image" Target="media/image18.jpg"/><Relationship Id="rId35" Type="http://schemas.openxmlformats.org/officeDocument/2006/relationships/image" Target="media/image23.jpg"/></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Recommendation%20(Regula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B5C1F6-65DB-4F67-9095-9DA4BDFCBC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Recommendation (Regular).dotm</Template>
  <TotalTime>1</TotalTime>
  <Pages>31</Pages>
  <Words>1178</Words>
  <Characters>6768</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Recommendation</vt:lpstr>
    </vt:vector>
  </TitlesOfParts>
  <Company>Florida Public Service Commission</Company>
  <LinksUpToDate>false</LinksUpToDate>
  <CharactersWithSpaces>7931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dc:title>
  <dc:creator>Sevini Guffey</dc:creator>
  <cp:lastModifiedBy>Andrea Mick</cp:lastModifiedBy>
  <cp:revision>2</cp:revision>
  <cp:lastPrinted>2004-01-27T20:32:00Z</cp:lastPrinted>
  <dcterms:created xsi:type="dcterms:W3CDTF">2021-11-23T14:40:00Z</dcterms:created>
  <dcterms:modified xsi:type="dcterms:W3CDTF">2021-11-23T14:40:00Z</dcterms:modified>
  <cp:category>recommendation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ketList">
    <vt:lpwstr>20210160-EU</vt:lpwstr>
  </property>
  <property fmtid="{D5CDD505-2E9C-101B-9397-08002B2CF9AE}" pid="3" name="MasterDocument">
    <vt:bool>false</vt:bool>
  </property>
</Properties>
</file>