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81818">
            <w:pPr>
              <w:pStyle w:val="MemoHeading"/>
            </w:pPr>
            <w:bookmarkStart w:id="1" w:name="FilingDate"/>
            <w:r>
              <w:t>December 29, 2021</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81818" w:rsidRDefault="00E81818">
            <w:pPr>
              <w:pStyle w:val="MemoHeading"/>
            </w:pPr>
            <w:bookmarkStart w:id="2" w:name="From"/>
            <w:r>
              <w:t>Office of Industry Development and Market Analysis (Wendel, Fogleman, Yglesias de Ayala)</w:t>
            </w:r>
          </w:p>
          <w:p w:rsidR="007C0528" w:rsidRDefault="00E81818">
            <w:pPr>
              <w:pStyle w:val="MemoHeading"/>
            </w:pPr>
            <w:r>
              <w:t>Office of the General Counsel (Weisenfeld)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81818">
            <w:pPr>
              <w:pStyle w:val="MemoHeadingRe"/>
            </w:pPr>
            <w:bookmarkStart w:id="3" w:name="Re"/>
            <w:r>
              <w:t>Docket No. 20210171-TX – Petition for partial relinquishment of eligible telecommunications carrier (ETC) designation in Florida, by Bright House Networks Information Services (Florida),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81818">
            <w:pPr>
              <w:pStyle w:val="MemoHeading"/>
            </w:pPr>
            <w:bookmarkStart w:id="4" w:name="AgendaDate"/>
            <w:r>
              <w:t>12/29/21</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81818">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81818">
            <w:pPr>
              <w:pStyle w:val="MemoHeading"/>
            </w:pPr>
            <w:bookmarkStart w:id="7" w:name="PrehearingOfficer"/>
            <w:r>
              <w:t>La Rosa</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E81818">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81818">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253F5F" w:rsidRDefault="00253F5F" w:rsidP="00253F5F">
      <w:pPr>
        <w:pStyle w:val="BodyText"/>
      </w:pPr>
      <w:r>
        <w:t>On October 29, 2021, Bright House Networks Information Services (Florida), LLC (Bright House) filed a petition with the Florida Public Service Commission (Commission) for partial relinquishment of its ETC status for select census blocks in the state of Florida. Bright House was designated as an ETC by the Commission on July 9, 2021, to meet the Federal Communications Commission’s (FCC) requirement for High-Cost funding resulting from winning bids in the Rural Digital Opportunity Fund (RDOF) auction.</w:t>
      </w:r>
      <w:r>
        <w:rPr>
          <w:rStyle w:val="FootnoteReference"/>
        </w:rPr>
        <w:footnoteReference w:id="1"/>
      </w:r>
      <w:r>
        <w:t xml:space="preserve"> An ETC designation is a condition for telecommunications carriers to receive funding support from the Universal Service </w:t>
      </w:r>
      <w:r>
        <w:lastRenderedPageBreak/>
        <w:t xml:space="preserve">Fund (USF) for the Lifeline and High-Cost programs. The Lifeline program enables low-income households to obtain and maintain basic telephone and broadband service </w:t>
      </w:r>
      <w:r w:rsidRPr="00AD0BEF">
        <w:t>by offering qualifying</w:t>
      </w:r>
      <w:r>
        <w:t xml:space="preserve"> households a discount on monthly bills. The High-Cost program helps carriers provide voice and broadband service in remote and underserved communities.</w:t>
      </w:r>
    </w:p>
    <w:p w:rsidR="00253F5F" w:rsidRDefault="00253F5F" w:rsidP="00253F5F">
      <w:pPr>
        <w:pStyle w:val="BodyText"/>
      </w:pPr>
      <w:r>
        <w:t>To comply with federal requirements for RDOF High-Cost funding, Bright House is required to meet initial broadband deployment requirements by 2024, with increasing deployment and service requirements for each subsequent year.</w:t>
      </w:r>
      <w:r>
        <w:rPr>
          <w:rStyle w:val="FootnoteReference"/>
        </w:rPr>
        <w:footnoteReference w:id="2"/>
      </w:r>
      <w:r>
        <w:t xml:space="preserve"> Alongside broadband deployment, Bright House is required to offer Lifeline service in its awarded census blocks upon reaching its first deployment requirements. Because Bright House has not reached its first buildout requirement deadline, Bright House does not have an obligation to provide Lifeline service at this time, and currently serves no Lifeline customers.</w:t>
      </w:r>
    </w:p>
    <w:p w:rsidR="00253F5F" w:rsidRDefault="00253F5F" w:rsidP="00253F5F">
      <w:pPr>
        <w:pStyle w:val="BodyText"/>
      </w:pPr>
      <w:r>
        <w:t>After winning RDOF bidders were announced, the FCC conducted a review of the awarded census blocks and found areas that were deemed unnecessary for broadband infrastructure deployment or were already being served by another carrier. The FCC requested the winning bidders to default these areas to facilitate the efficient use of USF funding, and Bright House accordingly defaulted the census blocks for which it is requesting relinquishment.</w:t>
      </w:r>
      <w:r>
        <w:rPr>
          <w:rStyle w:val="FootnoteReference"/>
        </w:rPr>
        <w:footnoteReference w:id="3"/>
      </w:r>
      <w:r>
        <w:t xml:space="preserve"> </w:t>
      </w:r>
    </w:p>
    <w:p w:rsidR="00253F5F" w:rsidRDefault="00253F5F" w:rsidP="00253F5F">
      <w:pPr>
        <w:pStyle w:val="BodyText"/>
      </w:pPr>
      <w:r>
        <w:t>The Commission is vested with jurisdiction in this matter, pursuant to Section 364.10, Florida Statutes, 47 U.S.C. §214(e)(4), and 47 C.F.R. §54.205.</w:t>
      </w:r>
    </w:p>
    <w:p w:rsidR="0068481F" w:rsidRDefault="0068481F">
      <w:pPr>
        <w:pStyle w:val="BodyText"/>
      </w:pPr>
    </w:p>
    <w:p w:rsidR="007C0528" w:rsidRDefault="007C0528" w:rsidP="0068481F"/>
    <w:bookmarkEnd w:id="12"/>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E81818" w:rsidRDefault="00E81818">
      <w:pPr>
        <w:pStyle w:val="IssueHeading"/>
        <w:rPr>
          <w:vanish/>
          <w:specVanish/>
        </w:rPr>
      </w:pPr>
      <w:r w:rsidRPr="004C3641">
        <w:t xml:space="preserve">Issue </w:t>
      </w:r>
      <w:r w:rsidR="00296A01">
        <w:fldChar w:fldCharType="begin"/>
      </w:r>
      <w:r w:rsidR="00296A01">
        <w:instrText xml:space="preserve"> SEQ Issue \* MERGEFORMAT </w:instrText>
      </w:r>
      <w:r w:rsidR="00296A01">
        <w:fldChar w:fldCharType="separate"/>
      </w:r>
      <w:r>
        <w:rPr>
          <w:noProof/>
        </w:rPr>
        <w:t>1</w:t>
      </w:r>
      <w:r w:rsidR="00296A0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E81818" w:rsidRDefault="00E81818">
      <w:pPr>
        <w:pStyle w:val="BodyText"/>
      </w:pPr>
      <w:r>
        <w:t> </w:t>
      </w:r>
      <w:r w:rsidR="00253F5F">
        <w:t>Should the Commission approve Bright House’s request for partial relinquishment of its ETC designation?</w:t>
      </w:r>
    </w:p>
    <w:p w:rsidR="00E81818" w:rsidRPr="004C3641" w:rsidRDefault="00E81818">
      <w:pPr>
        <w:pStyle w:val="IssueSubsectionHeading"/>
        <w:rPr>
          <w:vanish/>
          <w:specVanish/>
        </w:rPr>
      </w:pPr>
      <w:r w:rsidRPr="004C3641">
        <w:t>Recommendation: </w:t>
      </w:r>
    </w:p>
    <w:p w:rsidR="00253F5F" w:rsidRDefault="00E81818" w:rsidP="00253F5F">
      <w:pPr>
        <w:pStyle w:val="BodyText"/>
      </w:pPr>
      <w:r>
        <w:t> </w:t>
      </w:r>
      <w:r w:rsidR="00253F5F">
        <w:t>es. The Commission should approve Bright House’s request for partial relinquishment of its ETC designation. (Wendel, Fogleman, Yglesias de Ayala, Weisenfeld)</w:t>
      </w:r>
    </w:p>
    <w:p w:rsidR="00E81818" w:rsidRPr="004C3641" w:rsidRDefault="00E81818">
      <w:pPr>
        <w:pStyle w:val="IssueSubsectionHeading"/>
        <w:rPr>
          <w:vanish/>
          <w:specVanish/>
        </w:rPr>
      </w:pPr>
      <w:r w:rsidRPr="004C3641">
        <w:t>Staff Analysis: </w:t>
      </w:r>
    </w:p>
    <w:p w:rsidR="00253F5F" w:rsidRDefault="00E81818" w:rsidP="00253F5F">
      <w:pPr>
        <w:pStyle w:val="BodyText"/>
      </w:pPr>
      <w:r>
        <w:t> </w:t>
      </w:r>
      <w:r w:rsidR="00253F5F">
        <w:t xml:space="preserve">An ETC may relinquish its ETC designation pursuant to 47 C.F.R. §54.205(a), which provides that: </w:t>
      </w:r>
    </w:p>
    <w:p w:rsidR="00253F5F" w:rsidRDefault="00253F5F" w:rsidP="00253F5F">
      <w:pPr>
        <w:pStyle w:val="BodyText"/>
        <w:ind w:left="720" w:right="720"/>
      </w:pPr>
      <w:r>
        <w:t xml:space="preserve">A state commission shall permit an eligible telecommunications carrier to relinquish its designation as such a carrier in any area served by more than one eligible telecommunications carrier. An eligible telecommunications carrier that seeks to relinquish its eligible telecommunications carrier designation for an area served by more than one eligible telecommunications carrier shall give advance notice to the state commission of such relinquishment. </w:t>
      </w:r>
    </w:p>
    <w:p w:rsidR="00253F5F" w:rsidRDefault="00253F5F" w:rsidP="00253F5F">
      <w:pPr>
        <w:pStyle w:val="BodyText"/>
      </w:pPr>
      <w:r>
        <w:t xml:space="preserve">In approving a relinquishment, state commissions must require the remaining ETCs to ensure that existing customers will continue to be served. 47 C.F.R. §54.205(b), provides that: </w:t>
      </w:r>
    </w:p>
    <w:p w:rsidR="00253F5F" w:rsidRDefault="00253F5F" w:rsidP="00253F5F">
      <w:pPr>
        <w:pStyle w:val="BodyText"/>
        <w:ind w:left="720" w:right="720"/>
      </w:pPr>
      <w:r>
        <w:t xml:space="preserve">Prior to permitting a telecommunications carrier designated as an eligible telecommunications carrier to cease providing universal service in an area served by more than one eligible telecommunications carrier, the state commission shall require the remaining eligible telecommunications carrier or carriers to ensure that all customers served by the relinquishing carrier will continue to be served, and shall require sufficient notice to permit the purchase or construction of adequate facilities by any remaining eligible telecommunications carrier. The state commission shall establish a time, not to exceed one year after the state commission approves such relinquishment under this section, within which such purchase or construction shall be completed. </w:t>
      </w:r>
    </w:p>
    <w:p w:rsidR="00E81818" w:rsidRDefault="00253F5F" w:rsidP="00253F5F">
      <w:pPr>
        <w:pStyle w:val="BodyText"/>
      </w:pPr>
      <w:r>
        <w:t>Bright House identified in its petition all the census blocks for which it is requesting relinquishment of its ETC designation. Staff identified ETCs who may serve the census blocks</w:t>
      </w:r>
      <w:r w:rsidDel="0020772D">
        <w:t xml:space="preserve"> </w:t>
      </w:r>
      <w:r>
        <w:t>identified by Bright House and sent a data request to these carriers to verify ETC designation and confirm Lifeline service provision. Staff compared the responses to ensure that customers in the relinquished areas would have Lifeline service available, even though Bright House has not begun providing Lifeline service. Staff has confirmed the availability of Lifeline service in these census blocks, and therefore, staff recommends that the Commission approve Bright House’s petition for partial relinquishment of its ETC designation.</w:t>
      </w:r>
    </w:p>
    <w:p w:rsidR="00E81818" w:rsidRDefault="00E81818">
      <w:pPr>
        <w:pStyle w:val="IssueHeading"/>
        <w:rPr>
          <w:vanish/>
          <w:specVanish/>
        </w:rPr>
      </w:pPr>
      <w:r w:rsidRPr="004C3641">
        <w:rPr>
          <w:b w:val="0"/>
          <w:i w:val="0"/>
        </w:rPr>
        <w:br w:type="page"/>
      </w:r>
      <w:r w:rsidRPr="004C3641">
        <w:lastRenderedPageBreak/>
        <w:t xml:space="preserve">Issue </w:t>
      </w:r>
      <w:r w:rsidR="00296A01">
        <w:fldChar w:fldCharType="begin"/>
      </w:r>
      <w:r w:rsidR="00296A01">
        <w:instrText xml:space="preserve"> SEQ Issue \* MERGEFORMAT </w:instrText>
      </w:r>
      <w:r w:rsidR="00296A01">
        <w:fldChar w:fldCharType="separate"/>
      </w:r>
      <w:r>
        <w:rPr>
          <w:noProof/>
        </w:rPr>
        <w:t>2</w:t>
      </w:r>
      <w:r w:rsidR="00296A0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E81818" w:rsidRDefault="00E81818">
      <w:pPr>
        <w:pStyle w:val="BodyText"/>
      </w:pPr>
      <w:r>
        <w:t> Should this docket be closed?</w:t>
      </w:r>
    </w:p>
    <w:p w:rsidR="00E81818" w:rsidRPr="004C3641" w:rsidRDefault="00E81818">
      <w:pPr>
        <w:pStyle w:val="IssueSubsectionHeading"/>
        <w:rPr>
          <w:vanish/>
          <w:specVanish/>
        </w:rPr>
      </w:pPr>
      <w:r w:rsidRPr="004C3641">
        <w:t>Recommendation: </w:t>
      </w:r>
    </w:p>
    <w:p w:rsidR="00E81818" w:rsidRDefault="00E81818">
      <w:pPr>
        <w:pStyle w:val="BodyText"/>
      </w:pPr>
      <w:r>
        <w:t> </w:t>
      </w:r>
      <w:r w:rsidR="00253F5F">
        <w:t xml:space="preserve">Yes. If no person whose substantial interests are affected by the proposed agency action files a protest within 21 days of the issuance of the order, this docket should be closed upon the issuance of a consummating order. (Weisenfeld) </w:t>
      </w:r>
      <w:r>
        <w:t xml:space="preserve"> </w:t>
      </w:r>
    </w:p>
    <w:p w:rsidR="00E81818" w:rsidRPr="004C3641" w:rsidRDefault="00E81818">
      <w:pPr>
        <w:pStyle w:val="IssueSubsectionHeading"/>
        <w:rPr>
          <w:vanish/>
          <w:specVanish/>
        </w:rPr>
      </w:pPr>
      <w:r w:rsidRPr="004C3641">
        <w:t>Staff Analysis: </w:t>
      </w:r>
    </w:p>
    <w:p w:rsidR="00E81818" w:rsidRDefault="00E81818">
      <w:pPr>
        <w:pStyle w:val="BodyText"/>
      </w:pPr>
      <w:r>
        <w:t> </w:t>
      </w:r>
      <w:r w:rsidR="00253F5F">
        <w:t>At the conclusion of the protest period, if no protest is filed this docket should be closed upon the issuance of a consummating order.</w:t>
      </w:r>
    </w:p>
    <w:p w:rsidR="00253F5F" w:rsidRDefault="00253F5F" w:rsidP="00E275D8">
      <w:pPr>
        <w:pStyle w:val="BodyText"/>
      </w:pPr>
    </w:p>
    <w:p w:rsidR="00253F5F" w:rsidRDefault="00253F5F" w:rsidP="00E275D8">
      <w:pPr>
        <w:pStyle w:val="BodyText"/>
        <w:sectPr w:rsidR="00253F5F" w:rsidSect="00253F5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p>
    <w:p w:rsidR="00DC56AC" w:rsidRDefault="00DC56AC" w:rsidP="00DC56AC">
      <w:pPr>
        <w:pStyle w:val="BodyText"/>
        <w:spacing w:after="0"/>
        <w:jc w:val="center"/>
        <w:rPr>
          <w:rFonts w:ascii="Arial" w:hAnsi="Arial" w:cs="Arial"/>
          <w:b/>
          <w:bCs/>
        </w:rPr>
      </w:pPr>
      <w:r>
        <w:rPr>
          <w:rFonts w:ascii="Arial" w:hAnsi="Arial" w:cs="Arial"/>
          <w:b/>
          <w:bCs/>
        </w:rPr>
        <w:lastRenderedPageBreak/>
        <w:t>Attachment A</w:t>
      </w:r>
    </w:p>
    <w:tbl>
      <w:tblPr>
        <w:tblW w:w="5291" w:type="pct"/>
        <w:tblLook w:val="04A0" w:firstRow="1" w:lastRow="0" w:firstColumn="1" w:lastColumn="0" w:noHBand="0" w:noVBand="1"/>
      </w:tblPr>
      <w:tblGrid>
        <w:gridCol w:w="709"/>
        <w:gridCol w:w="1048"/>
        <w:gridCol w:w="1935"/>
        <w:gridCol w:w="6441"/>
      </w:tblGrid>
      <w:tr w:rsidR="00DC56AC" w:rsidRPr="00615070" w:rsidTr="00B039CB">
        <w:trPr>
          <w:trHeight w:val="701"/>
        </w:trPr>
        <w:tc>
          <w:tcPr>
            <w:tcW w:w="350" w:type="pct"/>
            <w:tcBorders>
              <w:top w:val="single" w:sz="4" w:space="0" w:color="auto"/>
              <w:left w:val="single" w:sz="4" w:space="0" w:color="auto"/>
              <w:bottom w:val="single" w:sz="4" w:space="0" w:color="auto"/>
              <w:right w:val="single" w:sz="4" w:space="0" w:color="auto"/>
            </w:tcBorders>
            <w:shd w:val="clear" w:color="5B9BD5" w:fill="5B9BD5"/>
            <w:noWrap/>
            <w:vAlign w:val="center"/>
            <w:hideMark/>
          </w:tcPr>
          <w:p w:rsidR="00DC56AC" w:rsidRPr="00615070" w:rsidRDefault="00DC56AC" w:rsidP="00B039CB">
            <w:pPr>
              <w:jc w:val="center"/>
              <w:rPr>
                <w:rFonts w:ascii="Calibri" w:hAnsi="Calibri" w:cs="Calibri"/>
                <w:b/>
                <w:bCs/>
                <w:color w:val="FFFFFF"/>
                <w:sz w:val="22"/>
                <w:szCs w:val="22"/>
              </w:rPr>
            </w:pPr>
            <w:r w:rsidRPr="00615070">
              <w:rPr>
                <w:rFonts w:ascii="Calibri" w:hAnsi="Calibri" w:cs="Calibri"/>
                <w:b/>
                <w:bCs/>
                <w:color w:val="FFFFFF"/>
                <w:sz w:val="22"/>
                <w:szCs w:val="22"/>
              </w:rPr>
              <w:t>State</w:t>
            </w:r>
          </w:p>
        </w:tc>
        <w:tc>
          <w:tcPr>
            <w:tcW w:w="517" w:type="pct"/>
            <w:tcBorders>
              <w:top w:val="single" w:sz="4" w:space="0" w:color="auto"/>
              <w:left w:val="single" w:sz="4" w:space="0" w:color="auto"/>
              <w:bottom w:val="single" w:sz="4" w:space="0" w:color="auto"/>
              <w:right w:val="single" w:sz="4" w:space="0" w:color="auto"/>
            </w:tcBorders>
            <w:shd w:val="clear" w:color="5B9BD5" w:fill="5B9BD5"/>
            <w:noWrap/>
            <w:vAlign w:val="center"/>
            <w:hideMark/>
          </w:tcPr>
          <w:p w:rsidR="00DC56AC" w:rsidRPr="00615070" w:rsidRDefault="00DC56AC" w:rsidP="00B039CB">
            <w:pPr>
              <w:jc w:val="center"/>
              <w:rPr>
                <w:rFonts w:ascii="Calibri" w:hAnsi="Calibri" w:cs="Calibri"/>
                <w:b/>
                <w:bCs/>
                <w:color w:val="FFFFFF"/>
                <w:sz w:val="22"/>
                <w:szCs w:val="22"/>
              </w:rPr>
            </w:pPr>
            <w:r w:rsidRPr="00615070">
              <w:rPr>
                <w:rFonts w:ascii="Calibri" w:hAnsi="Calibri" w:cs="Calibri"/>
                <w:b/>
                <w:bCs/>
                <w:color w:val="FFFFFF"/>
                <w:sz w:val="22"/>
                <w:szCs w:val="22"/>
              </w:rPr>
              <w:t>County</w:t>
            </w:r>
          </w:p>
        </w:tc>
        <w:tc>
          <w:tcPr>
            <w:tcW w:w="955" w:type="pct"/>
            <w:tcBorders>
              <w:top w:val="single" w:sz="4" w:space="0" w:color="auto"/>
              <w:left w:val="single" w:sz="4" w:space="0" w:color="auto"/>
              <w:bottom w:val="single" w:sz="4" w:space="0" w:color="auto"/>
              <w:right w:val="single" w:sz="4" w:space="0" w:color="auto"/>
            </w:tcBorders>
            <w:shd w:val="clear" w:color="5B9BD5" w:fill="5B9BD5"/>
            <w:noWrap/>
            <w:vAlign w:val="center"/>
            <w:hideMark/>
          </w:tcPr>
          <w:p w:rsidR="00DC56AC" w:rsidRPr="00615070" w:rsidRDefault="00DC56AC" w:rsidP="00B039CB">
            <w:pPr>
              <w:jc w:val="center"/>
              <w:rPr>
                <w:rFonts w:ascii="Calibri" w:hAnsi="Calibri" w:cs="Calibri"/>
                <w:b/>
                <w:bCs/>
                <w:color w:val="FFFFFF"/>
                <w:sz w:val="22"/>
                <w:szCs w:val="22"/>
              </w:rPr>
            </w:pPr>
            <w:r>
              <w:rPr>
                <w:rFonts w:ascii="Calibri" w:hAnsi="Calibri" w:cs="Calibri"/>
                <w:b/>
                <w:bCs/>
                <w:color w:val="FFFFFF"/>
                <w:sz w:val="22"/>
                <w:szCs w:val="22"/>
              </w:rPr>
              <w:t>Census Block</w:t>
            </w:r>
          </w:p>
        </w:tc>
        <w:tc>
          <w:tcPr>
            <w:tcW w:w="3178" w:type="pct"/>
            <w:tcBorders>
              <w:top w:val="single" w:sz="4" w:space="0" w:color="auto"/>
              <w:left w:val="single" w:sz="4" w:space="0" w:color="auto"/>
              <w:bottom w:val="single" w:sz="4" w:space="0" w:color="auto"/>
              <w:right w:val="single" w:sz="4" w:space="0" w:color="auto"/>
            </w:tcBorders>
            <w:shd w:val="clear" w:color="5B9BD5" w:fill="5B9BD5"/>
            <w:vAlign w:val="center"/>
            <w:hideMark/>
          </w:tcPr>
          <w:p w:rsidR="00DC56AC" w:rsidRPr="00615070" w:rsidRDefault="00DC56AC" w:rsidP="00B039CB">
            <w:pPr>
              <w:jc w:val="center"/>
              <w:rPr>
                <w:rFonts w:ascii="Calibri" w:hAnsi="Calibri" w:cs="Calibri"/>
                <w:b/>
                <w:bCs/>
                <w:color w:val="FFFFFF"/>
                <w:sz w:val="22"/>
                <w:szCs w:val="22"/>
              </w:rPr>
            </w:pPr>
            <w:r>
              <w:rPr>
                <w:rFonts w:ascii="Calibri" w:hAnsi="Calibri" w:cs="Calibri"/>
                <w:b/>
                <w:bCs/>
                <w:color w:val="FFFFFF"/>
                <w:sz w:val="22"/>
                <w:szCs w:val="22"/>
              </w:rPr>
              <w:t xml:space="preserve">Confirmed </w:t>
            </w:r>
            <w:r w:rsidRPr="00615070">
              <w:rPr>
                <w:rFonts w:ascii="Calibri" w:hAnsi="Calibri" w:cs="Calibri"/>
                <w:b/>
                <w:bCs/>
                <w:color w:val="FFFFFF"/>
                <w:sz w:val="22"/>
                <w:szCs w:val="22"/>
              </w:rPr>
              <w:t xml:space="preserve">ETCs </w:t>
            </w:r>
            <w:r>
              <w:rPr>
                <w:rFonts w:ascii="Calibri" w:hAnsi="Calibri" w:cs="Calibri"/>
                <w:b/>
                <w:bCs/>
                <w:color w:val="FFFFFF"/>
                <w:sz w:val="22"/>
                <w:szCs w:val="22"/>
              </w:rPr>
              <w:t>Serving Census Block</w:t>
            </w:r>
          </w:p>
        </w:tc>
      </w:tr>
      <w:tr w:rsidR="00DC56AC" w:rsidRPr="00615070" w:rsidTr="00B039CB">
        <w:trPr>
          <w:trHeight w:val="612"/>
        </w:trPr>
        <w:tc>
          <w:tcPr>
            <w:tcW w:w="350"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Alachua</w:t>
            </w:r>
          </w:p>
        </w:tc>
        <w:tc>
          <w:tcPr>
            <w:tcW w:w="955"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120010009011000</w:t>
            </w:r>
          </w:p>
        </w:tc>
        <w:tc>
          <w:tcPr>
            <w:tcW w:w="3178"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Assurance Wireless, SafeLink Wireless, Access Wireless,</w:t>
            </w:r>
            <w:r>
              <w:rPr>
                <w:rFonts w:ascii="Calibri" w:hAnsi="Calibri" w:cs="Calibri"/>
                <w:color w:val="000000"/>
                <w:sz w:val="22"/>
                <w:szCs w:val="22"/>
              </w:rPr>
              <w:t xml:space="preserve"> T-Mobile</w:t>
            </w:r>
          </w:p>
        </w:tc>
      </w:tr>
      <w:tr w:rsidR="00DC56AC" w:rsidRPr="00615070" w:rsidTr="00B039CB">
        <w:trPr>
          <w:trHeight w:val="612"/>
        </w:trPr>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Alachua</w:t>
            </w: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120010015171007</w:t>
            </w:r>
          </w:p>
        </w:tc>
        <w:tc>
          <w:tcPr>
            <w:tcW w:w="3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Assurance Wireless, SafeLink Wireless, Access Wireless,</w:t>
            </w:r>
            <w:r>
              <w:rPr>
                <w:rFonts w:ascii="Calibri" w:hAnsi="Calibri" w:cs="Calibri"/>
                <w:color w:val="000000"/>
                <w:sz w:val="22"/>
                <w:szCs w:val="22"/>
              </w:rPr>
              <w:t xml:space="preserve"> T-Mobile</w:t>
            </w:r>
          </w:p>
        </w:tc>
      </w:tr>
      <w:tr w:rsidR="00DC56AC" w:rsidRPr="00615070" w:rsidTr="00B039CB">
        <w:trPr>
          <w:trHeight w:val="584"/>
        </w:trPr>
        <w:tc>
          <w:tcPr>
            <w:tcW w:w="350"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Alachua</w:t>
            </w:r>
          </w:p>
        </w:tc>
        <w:tc>
          <w:tcPr>
            <w:tcW w:w="955"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120010015171009</w:t>
            </w:r>
          </w:p>
        </w:tc>
        <w:tc>
          <w:tcPr>
            <w:tcW w:w="3178"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 xml:space="preserve">Assurance Wireless, SafeLink Wireless, Access Wireless, </w:t>
            </w:r>
            <w:r>
              <w:rPr>
                <w:rFonts w:ascii="Calibri" w:hAnsi="Calibri" w:cs="Calibri"/>
                <w:color w:val="000000"/>
                <w:sz w:val="22"/>
                <w:szCs w:val="22"/>
              </w:rPr>
              <w:t>T-Mobile</w:t>
            </w:r>
          </w:p>
        </w:tc>
      </w:tr>
      <w:tr w:rsidR="00DC56AC" w:rsidRPr="00615070" w:rsidTr="00B039CB">
        <w:trPr>
          <w:trHeight w:val="584"/>
        </w:trPr>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Alachua</w:t>
            </w: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120010015171014</w:t>
            </w:r>
          </w:p>
        </w:tc>
        <w:tc>
          <w:tcPr>
            <w:tcW w:w="3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 xml:space="preserve">Assurance Wireless, SafeLink Wireless, Access Wireless, </w:t>
            </w:r>
            <w:r>
              <w:rPr>
                <w:rFonts w:ascii="Calibri" w:hAnsi="Calibri" w:cs="Calibri"/>
                <w:color w:val="000000"/>
                <w:sz w:val="22"/>
                <w:szCs w:val="22"/>
              </w:rPr>
              <w:t>T-Mobile</w:t>
            </w:r>
          </w:p>
        </w:tc>
      </w:tr>
      <w:tr w:rsidR="00DC56AC" w:rsidRPr="00615070" w:rsidTr="00B039CB">
        <w:trPr>
          <w:trHeight w:val="584"/>
        </w:trPr>
        <w:tc>
          <w:tcPr>
            <w:tcW w:w="350"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Alachua</w:t>
            </w:r>
          </w:p>
        </w:tc>
        <w:tc>
          <w:tcPr>
            <w:tcW w:w="955"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120010017023028</w:t>
            </w:r>
          </w:p>
        </w:tc>
        <w:tc>
          <w:tcPr>
            <w:tcW w:w="3178"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 xml:space="preserve">Assurance Wireless, SafeLink Wireless, Access Wireless, </w:t>
            </w:r>
            <w:r>
              <w:rPr>
                <w:rFonts w:ascii="Calibri" w:hAnsi="Calibri" w:cs="Calibri"/>
                <w:color w:val="000000"/>
                <w:sz w:val="22"/>
                <w:szCs w:val="22"/>
              </w:rPr>
              <w:t>T-Mobile</w:t>
            </w:r>
          </w:p>
        </w:tc>
      </w:tr>
      <w:tr w:rsidR="00DC56AC" w:rsidRPr="00615070" w:rsidTr="00B039CB">
        <w:trPr>
          <w:trHeight w:val="584"/>
        </w:trPr>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Alachua</w:t>
            </w: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120010022201011</w:t>
            </w:r>
          </w:p>
        </w:tc>
        <w:tc>
          <w:tcPr>
            <w:tcW w:w="3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 xml:space="preserve">Assurance Wireless, SafeLink Wireless, Access Wireless, </w:t>
            </w:r>
            <w:r>
              <w:rPr>
                <w:rFonts w:ascii="Calibri" w:hAnsi="Calibri" w:cs="Calibri"/>
                <w:color w:val="000000"/>
                <w:sz w:val="22"/>
                <w:szCs w:val="22"/>
              </w:rPr>
              <w:t>T-Mobile</w:t>
            </w:r>
          </w:p>
        </w:tc>
      </w:tr>
      <w:tr w:rsidR="00DC56AC" w:rsidRPr="00615070" w:rsidTr="00B039CB">
        <w:trPr>
          <w:trHeight w:val="584"/>
        </w:trPr>
        <w:tc>
          <w:tcPr>
            <w:tcW w:w="350"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Alachua</w:t>
            </w:r>
          </w:p>
        </w:tc>
        <w:tc>
          <w:tcPr>
            <w:tcW w:w="955"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120010022201024</w:t>
            </w:r>
          </w:p>
        </w:tc>
        <w:tc>
          <w:tcPr>
            <w:tcW w:w="3178"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 xml:space="preserve">Assurance Wireless, SafeLink Wireless, Access Wireless, </w:t>
            </w:r>
            <w:r>
              <w:rPr>
                <w:rFonts w:ascii="Calibri" w:hAnsi="Calibri" w:cs="Calibri"/>
                <w:color w:val="000000"/>
                <w:sz w:val="22"/>
                <w:szCs w:val="22"/>
              </w:rPr>
              <w:t>T-Mobile</w:t>
            </w:r>
          </w:p>
        </w:tc>
      </w:tr>
      <w:tr w:rsidR="00DC56AC" w:rsidRPr="00615070" w:rsidTr="00B039CB">
        <w:trPr>
          <w:trHeight w:val="584"/>
        </w:trPr>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Alachua</w:t>
            </w: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120010022201027</w:t>
            </w:r>
          </w:p>
        </w:tc>
        <w:tc>
          <w:tcPr>
            <w:tcW w:w="3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Assurance Wireless, SafeLink Wireless, Access Wireless,</w:t>
            </w:r>
            <w:r>
              <w:rPr>
                <w:rFonts w:ascii="Calibri" w:hAnsi="Calibri" w:cs="Calibri"/>
                <w:color w:val="000000"/>
                <w:sz w:val="22"/>
                <w:szCs w:val="22"/>
              </w:rPr>
              <w:t xml:space="preserve"> T-Mobile</w:t>
            </w:r>
          </w:p>
        </w:tc>
      </w:tr>
      <w:tr w:rsidR="00DC56AC" w:rsidRPr="00615070" w:rsidTr="00B039CB">
        <w:trPr>
          <w:trHeight w:val="584"/>
        </w:trPr>
        <w:tc>
          <w:tcPr>
            <w:tcW w:w="350"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Alachua</w:t>
            </w:r>
          </w:p>
        </w:tc>
        <w:tc>
          <w:tcPr>
            <w:tcW w:w="955"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120010022201048</w:t>
            </w:r>
          </w:p>
        </w:tc>
        <w:tc>
          <w:tcPr>
            <w:tcW w:w="3178"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 xml:space="preserve">Assurance Wireless, SafeLink Wireless, Access Wireless, </w:t>
            </w:r>
            <w:r>
              <w:rPr>
                <w:rFonts w:ascii="Calibri" w:hAnsi="Calibri" w:cs="Calibri"/>
                <w:color w:val="000000"/>
                <w:sz w:val="22"/>
                <w:szCs w:val="22"/>
              </w:rPr>
              <w:t>T-Mobile</w:t>
            </w:r>
          </w:p>
        </w:tc>
      </w:tr>
      <w:tr w:rsidR="00DC56AC" w:rsidRPr="00615070" w:rsidTr="00B039CB">
        <w:trPr>
          <w:trHeight w:val="584"/>
        </w:trPr>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Alachua</w:t>
            </w: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120010022201052</w:t>
            </w:r>
          </w:p>
        </w:tc>
        <w:tc>
          <w:tcPr>
            <w:tcW w:w="3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 xml:space="preserve">Assurance Wireless, SafeLink Wireless, Access Wireless, </w:t>
            </w:r>
            <w:r>
              <w:rPr>
                <w:rFonts w:ascii="Calibri" w:hAnsi="Calibri" w:cs="Calibri"/>
                <w:color w:val="000000"/>
                <w:sz w:val="22"/>
                <w:szCs w:val="22"/>
              </w:rPr>
              <w:t>T-Mobile</w:t>
            </w:r>
          </w:p>
        </w:tc>
      </w:tr>
      <w:tr w:rsidR="00DC56AC" w:rsidRPr="00615070" w:rsidTr="00B039CB">
        <w:trPr>
          <w:trHeight w:val="584"/>
        </w:trPr>
        <w:tc>
          <w:tcPr>
            <w:tcW w:w="350"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Alachua</w:t>
            </w:r>
          </w:p>
        </w:tc>
        <w:tc>
          <w:tcPr>
            <w:tcW w:w="955"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120010022201054</w:t>
            </w:r>
          </w:p>
        </w:tc>
        <w:tc>
          <w:tcPr>
            <w:tcW w:w="3178"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 xml:space="preserve">Assurance Wireless, SafeLink Wireless, Access Wireless, </w:t>
            </w:r>
            <w:r>
              <w:rPr>
                <w:rFonts w:ascii="Calibri" w:hAnsi="Calibri" w:cs="Calibri"/>
                <w:color w:val="000000"/>
                <w:sz w:val="22"/>
                <w:szCs w:val="22"/>
              </w:rPr>
              <w:t>T-Mobile</w:t>
            </w:r>
          </w:p>
        </w:tc>
      </w:tr>
      <w:tr w:rsidR="00DC56AC" w:rsidRPr="00615070" w:rsidTr="00B039CB">
        <w:trPr>
          <w:trHeight w:val="584"/>
        </w:trPr>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Lake</w:t>
            </w: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120690303081030</w:t>
            </w:r>
          </w:p>
        </w:tc>
        <w:tc>
          <w:tcPr>
            <w:tcW w:w="3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Assurance Wireless, SafeLink Wireless, Access Wireless,</w:t>
            </w:r>
            <w:r>
              <w:rPr>
                <w:rFonts w:ascii="Calibri" w:hAnsi="Calibri" w:cs="Calibri"/>
                <w:color w:val="000000"/>
                <w:sz w:val="22"/>
                <w:szCs w:val="22"/>
              </w:rPr>
              <w:t xml:space="preserve"> T-Mobile, </w:t>
            </w:r>
            <w:r w:rsidRPr="00615070">
              <w:rPr>
                <w:rFonts w:ascii="Calibri" w:hAnsi="Calibri" w:cs="Calibri"/>
                <w:color w:val="000000"/>
                <w:sz w:val="22"/>
                <w:szCs w:val="22"/>
              </w:rPr>
              <w:t>CenturyLink</w:t>
            </w:r>
          </w:p>
        </w:tc>
      </w:tr>
      <w:tr w:rsidR="00DC56AC" w:rsidRPr="00615070" w:rsidTr="00B039CB">
        <w:trPr>
          <w:trHeight w:val="584"/>
        </w:trPr>
        <w:tc>
          <w:tcPr>
            <w:tcW w:w="350"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Lake</w:t>
            </w:r>
          </w:p>
        </w:tc>
        <w:tc>
          <w:tcPr>
            <w:tcW w:w="955"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120690303081032</w:t>
            </w:r>
          </w:p>
        </w:tc>
        <w:tc>
          <w:tcPr>
            <w:tcW w:w="3178"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 xml:space="preserve">Assurance Wireless, SafeLink Wireless, Access Wireless, </w:t>
            </w:r>
            <w:r>
              <w:rPr>
                <w:rFonts w:ascii="Calibri" w:hAnsi="Calibri" w:cs="Calibri"/>
                <w:color w:val="000000"/>
                <w:sz w:val="22"/>
                <w:szCs w:val="22"/>
              </w:rPr>
              <w:t xml:space="preserve">T-Mobile, </w:t>
            </w:r>
            <w:r w:rsidRPr="00615070">
              <w:rPr>
                <w:rFonts w:ascii="Calibri" w:hAnsi="Calibri" w:cs="Calibri"/>
                <w:color w:val="000000"/>
                <w:sz w:val="22"/>
                <w:szCs w:val="22"/>
              </w:rPr>
              <w:t>CenturyLink</w:t>
            </w:r>
          </w:p>
        </w:tc>
      </w:tr>
      <w:tr w:rsidR="00DC56AC" w:rsidRPr="00615070" w:rsidTr="00B039CB">
        <w:trPr>
          <w:trHeight w:val="584"/>
        </w:trPr>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Lake</w:t>
            </w: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120690310001048</w:t>
            </w:r>
          </w:p>
        </w:tc>
        <w:tc>
          <w:tcPr>
            <w:tcW w:w="3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Assurance Wireless, SafeLink Wireless, Access Wireless,</w:t>
            </w:r>
            <w:r>
              <w:rPr>
                <w:rFonts w:ascii="Calibri" w:hAnsi="Calibri" w:cs="Calibri"/>
                <w:color w:val="000000"/>
                <w:sz w:val="22"/>
                <w:szCs w:val="22"/>
              </w:rPr>
              <w:t xml:space="preserve"> T-Mobile,</w:t>
            </w:r>
            <w:r w:rsidRPr="00615070">
              <w:rPr>
                <w:rFonts w:ascii="Calibri" w:hAnsi="Calibri" w:cs="Calibri"/>
                <w:color w:val="000000"/>
                <w:sz w:val="22"/>
                <w:szCs w:val="22"/>
              </w:rPr>
              <w:t xml:space="preserve"> CenturyLink</w:t>
            </w:r>
          </w:p>
        </w:tc>
      </w:tr>
      <w:tr w:rsidR="00DC56AC" w:rsidRPr="00615070" w:rsidTr="00B039CB">
        <w:trPr>
          <w:trHeight w:val="584"/>
        </w:trPr>
        <w:tc>
          <w:tcPr>
            <w:tcW w:w="350"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Manatee</w:t>
            </w:r>
          </w:p>
        </w:tc>
        <w:tc>
          <w:tcPr>
            <w:tcW w:w="955"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120810020142019</w:t>
            </w:r>
          </w:p>
        </w:tc>
        <w:tc>
          <w:tcPr>
            <w:tcW w:w="3178"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Assurance Wireless, SafeLink Wireless, Access Wireless,</w:t>
            </w:r>
            <w:r>
              <w:rPr>
                <w:rFonts w:ascii="Calibri" w:hAnsi="Calibri" w:cs="Calibri"/>
                <w:color w:val="000000"/>
                <w:sz w:val="22"/>
                <w:szCs w:val="22"/>
              </w:rPr>
              <w:t xml:space="preserve"> T-Mobile, </w:t>
            </w:r>
            <w:r w:rsidRPr="00615070">
              <w:rPr>
                <w:rFonts w:ascii="Calibri" w:hAnsi="Calibri" w:cs="Calibri"/>
                <w:color w:val="000000"/>
                <w:sz w:val="22"/>
                <w:szCs w:val="22"/>
              </w:rPr>
              <w:t>Frontier Florida</w:t>
            </w:r>
          </w:p>
        </w:tc>
      </w:tr>
      <w:tr w:rsidR="00DC56AC" w:rsidRPr="00615070" w:rsidTr="00B039CB">
        <w:trPr>
          <w:trHeight w:val="341"/>
        </w:trPr>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Manatee</w:t>
            </w: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120810020142020</w:t>
            </w:r>
          </w:p>
        </w:tc>
        <w:tc>
          <w:tcPr>
            <w:tcW w:w="3178" w:type="pct"/>
            <w:tcBorders>
              <w:top w:val="single" w:sz="4" w:space="0" w:color="auto"/>
              <w:left w:val="single" w:sz="4" w:space="0" w:color="auto"/>
              <w:bottom w:val="single" w:sz="4" w:space="0" w:color="auto"/>
              <w:right w:val="single" w:sz="4" w:space="0" w:color="auto"/>
            </w:tcBorders>
            <w:shd w:val="clear" w:color="auto" w:fill="auto"/>
            <w:vAlign w:val="center"/>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 xml:space="preserve">Assurance Wireless, SafeLink Wireless, Access Wireless, </w:t>
            </w:r>
            <w:r>
              <w:rPr>
                <w:rFonts w:ascii="Calibri" w:hAnsi="Calibri" w:cs="Calibri"/>
                <w:color w:val="000000"/>
                <w:sz w:val="22"/>
                <w:szCs w:val="22"/>
              </w:rPr>
              <w:t xml:space="preserve">T-Mobile, </w:t>
            </w:r>
            <w:r w:rsidRPr="00615070">
              <w:rPr>
                <w:rFonts w:ascii="Calibri" w:hAnsi="Calibri" w:cs="Calibri"/>
                <w:color w:val="000000"/>
                <w:sz w:val="22"/>
                <w:szCs w:val="22"/>
              </w:rPr>
              <w:t>Frontier Florida</w:t>
            </w:r>
          </w:p>
        </w:tc>
      </w:tr>
      <w:tr w:rsidR="00DC56AC" w:rsidRPr="00615070" w:rsidTr="00B039CB">
        <w:trPr>
          <w:trHeight w:val="584"/>
        </w:trPr>
        <w:tc>
          <w:tcPr>
            <w:tcW w:w="350"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Marion</w:t>
            </w:r>
          </w:p>
        </w:tc>
        <w:tc>
          <w:tcPr>
            <w:tcW w:w="955"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120830010062001</w:t>
            </w:r>
          </w:p>
        </w:tc>
        <w:tc>
          <w:tcPr>
            <w:tcW w:w="3178"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 xml:space="preserve">Assurance Wireless, SafeLink Wireless, Access Wireless, </w:t>
            </w:r>
            <w:r>
              <w:rPr>
                <w:rFonts w:ascii="Calibri" w:hAnsi="Calibri" w:cs="Calibri"/>
                <w:color w:val="000000"/>
                <w:sz w:val="22"/>
                <w:szCs w:val="22"/>
              </w:rPr>
              <w:t xml:space="preserve">T-Mobile, </w:t>
            </w:r>
            <w:r w:rsidRPr="00615070">
              <w:rPr>
                <w:rFonts w:ascii="Calibri" w:hAnsi="Calibri" w:cs="Calibri"/>
                <w:color w:val="000000"/>
                <w:sz w:val="22"/>
                <w:szCs w:val="22"/>
              </w:rPr>
              <w:t>CenturyLink</w:t>
            </w:r>
          </w:p>
        </w:tc>
      </w:tr>
      <w:tr w:rsidR="00DC56AC" w:rsidRPr="00615070" w:rsidTr="00B039CB">
        <w:trPr>
          <w:trHeight w:val="584"/>
        </w:trPr>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Marion</w:t>
            </w: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120830010062021</w:t>
            </w:r>
          </w:p>
        </w:tc>
        <w:tc>
          <w:tcPr>
            <w:tcW w:w="3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Assurance Wireless, SafeLink Wireless, Access Wireless,</w:t>
            </w:r>
            <w:r>
              <w:rPr>
                <w:rFonts w:ascii="Calibri" w:hAnsi="Calibri" w:cs="Calibri"/>
                <w:color w:val="000000"/>
                <w:sz w:val="22"/>
                <w:szCs w:val="22"/>
              </w:rPr>
              <w:t xml:space="preserve"> T-Mobile,</w:t>
            </w:r>
            <w:r w:rsidRPr="00615070">
              <w:rPr>
                <w:rFonts w:ascii="Calibri" w:hAnsi="Calibri" w:cs="Calibri"/>
                <w:color w:val="000000"/>
                <w:sz w:val="22"/>
                <w:szCs w:val="22"/>
              </w:rPr>
              <w:t xml:space="preserve"> CenturyLink</w:t>
            </w:r>
          </w:p>
        </w:tc>
      </w:tr>
      <w:tr w:rsidR="00DC56AC" w:rsidRPr="00615070" w:rsidTr="00B039CB">
        <w:trPr>
          <w:trHeight w:val="431"/>
        </w:trPr>
        <w:tc>
          <w:tcPr>
            <w:tcW w:w="350"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Marion</w:t>
            </w:r>
          </w:p>
        </w:tc>
        <w:tc>
          <w:tcPr>
            <w:tcW w:w="955"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120830010062056</w:t>
            </w:r>
          </w:p>
        </w:tc>
        <w:tc>
          <w:tcPr>
            <w:tcW w:w="3178"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 xml:space="preserve">Assurance Wireless, SafeLink Wireless, Access Wireless, </w:t>
            </w:r>
            <w:r>
              <w:rPr>
                <w:rFonts w:ascii="Calibri" w:hAnsi="Calibri" w:cs="Calibri"/>
                <w:color w:val="000000"/>
                <w:sz w:val="22"/>
                <w:szCs w:val="22"/>
              </w:rPr>
              <w:t xml:space="preserve">T-Mobile, </w:t>
            </w:r>
            <w:r w:rsidRPr="00615070">
              <w:rPr>
                <w:rFonts w:ascii="Calibri" w:hAnsi="Calibri" w:cs="Calibri"/>
                <w:color w:val="000000"/>
                <w:sz w:val="22"/>
                <w:szCs w:val="22"/>
              </w:rPr>
              <w:t>CenturyLink</w:t>
            </w:r>
          </w:p>
        </w:tc>
      </w:tr>
      <w:tr w:rsidR="00DC56AC" w:rsidRPr="00615070" w:rsidTr="00B039CB">
        <w:trPr>
          <w:trHeight w:val="701"/>
        </w:trPr>
        <w:tc>
          <w:tcPr>
            <w:tcW w:w="350" w:type="pct"/>
            <w:tcBorders>
              <w:top w:val="single" w:sz="4" w:space="0" w:color="auto"/>
              <w:left w:val="single" w:sz="4" w:space="0" w:color="auto"/>
              <w:bottom w:val="single" w:sz="4" w:space="0" w:color="auto"/>
              <w:right w:val="single" w:sz="4" w:space="0" w:color="auto"/>
            </w:tcBorders>
            <w:shd w:val="clear" w:color="5B9BD5" w:fill="5B9BD5"/>
            <w:noWrap/>
            <w:vAlign w:val="center"/>
          </w:tcPr>
          <w:p w:rsidR="00DC56AC" w:rsidRPr="00915617" w:rsidRDefault="00DC56AC" w:rsidP="00B039CB">
            <w:pPr>
              <w:jc w:val="center"/>
              <w:rPr>
                <w:rFonts w:ascii="Calibri" w:hAnsi="Calibri" w:cs="Calibri"/>
                <w:color w:val="FFFFFF" w:themeColor="background1"/>
                <w:sz w:val="22"/>
                <w:szCs w:val="22"/>
              </w:rPr>
            </w:pPr>
            <w:r w:rsidRPr="00915617">
              <w:rPr>
                <w:rFonts w:ascii="Calibri" w:hAnsi="Calibri" w:cs="Calibri"/>
                <w:color w:val="FFFFFF" w:themeColor="background1"/>
                <w:sz w:val="22"/>
                <w:szCs w:val="22"/>
              </w:rPr>
              <w:lastRenderedPageBreak/>
              <w:t>State</w:t>
            </w:r>
          </w:p>
        </w:tc>
        <w:tc>
          <w:tcPr>
            <w:tcW w:w="517" w:type="pct"/>
            <w:tcBorders>
              <w:top w:val="single" w:sz="4" w:space="0" w:color="auto"/>
              <w:left w:val="single" w:sz="4" w:space="0" w:color="auto"/>
              <w:bottom w:val="single" w:sz="4" w:space="0" w:color="auto"/>
              <w:right w:val="single" w:sz="4" w:space="0" w:color="auto"/>
            </w:tcBorders>
            <w:shd w:val="clear" w:color="5B9BD5" w:fill="5B9BD5"/>
            <w:noWrap/>
            <w:vAlign w:val="center"/>
          </w:tcPr>
          <w:p w:rsidR="00DC56AC" w:rsidRPr="00915617" w:rsidRDefault="00DC56AC" w:rsidP="00B039CB">
            <w:pPr>
              <w:jc w:val="center"/>
              <w:rPr>
                <w:rFonts w:ascii="Calibri" w:hAnsi="Calibri" w:cs="Calibri"/>
                <w:color w:val="FFFFFF" w:themeColor="background1"/>
                <w:sz w:val="22"/>
                <w:szCs w:val="22"/>
              </w:rPr>
            </w:pPr>
            <w:r w:rsidRPr="00915617">
              <w:rPr>
                <w:rFonts w:ascii="Calibri" w:hAnsi="Calibri" w:cs="Calibri"/>
                <w:color w:val="FFFFFF" w:themeColor="background1"/>
                <w:sz w:val="22"/>
                <w:szCs w:val="22"/>
              </w:rPr>
              <w:t>County</w:t>
            </w:r>
          </w:p>
        </w:tc>
        <w:tc>
          <w:tcPr>
            <w:tcW w:w="955" w:type="pct"/>
            <w:tcBorders>
              <w:top w:val="single" w:sz="4" w:space="0" w:color="auto"/>
              <w:left w:val="single" w:sz="4" w:space="0" w:color="auto"/>
              <w:bottom w:val="single" w:sz="4" w:space="0" w:color="auto"/>
              <w:right w:val="single" w:sz="4" w:space="0" w:color="auto"/>
            </w:tcBorders>
            <w:shd w:val="clear" w:color="5B9BD5" w:fill="5B9BD5"/>
            <w:noWrap/>
            <w:vAlign w:val="center"/>
          </w:tcPr>
          <w:p w:rsidR="00DC56AC" w:rsidRPr="00915617" w:rsidRDefault="00DC56AC" w:rsidP="00B039CB">
            <w:pPr>
              <w:jc w:val="center"/>
              <w:rPr>
                <w:rFonts w:ascii="Calibri" w:hAnsi="Calibri" w:cs="Calibri"/>
                <w:color w:val="FFFFFF" w:themeColor="background1"/>
                <w:sz w:val="22"/>
                <w:szCs w:val="22"/>
              </w:rPr>
            </w:pPr>
            <w:r w:rsidRPr="00915617">
              <w:rPr>
                <w:rFonts w:ascii="Calibri" w:hAnsi="Calibri" w:cs="Calibri"/>
                <w:color w:val="FFFFFF" w:themeColor="background1"/>
                <w:sz w:val="22"/>
                <w:szCs w:val="22"/>
              </w:rPr>
              <w:t>Census Block</w:t>
            </w:r>
          </w:p>
        </w:tc>
        <w:tc>
          <w:tcPr>
            <w:tcW w:w="3178" w:type="pct"/>
            <w:tcBorders>
              <w:top w:val="single" w:sz="4" w:space="0" w:color="auto"/>
              <w:left w:val="single" w:sz="4" w:space="0" w:color="auto"/>
              <w:bottom w:val="single" w:sz="4" w:space="0" w:color="auto"/>
              <w:right w:val="single" w:sz="4" w:space="0" w:color="auto"/>
            </w:tcBorders>
            <w:shd w:val="clear" w:color="5B9BD5" w:fill="5B9BD5"/>
            <w:vAlign w:val="center"/>
          </w:tcPr>
          <w:p w:rsidR="00DC56AC" w:rsidRPr="00915617" w:rsidRDefault="00DC56AC" w:rsidP="00B039CB">
            <w:pPr>
              <w:jc w:val="center"/>
              <w:rPr>
                <w:rFonts w:ascii="Calibri" w:hAnsi="Calibri" w:cs="Calibri"/>
                <w:color w:val="FFFFFF" w:themeColor="background1"/>
                <w:sz w:val="22"/>
                <w:szCs w:val="22"/>
              </w:rPr>
            </w:pPr>
            <w:r w:rsidRPr="00915617">
              <w:rPr>
                <w:rFonts w:ascii="Calibri" w:hAnsi="Calibri" w:cs="Calibri"/>
                <w:color w:val="FFFFFF" w:themeColor="background1"/>
                <w:sz w:val="22"/>
                <w:szCs w:val="22"/>
              </w:rPr>
              <w:t>Confirmed ETCs Serving Census Block</w:t>
            </w:r>
          </w:p>
        </w:tc>
      </w:tr>
      <w:tr w:rsidR="00DC56AC" w:rsidRPr="00615070" w:rsidTr="00B039CB">
        <w:trPr>
          <w:trHeight w:val="584"/>
        </w:trPr>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Marion</w:t>
            </w: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120830010062057</w:t>
            </w:r>
          </w:p>
        </w:tc>
        <w:tc>
          <w:tcPr>
            <w:tcW w:w="3178" w:type="pct"/>
            <w:tcBorders>
              <w:top w:val="single" w:sz="4" w:space="0" w:color="auto"/>
              <w:left w:val="single" w:sz="4" w:space="0" w:color="auto"/>
              <w:bottom w:val="single" w:sz="4" w:space="0" w:color="auto"/>
              <w:right w:val="single" w:sz="4" w:space="0" w:color="auto"/>
            </w:tcBorders>
            <w:shd w:val="clear" w:color="auto" w:fill="auto"/>
            <w:vAlign w:val="center"/>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 xml:space="preserve">Assurance Wireless, SafeLink Wireless, Access Wireless, </w:t>
            </w:r>
            <w:r>
              <w:rPr>
                <w:rFonts w:ascii="Calibri" w:hAnsi="Calibri" w:cs="Calibri"/>
                <w:color w:val="000000"/>
                <w:sz w:val="22"/>
                <w:szCs w:val="22"/>
              </w:rPr>
              <w:t xml:space="preserve">T-Mobile, </w:t>
            </w:r>
            <w:r w:rsidRPr="00615070">
              <w:rPr>
                <w:rFonts w:ascii="Calibri" w:hAnsi="Calibri" w:cs="Calibri"/>
                <w:color w:val="000000"/>
                <w:sz w:val="22"/>
                <w:szCs w:val="22"/>
              </w:rPr>
              <w:t>CenturyLink</w:t>
            </w:r>
          </w:p>
        </w:tc>
      </w:tr>
      <w:tr w:rsidR="00DC56AC" w:rsidRPr="00615070" w:rsidTr="00B039CB">
        <w:trPr>
          <w:trHeight w:val="584"/>
        </w:trPr>
        <w:tc>
          <w:tcPr>
            <w:tcW w:w="350" w:type="pct"/>
            <w:tcBorders>
              <w:top w:val="single" w:sz="4" w:space="0" w:color="auto"/>
              <w:left w:val="single" w:sz="4" w:space="0" w:color="auto"/>
              <w:bottom w:val="single" w:sz="4" w:space="0" w:color="auto"/>
              <w:right w:val="single" w:sz="4" w:space="0" w:color="auto"/>
            </w:tcBorders>
            <w:shd w:val="clear" w:color="DDEBF7" w:fill="DDEBF7"/>
            <w:noWrap/>
            <w:vAlign w:val="center"/>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DDEBF7" w:fill="DDEBF7"/>
            <w:noWrap/>
            <w:vAlign w:val="center"/>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Marion</w:t>
            </w:r>
          </w:p>
        </w:tc>
        <w:tc>
          <w:tcPr>
            <w:tcW w:w="955" w:type="pct"/>
            <w:tcBorders>
              <w:top w:val="single" w:sz="4" w:space="0" w:color="auto"/>
              <w:left w:val="single" w:sz="4" w:space="0" w:color="auto"/>
              <w:bottom w:val="single" w:sz="4" w:space="0" w:color="auto"/>
              <w:right w:val="single" w:sz="4" w:space="0" w:color="auto"/>
            </w:tcBorders>
            <w:shd w:val="clear" w:color="DDEBF7" w:fill="DDEBF7"/>
            <w:noWrap/>
            <w:vAlign w:val="center"/>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120830010062112</w:t>
            </w:r>
          </w:p>
        </w:tc>
        <w:tc>
          <w:tcPr>
            <w:tcW w:w="3178" w:type="pct"/>
            <w:tcBorders>
              <w:top w:val="single" w:sz="4" w:space="0" w:color="auto"/>
              <w:left w:val="single" w:sz="4" w:space="0" w:color="auto"/>
              <w:bottom w:val="single" w:sz="4" w:space="0" w:color="auto"/>
              <w:right w:val="single" w:sz="4" w:space="0" w:color="auto"/>
            </w:tcBorders>
            <w:shd w:val="clear" w:color="DDEBF7" w:fill="DDEBF7"/>
            <w:vAlign w:val="center"/>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Assurance Wireless, SafeLink Wireless, Access Wireless,</w:t>
            </w:r>
            <w:r>
              <w:rPr>
                <w:rFonts w:ascii="Calibri" w:hAnsi="Calibri" w:cs="Calibri"/>
                <w:color w:val="000000"/>
                <w:sz w:val="22"/>
                <w:szCs w:val="22"/>
              </w:rPr>
              <w:t xml:space="preserve"> T-Mobile,</w:t>
            </w:r>
            <w:r w:rsidRPr="00615070">
              <w:rPr>
                <w:rFonts w:ascii="Calibri" w:hAnsi="Calibri" w:cs="Calibri"/>
                <w:color w:val="000000"/>
                <w:sz w:val="22"/>
                <w:szCs w:val="22"/>
              </w:rPr>
              <w:t xml:space="preserve"> CenturyLink</w:t>
            </w:r>
          </w:p>
        </w:tc>
      </w:tr>
      <w:tr w:rsidR="00DC56AC" w:rsidRPr="00615070" w:rsidTr="00B039CB">
        <w:trPr>
          <w:trHeight w:val="584"/>
        </w:trPr>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Marion</w:t>
            </w: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120830010062114</w:t>
            </w:r>
          </w:p>
        </w:tc>
        <w:tc>
          <w:tcPr>
            <w:tcW w:w="3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 xml:space="preserve">Assurance Wireless, SafeLink Wireless, Access Wireless, </w:t>
            </w:r>
            <w:r>
              <w:rPr>
                <w:rFonts w:ascii="Calibri" w:hAnsi="Calibri" w:cs="Calibri"/>
                <w:color w:val="000000"/>
                <w:sz w:val="22"/>
                <w:szCs w:val="22"/>
              </w:rPr>
              <w:t xml:space="preserve">T-Mobile, </w:t>
            </w:r>
            <w:r w:rsidRPr="00615070">
              <w:rPr>
                <w:rFonts w:ascii="Calibri" w:hAnsi="Calibri" w:cs="Calibri"/>
                <w:color w:val="000000"/>
                <w:sz w:val="22"/>
                <w:szCs w:val="22"/>
              </w:rPr>
              <w:t>CenturyLink</w:t>
            </w:r>
          </w:p>
        </w:tc>
      </w:tr>
      <w:tr w:rsidR="00DC56AC" w:rsidRPr="00615070" w:rsidTr="00B039CB">
        <w:trPr>
          <w:trHeight w:val="584"/>
        </w:trPr>
        <w:tc>
          <w:tcPr>
            <w:tcW w:w="350"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Marion</w:t>
            </w:r>
          </w:p>
        </w:tc>
        <w:tc>
          <w:tcPr>
            <w:tcW w:w="955"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120830010062120</w:t>
            </w:r>
          </w:p>
        </w:tc>
        <w:tc>
          <w:tcPr>
            <w:tcW w:w="3178"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 xml:space="preserve">Assurance Wireless, SafeLink Wireless, Access Wireless, </w:t>
            </w:r>
            <w:r>
              <w:rPr>
                <w:rFonts w:ascii="Calibri" w:hAnsi="Calibri" w:cs="Calibri"/>
                <w:color w:val="000000"/>
                <w:sz w:val="22"/>
                <w:szCs w:val="22"/>
              </w:rPr>
              <w:t xml:space="preserve">T-Mobile, </w:t>
            </w:r>
            <w:r w:rsidRPr="00615070">
              <w:rPr>
                <w:rFonts w:ascii="Calibri" w:hAnsi="Calibri" w:cs="Calibri"/>
                <w:color w:val="000000"/>
                <w:sz w:val="22"/>
                <w:szCs w:val="22"/>
              </w:rPr>
              <w:t>CenturyLink</w:t>
            </w:r>
          </w:p>
        </w:tc>
      </w:tr>
      <w:tr w:rsidR="00DC56AC" w:rsidRPr="00615070" w:rsidTr="00B039CB">
        <w:trPr>
          <w:trHeight w:val="584"/>
        </w:trPr>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Marion</w:t>
            </w: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120830010062129</w:t>
            </w:r>
          </w:p>
        </w:tc>
        <w:tc>
          <w:tcPr>
            <w:tcW w:w="3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 xml:space="preserve">Assurance Wireless, SafeLink Wireless, Access Wireless, </w:t>
            </w:r>
            <w:r>
              <w:rPr>
                <w:rFonts w:ascii="Calibri" w:hAnsi="Calibri" w:cs="Calibri"/>
                <w:color w:val="000000"/>
                <w:sz w:val="22"/>
                <w:szCs w:val="22"/>
              </w:rPr>
              <w:t xml:space="preserve">T-Mobile, </w:t>
            </w:r>
            <w:r w:rsidRPr="00615070">
              <w:rPr>
                <w:rFonts w:ascii="Calibri" w:hAnsi="Calibri" w:cs="Calibri"/>
                <w:color w:val="000000"/>
                <w:sz w:val="22"/>
                <w:szCs w:val="22"/>
              </w:rPr>
              <w:t>CenturyLink</w:t>
            </w:r>
          </w:p>
        </w:tc>
      </w:tr>
      <w:tr w:rsidR="00DC56AC" w:rsidRPr="00615070" w:rsidTr="00B039CB">
        <w:trPr>
          <w:trHeight w:val="584"/>
        </w:trPr>
        <w:tc>
          <w:tcPr>
            <w:tcW w:w="350"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Marion</w:t>
            </w:r>
          </w:p>
        </w:tc>
        <w:tc>
          <w:tcPr>
            <w:tcW w:w="955"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120830010062135</w:t>
            </w:r>
          </w:p>
        </w:tc>
        <w:tc>
          <w:tcPr>
            <w:tcW w:w="3178"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 xml:space="preserve">Assurance Wireless, SafeLink Wireless, Access Wireless, </w:t>
            </w:r>
            <w:r>
              <w:rPr>
                <w:rFonts w:ascii="Calibri" w:hAnsi="Calibri" w:cs="Calibri"/>
                <w:color w:val="000000"/>
                <w:sz w:val="22"/>
                <w:szCs w:val="22"/>
              </w:rPr>
              <w:t xml:space="preserve">T-Mobile, </w:t>
            </w:r>
            <w:r w:rsidRPr="00615070">
              <w:rPr>
                <w:rFonts w:ascii="Calibri" w:hAnsi="Calibri" w:cs="Calibri"/>
                <w:color w:val="000000"/>
                <w:sz w:val="22"/>
                <w:szCs w:val="22"/>
              </w:rPr>
              <w:t>CenturyLink</w:t>
            </w:r>
          </w:p>
        </w:tc>
      </w:tr>
      <w:tr w:rsidR="00DC56AC" w:rsidRPr="00615070" w:rsidTr="00B039CB">
        <w:trPr>
          <w:trHeight w:val="584"/>
        </w:trPr>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Marion</w:t>
            </w: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120830010062155</w:t>
            </w:r>
          </w:p>
        </w:tc>
        <w:tc>
          <w:tcPr>
            <w:tcW w:w="3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 xml:space="preserve">Assurance Wireless, SafeLink Wireless, Access Wireless, </w:t>
            </w:r>
            <w:r>
              <w:rPr>
                <w:rFonts w:ascii="Calibri" w:hAnsi="Calibri" w:cs="Calibri"/>
                <w:color w:val="000000"/>
                <w:sz w:val="22"/>
                <w:szCs w:val="22"/>
              </w:rPr>
              <w:t xml:space="preserve">T-Mobile, </w:t>
            </w:r>
            <w:r w:rsidRPr="00615070">
              <w:rPr>
                <w:rFonts w:ascii="Calibri" w:hAnsi="Calibri" w:cs="Calibri"/>
                <w:color w:val="000000"/>
                <w:sz w:val="22"/>
                <w:szCs w:val="22"/>
              </w:rPr>
              <w:t>CenturyLink</w:t>
            </w:r>
          </w:p>
        </w:tc>
      </w:tr>
      <w:tr w:rsidR="00DC56AC" w:rsidRPr="00615070" w:rsidTr="00B039CB">
        <w:trPr>
          <w:trHeight w:val="584"/>
        </w:trPr>
        <w:tc>
          <w:tcPr>
            <w:tcW w:w="350"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Marion</w:t>
            </w:r>
          </w:p>
        </w:tc>
        <w:tc>
          <w:tcPr>
            <w:tcW w:w="955"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120830010082006</w:t>
            </w:r>
          </w:p>
        </w:tc>
        <w:tc>
          <w:tcPr>
            <w:tcW w:w="3178"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 xml:space="preserve">Assurance Wireless, SafeLink Wireless, Access Wireless, </w:t>
            </w:r>
            <w:r>
              <w:rPr>
                <w:rFonts w:ascii="Calibri" w:hAnsi="Calibri" w:cs="Calibri"/>
                <w:color w:val="000000"/>
                <w:sz w:val="22"/>
                <w:szCs w:val="22"/>
              </w:rPr>
              <w:t xml:space="preserve">T-Mobile, </w:t>
            </w:r>
            <w:r w:rsidRPr="00615070">
              <w:rPr>
                <w:rFonts w:ascii="Calibri" w:hAnsi="Calibri" w:cs="Calibri"/>
                <w:color w:val="000000"/>
                <w:sz w:val="22"/>
                <w:szCs w:val="22"/>
              </w:rPr>
              <w:t>CenturyLink</w:t>
            </w:r>
          </w:p>
        </w:tc>
      </w:tr>
      <w:tr w:rsidR="00DC56AC" w:rsidRPr="00615070" w:rsidTr="00B039CB">
        <w:trPr>
          <w:trHeight w:val="584"/>
        </w:trPr>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Marion</w:t>
            </w: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120830010082033</w:t>
            </w:r>
          </w:p>
        </w:tc>
        <w:tc>
          <w:tcPr>
            <w:tcW w:w="3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 xml:space="preserve">Assurance Wireless, SafeLink Wireless, Access Wireless, </w:t>
            </w:r>
            <w:r>
              <w:rPr>
                <w:rFonts w:ascii="Calibri" w:hAnsi="Calibri" w:cs="Calibri"/>
                <w:color w:val="000000"/>
                <w:sz w:val="22"/>
                <w:szCs w:val="22"/>
              </w:rPr>
              <w:t xml:space="preserve">T-Mobile, </w:t>
            </w:r>
            <w:r w:rsidRPr="00615070">
              <w:rPr>
                <w:rFonts w:ascii="Calibri" w:hAnsi="Calibri" w:cs="Calibri"/>
                <w:color w:val="000000"/>
                <w:sz w:val="22"/>
                <w:szCs w:val="22"/>
              </w:rPr>
              <w:t>CenturyLink</w:t>
            </w:r>
          </w:p>
        </w:tc>
      </w:tr>
      <w:tr w:rsidR="00DC56AC" w:rsidRPr="00615070" w:rsidTr="00B039CB">
        <w:trPr>
          <w:trHeight w:val="584"/>
        </w:trPr>
        <w:tc>
          <w:tcPr>
            <w:tcW w:w="350"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Polk</w:t>
            </w:r>
          </w:p>
        </w:tc>
        <w:tc>
          <w:tcPr>
            <w:tcW w:w="955" w:type="pct"/>
            <w:tcBorders>
              <w:top w:val="single" w:sz="4" w:space="0" w:color="auto"/>
              <w:left w:val="single" w:sz="4" w:space="0" w:color="auto"/>
              <w:bottom w:val="single" w:sz="4" w:space="0" w:color="auto"/>
              <w:right w:val="single" w:sz="4" w:space="0" w:color="auto"/>
            </w:tcBorders>
            <w:shd w:val="clear" w:color="DDEBF7" w:fill="DDEBF7"/>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121050124051064</w:t>
            </w:r>
          </w:p>
        </w:tc>
        <w:tc>
          <w:tcPr>
            <w:tcW w:w="3178" w:type="pct"/>
            <w:tcBorders>
              <w:top w:val="single" w:sz="4" w:space="0" w:color="auto"/>
              <w:left w:val="single" w:sz="4" w:space="0" w:color="auto"/>
              <w:bottom w:val="single" w:sz="4" w:space="0" w:color="auto"/>
              <w:right w:val="single" w:sz="4" w:space="0" w:color="auto"/>
            </w:tcBorders>
            <w:shd w:val="clear" w:color="DDEBF7" w:fill="DDEBF7"/>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 xml:space="preserve">Assurance Wireless, SafeLink Wireless, Access Wireless, </w:t>
            </w:r>
            <w:r>
              <w:rPr>
                <w:rFonts w:ascii="Calibri" w:hAnsi="Calibri" w:cs="Calibri"/>
                <w:color w:val="000000"/>
                <w:sz w:val="22"/>
                <w:szCs w:val="22"/>
              </w:rPr>
              <w:t xml:space="preserve">T-Mobile, </w:t>
            </w:r>
            <w:r w:rsidRPr="00615070">
              <w:rPr>
                <w:rFonts w:ascii="Calibri" w:hAnsi="Calibri" w:cs="Calibri"/>
                <w:color w:val="000000"/>
                <w:sz w:val="22"/>
                <w:szCs w:val="22"/>
              </w:rPr>
              <w:t>Frontier Florida</w:t>
            </w:r>
          </w:p>
        </w:tc>
      </w:tr>
      <w:tr w:rsidR="00DC56AC" w:rsidRPr="00615070" w:rsidTr="00B039CB">
        <w:trPr>
          <w:trHeight w:val="584"/>
        </w:trPr>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FL</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Polk</w:t>
            </w:r>
          </w:p>
        </w:tc>
        <w:tc>
          <w:tcPr>
            <w:tcW w:w="9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121050124051068</w:t>
            </w:r>
          </w:p>
        </w:tc>
        <w:tc>
          <w:tcPr>
            <w:tcW w:w="3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56AC" w:rsidRPr="00615070" w:rsidRDefault="00DC56AC" w:rsidP="00B039CB">
            <w:pPr>
              <w:jc w:val="center"/>
              <w:rPr>
                <w:rFonts w:ascii="Calibri" w:hAnsi="Calibri" w:cs="Calibri"/>
                <w:color w:val="000000"/>
                <w:sz w:val="22"/>
                <w:szCs w:val="22"/>
              </w:rPr>
            </w:pPr>
            <w:r w:rsidRPr="00615070">
              <w:rPr>
                <w:rFonts w:ascii="Calibri" w:hAnsi="Calibri" w:cs="Calibri"/>
                <w:color w:val="000000"/>
                <w:sz w:val="22"/>
                <w:szCs w:val="22"/>
              </w:rPr>
              <w:t xml:space="preserve">Assurance Wireless, SafeLink Wireless, Access Wireless, </w:t>
            </w:r>
            <w:r>
              <w:rPr>
                <w:rFonts w:ascii="Calibri" w:hAnsi="Calibri" w:cs="Calibri"/>
                <w:color w:val="000000"/>
                <w:sz w:val="22"/>
                <w:szCs w:val="22"/>
              </w:rPr>
              <w:t xml:space="preserve">T-Mobile, </w:t>
            </w:r>
            <w:r w:rsidRPr="00615070">
              <w:rPr>
                <w:rFonts w:ascii="Calibri" w:hAnsi="Calibri" w:cs="Calibri"/>
                <w:color w:val="000000"/>
                <w:sz w:val="22"/>
                <w:szCs w:val="22"/>
              </w:rPr>
              <w:t>Frontier Florida</w:t>
            </w:r>
          </w:p>
        </w:tc>
      </w:tr>
    </w:tbl>
    <w:p w:rsidR="00E06484" w:rsidRDefault="00E06484" w:rsidP="00E275D8">
      <w:pPr>
        <w:pStyle w:val="BodyText"/>
      </w:pPr>
    </w:p>
    <w:sectPr w:rsidR="00E06484" w:rsidSect="0068481F">
      <w:headerReference w:type="defaul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F33" w:rsidRDefault="00131F33">
      <w:r>
        <w:separator/>
      </w:r>
    </w:p>
  </w:endnote>
  <w:endnote w:type="continuationSeparator" w:id="0">
    <w:p w:rsidR="00131F33" w:rsidRDefault="00131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96A01">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F33" w:rsidRDefault="00131F33">
      <w:r>
        <w:separator/>
      </w:r>
    </w:p>
  </w:footnote>
  <w:footnote w:type="continuationSeparator" w:id="0">
    <w:p w:rsidR="00131F33" w:rsidRDefault="00131F33">
      <w:r>
        <w:continuationSeparator/>
      </w:r>
    </w:p>
  </w:footnote>
  <w:footnote w:id="1">
    <w:p w:rsidR="00253F5F" w:rsidRPr="00A75C76" w:rsidRDefault="00253F5F" w:rsidP="00253F5F">
      <w:pPr>
        <w:autoSpaceDE w:val="0"/>
        <w:autoSpaceDN w:val="0"/>
        <w:adjustRightInd w:val="0"/>
        <w:jc w:val="both"/>
      </w:pPr>
      <w:r w:rsidRPr="00CE28E9">
        <w:rPr>
          <w:rStyle w:val="FootnoteReference"/>
          <w:sz w:val="20"/>
          <w:szCs w:val="20"/>
        </w:rPr>
        <w:footnoteRef/>
      </w:r>
      <w:r w:rsidRPr="00CE28E9">
        <w:rPr>
          <w:sz w:val="20"/>
          <w:szCs w:val="20"/>
        </w:rPr>
        <w:t xml:space="preserve"> </w:t>
      </w:r>
      <w:r w:rsidRPr="00A75C76">
        <w:rPr>
          <w:sz w:val="20"/>
          <w:szCs w:val="20"/>
        </w:rPr>
        <w:t>Order No. PSC-2021-0250-CO-TX issued July 9, 2021, in Docket N</w:t>
      </w:r>
      <w:r>
        <w:rPr>
          <w:sz w:val="20"/>
          <w:szCs w:val="20"/>
        </w:rPr>
        <w:t>o.</w:t>
      </w:r>
      <w:r w:rsidRPr="00A75C76">
        <w:rPr>
          <w:sz w:val="20"/>
          <w:szCs w:val="20"/>
        </w:rPr>
        <w:t xml:space="preserve"> 20210013-TX, </w:t>
      </w:r>
      <w:r w:rsidRPr="0010605A">
        <w:rPr>
          <w:i/>
          <w:sz w:val="20"/>
          <w:szCs w:val="20"/>
        </w:rPr>
        <w:t xml:space="preserve">In re: Application for designation as </w:t>
      </w:r>
      <w:r w:rsidRPr="00A75C76">
        <w:rPr>
          <w:i/>
          <w:sz w:val="20"/>
          <w:szCs w:val="20"/>
        </w:rPr>
        <w:t>an eligible telecommunications carrier to receive rural digital opportunity fund auction (Auction 904) support for voice and broadband services and request for expedited consideration, by Bright House Networks Information Services (Florida), LLC.</w:t>
      </w:r>
    </w:p>
  </w:footnote>
  <w:footnote w:id="2">
    <w:p w:rsidR="00253F5F" w:rsidRDefault="00253F5F" w:rsidP="00253F5F">
      <w:pPr>
        <w:pStyle w:val="FootnoteText"/>
      </w:pPr>
      <w:r>
        <w:rPr>
          <w:rStyle w:val="FootnoteReference"/>
        </w:rPr>
        <w:footnoteRef/>
      </w:r>
      <w:r>
        <w:t xml:space="preserve"> USAC, Rural Digital Opportunity Fund, </w:t>
      </w:r>
      <w:hyperlink r:id="rId1" w:history="1">
        <w:r w:rsidRPr="004032B9">
          <w:rPr>
            <w:rStyle w:val="Hyperlink"/>
          </w:rPr>
          <w:t>https://www.usac.org/high-cost/funds/rural-digital-opportunity-fund/</w:t>
        </w:r>
      </w:hyperlink>
      <w:r>
        <w:t>, accessed on December 11, 2021.</w:t>
      </w:r>
    </w:p>
  </w:footnote>
  <w:footnote w:id="3">
    <w:p w:rsidR="00253F5F" w:rsidRDefault="00253F5F" w:rsidP="00253F5F">
      <w:pPr>
        <w:pStyle w:val="FootnoteText"/>
      </w:pPr>
      <w:r>
        <w:rPr>
          <w:rStyle w:val="FootnoteReference"/>
        </w:rPr>
        <w:footnoteRef/>
      </w:r>
      <w:r>
        <w:t xml:space="preserve"> FCC, WC Docket No.’s 19-126 and 10-90, </w:t>
      </w:r>
      <w:hyperlink r:id="rId2" w:history="1">
        <w:r>
          <w:rPr>
            <w:rStyle w:val="Hyperlink"/>
          </w:rPr>
          <w:t>https://ecfsapi.fcc.gov/file/10908766706030/Charter% 20RDOF%20Waiver%20(09-07-2021).pdf</w:t>
        </w:r>
      </w:hyperlink>
      <w:r>
        <w:t>, accessed on December 13,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E81818"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20210171-TX</w:t>
    </w:r>
    <w:bookmarkEnd w:id="15"/>
  </w:p>
  <w:p w:rsidR="00BC402E" w:rsidRDefault="00BC402E">
    <w:pPr>
      <w:pStyle w:val="Header"/>
    </w:pPr>
    <w:r>
      <w:t xml:space="preserve">Date: </w:t>
    </w:r>
    <w:r w:rsidR="00296A01">
      <w:fldChar w:fldCharType="begin"/>
    </w:r>
    <w:r w:rsidR="00296A01">
      <w:instrText xml:space="preserve"> REF FilingDate </w:instrText>
    </w:r>
    <w:r w:rsidR="00296A01">
      <w:fldChar w:fldCharType="separate"/>
    </w:r>
    <w:r w:rsidR="00E81818">
      <w:t>December 29, 2021</w:t>
    </w:r>
    <w:r w:rsidR="00296A0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E81818">
      <w:t>Docket No.</w:t>
    </w:r>
    <w:r>
      <w:fldChar w:fldCharType="end"/>
    </w:r>
    <w:r>
      <w:t xml:space="preserve"> </w:t>
    </w:r>
    <w:r>
      <w:fldChar w:fldCharType="begin"/>
    </w:r>
    <w:r>
      <w:instrText xml:space="preserve"> REF DocketList</w:instrText>
    </w:r>
    <w:r>
      <w:fldChar w:fldCharType="separate"/>
    </w:r>
    <w:r w:rsidR="00E81818">
      <w:t>20210171-TX</w:t>
    </w:r>
    <w:r>
      <w:fldChar w:fldCharType="end"/>
    </w:r>
    <w:r>
      <w:tab/>
      <w:t xml:space="preserve">Issue </w:t>
    </w:r>
    <w:fldSimple w:instr=" Seq Issue \c \* Arabic ">
      <w:r w:rsidR="00296A01">
        <w:rPr>
          <w:noProof/>
        </w:rPr>
        <w:t>2</w:t>
      </w:r>
    </w:fldSimple>
  </w:p>
  <w:p w:rsidR="00BC402E" w:rsidRDefault="00BC402E">
    <w:pPr>
      <w:pStyle w:val="Header"/>
    </w:pPr>
    <w:r>
      <w:t xml:space="preserve">Date: </w:t>
    </w:r>
    <w:r w:rsidR="00296A01">
      <w:fldChar w:fldCharType="begin"/>
    </w:r>
    <w:r w:rsidR="00296A01">
      <w:instrText xml:space="preserve"> REF FilingDate </w:instrText>
    </w:r>
    <w:r w:rsidR="00296A01">
      <w:fldChar w:fldCharType="separate"/>
    </w:r>
    <w:r w:rsidR="00E81818">
      <w:t>December 29, 2021</w:t>
    </w:r>
    <w:r w:rsidR="00296A0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6AC" w:rsidRDefault="00DC56A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20210171-TX</w:t>
    </w:r>
    <w:r>
      <w:fldChar w:fldCharType="end"/>
    </w:r>
    <w:r>
      <w:tab/>
      <w:t>Attachment A</w:t>
    </w:r>
  </w:p>
  <w:p w:rsidR="00DC56AC" w:rsidRDefault="00DC56AC">
    <w:pPr>
      <w:pStyle w:val="Header"/>
    </w:pPr>
    <w:r>
      <w:t xml:space="preserve">Date: </w:t>
    </w:r>
    <w:r w:rsidR="00296A01">
      <w:fldChar w:fldCharType="begin"/>
    </w:r>
    <w:r w:rsidR="00296A01">
      <w:instrText xml:space="preserve"> REF FilingDate </w:instrText>
    </w:r>
    <w:r w:rsidR="00296A01">
      <w:fldChar w:fldCharType="separate"/>
    </w:r>
    <w:r>
      <w:t>December 29, 2021</w:t>
    </w:r>
    <w:r w:rsidR="00296A0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81818"/>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17C8C"/>
    <w:rsid w:val="00124C38"/>
    <w:rsid w:val="00124E2E"/>
    <w:rsid w:val="00125ED4"/>
    <w:rsid w:val="001305E9"/>
    <w:rsid w:val="001307AF"/>
    <w:rsid w:val="00131F33"/>
    <w:rsid w:val="00135687"/>
    <w:rsid w:val="0015506E"/>
    <w:rsid w:val="00163031"/>
    <w:rsid w:val="00171A90"/>
    <w:rsid w:val="00180254"/>
    <w:rsid w:val="00191E1F"/>
    <w:rsid w:val="00192943"/>
    <w:rsid w:val="001972A1"/>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53F5F"/>
    <w:rsid w:val="00263D44"/>
    <w:rsid w:val="002702AD"/>
    <w:rsid w:val="00292D82"/>
    <w:rsid w:val="002963CB"/>
    <w:rsid w:val="00296A01"/>
    <w:rsid w:val="002B4A01"/>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2222"/>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6AC"/>
    <w:rsid w:val="00DC59E6"/>
    <w:rsid w:val="00DD150B"/>
    <w:rsid w:val="00DD5025"/>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181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DF7EA1F-20FA-4ECA-A21D-B34E4472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253F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fsapi.fcc.gov/file/10908766706030/Charter%20RDOF%20Waiver%20(09-07-2021).pdf" TargetMode="External"/><Relationship Id="rId1" Type="http://schemas.openxmlformats.org/officeDocument/2006/relationships/hyperlink" Target="https://www.usac.org/high-cost/funds/rural-digital-opportunity-fu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20Local\Workspace%203\2.%20Rec%20Template\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1</TotalTime>
  <Pages>6</Pages>
  <Words>1381</Words>
  <Characters>7872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Joseph Cipriani</dc:creator>
  <cp:lastModifiedBy>Debra Betton</cp:lastModifiedBy>
  <cp:revision>2</cp:revision>
  <cp:lastPrinted>2004-01-27T20:32:00Z</cp:lastPrinted>
  <dcterms:created xsi:type="dcterms:W3CDTF">2021-12-29T14:43:00Z</dcterms:created>
  <dcterms:modified xsi:type="dcterms:W3CDTF">2021-12-29T14:43:00Z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20210171-TX</vt:lpwstr>
  </property>
  <property fmtid="{D5CDD505-2E9C-101B-9397-08002B2CF9AE}" pid="3" name="MasterDocument">
    <vt:bool>false</vt:bool>
  </property>
</Properties>
</file>