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359CF" w:rsidP="004359CF">
      <w:pPr>
        <w:pStyle w:val="OrderHeading"/>
      </w:pPr>
      <w:r>
        <w:t>BEFORE THE FLORIDA PUBLIC SERVICE COMMISSION</w:t>
      </w:r>
    </w:p>
    <w:p w:rsidR="004359CF" w:rsidRDefault="004359CF" w:rsidP="004359CF">
      <w:pPr>
        <w:pStyle w:val="OrderBody"/>
      </w:pPr>
    </w:p>
    <w:p w:rsidR="004359CF" w:rsidRDefault="004359CF" w:rsidP="004359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59CF" w:rsidRPr="00C63FCF" w:rsidTr="00C63FCF">
        <w:trPr>
          <w:trHeight w:val="828"/>
        </w:trPr>
        <w:tc>
          <w:tcPr>
            <w:tcW w:w="4788" w:type="dxa"/>
            <w:tcBorders>
              <w:bottom w:val="single" w:sz="8" w:space="0" w:color="auto"/>
              <w:right w:val="double" w:sz="6" w:space="0" w:color="auto"/>
            </w:tcBorders>
            <w:shd w:val="clear" w:color="auto" w:fill="auto"/>
          </w:tcPr>
          <w:p w:rsidR="004359CF" w:rsidRDefault="004359CF"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4359CF" w:rsidRDefault="004359CF" w:rsidP="004359CF">
            <w:pPr>
              <w:pStyle w:val="OrderBody"/>
            </w:pPr>
            <w:r>
              <w:t xml:space="preserve">DOCKET NO. </w:t>
            </w:r>
            <w:bookmarkStart w:id="1" w:name="SSDocketNo"/>
            <w:bookmarkEnd w:id="1"/>
            <w:r>
              <w:t>20220010-EI</w:t>
            </w:r>
          </w:p>
          <w:p w:rsidR="004359CF" w:rsidRDefault="004359CF" w:rsidP="00C63FCF">
            <w:pPr>
              <w:pStyle w:val="OrderBody"/>
              <w:tabs>
                <w:tab w:val="center" w:pos="4320"/>
                <w:tab w:val="right" w:pos="8640"/>
              </w:tabs>
              <w:jc w:val="left"/>
            </w:pPr>
            <w:r>
              <w:t xml:space="preserve">ORDER NO. </w:t>
            </w:r>
            <w:bookmarkStart w:id="2" w:name="OrderNo0044"/>
            <w:r w:rsidR="00EF7C5E">
              <w:t>PSC-2022-0044-PCO-EI</w:t>
            </w:r>
            <w:bookmarkEnd w:id="2"/>
          </w:p>
          <w:p w:rsidR="004359CF" w:rsidRDefault="004359CF" w:rsidP="00C63FCF">
            <w:pPr>
              <w:pStyle w:val="OrderBody"/>
              <w:tabs>
                <w:tab w:val="center" w:pos="4320"/>
                <w:tab w:val="right" w:pos="8640"/>
              </w:tabs>
              <w:jc w:val="left"/>
            </w:pPr>
            <w:r>
              <w:t xml:space="preserve">ISSUED: </w:t>
            </w:r>
            <w:r w:rsidR="00EF7C5E">
              <w:t>January 28, 2022</w:t>
            </w:r>
          </w:p>
        </w:tc>
      </w:tr>
    </w:tbl>
    <w:p w:rsidR="004359CF" w:rsidRDefault="004359CF" w:rsidP="004359CF"/>
    <w:p w:rsidR="004359CF" w:rsidRDefault="004359CF" w:rsidP="004359CF"/>
    <w:p w:rsidR="00CB5276" w:rsidRDefault="004359CF" w:rsidP="004359CF">
      <w:pPr>
        <w:pStyle w:val="CenterUnderline"/>
      </w:pPr>
      <w:bookmarkStart w:id="3" w:name="Commissioners"/>
      <w:bookmarkEnd w:id="3"/>
      <w:r>
        <w:t>ORDER</w:t>
      </w:r>
      <w:bookmarkStart w:id="4" w:name="OrderTitle"/>
      <w:r>
        <w:t xml:space="preserve"> ESTABLISHING PROCEDURE </w:t>
      </w:r>
      <w:bookmarkEnd w:id="4"/>
    </w:p>
    <w:p w:rsidR="004359CF" w:rsidRDefault="004359CF" w:rsidP="004359CF">
      <w:pPr>
        <w:pStyle w:val="CenterUnderline"/>
      </w:pP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B37E3" w:rsidRDefault="004359CF" w:rsidP="004B3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B37E3" w:rsidRPr="000E73EB">
        <w:t xml:space="preserve">The 2019 Florida Legislature enacted Section 366.96, Florida Statutes (F.S.), entitled “Storm protection plan cost recovery.” </w:t>
      </w:r>
      <w:r w:rsidR="00710266">
        <w:t>S</w:t>
      </w:r>
      <w:r w:rsidR="004B37E3" w:rsidRPr="000E73EB">
        <w:t>ection 366.96(3), F.S.,</w:t>
      </w:r>
      <w:r w:rsidR="004B37E3">
        <w:t xml:space="preserve"> </w:t>
      </w:r>
      <w:r w:rsidR="00F343FE">
        <w:t>established</w:t>
      </w:r>
      <w:r w:rsidR="00DA2D08">
        <w:t xml:space="preserve"> a new requirement</w:t>
      </w:r>
      <w:r w:rsidR="004B37E3">
        <w:t xml:space="preserve"> that each public utility</w:t>
      </w:r>
      <w:r w:rsidR="004B37E3" w:rsidRPr="000E73EB">
        <w:t xml:space="preserve"> file a transmission and distribution storm protection plan </w:t>
      </w:r>
      <w:r w:rsidR="004B37E3">
        <w:t>(SPP) covering</w:t>
      </w:r>
      <w:r w:rsidR="004B37E3" w:rsidRPr="000E73EB">
        <w:t xml:space="preserve"> the immediate 10-ye</w:t>
      </w:r>
      <w:r w:rsidR="004B37E3">
        <w:t>ar planning period, and explaining</w:t>
      </w:r>
      <w:r w:rsidR="004B37E3" w:rsidRPr="000E73EB">
        <w:t xml:space="preserve"> the systematic approach the utility will follow to achieve the objectives of reducing restoration costs and outage times associated with extreme weather events and enhancing reliability. Pursuant to </w:t>
      </w:r>
      <w:r w:rsidR="00710266">
        <w:t>S</w:t>
      </w:r>
      <w:r w:rsidR="004B37E3" w:rsidRPr="000E73EB">
        <w:t>ections 366.96(5) and 366.96(6), F.S., the Florida Public Service Commission (Commission) is required</w:t>
      </w:r>
      <w:r w:rsidR="00DA2D08" w:rsidRPr="00DA2D08">
        <w:t xml:space="preserve"> </w:t>
      </w:r>
      <w:r w:rsidR="00DA2D08" w:rsidRPr="000E73EB">
        <w:t>every three years</w:t>
      </w:r>
      <w:r w:rsidR="004B37E3" w:rsidRPr="000E73EB">
        <w:t xml:space="preserve"> to determine whether it is in the public interest to approve, approve with modification, or deny each utility’s</w:t>
      </w:r>
      <w:r w:rsidR="004B37E3">
        <w:t xml:space="preserve"> SPP.</w:t>
      </w:r>
    </w:p>
    <w:p w:rsidR="004B37E3" w:rsidRDefault="004B37E3" w:rsidP="004B3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6290B" w:rsidRPr="0076290B" w:rsidRDefault="0076290B" w:rsidP="00F527FF">
      <w:pPr>
        <w:ind w:firstLine="720"/>
        <w:contextualSpacing/>
        <w:jc w:val="both"/>
        <w:rPr>
          <w:u w:val="single"/>
        </w:rPr>
      </w:pPr>
      <w:r>
        <w:t>A.</w:t>
      </w:r>
      <w:r>
        <w:tab/>
      </w:r>
      <w:r w:rsidR="00BF26A7">
        <w:rPr>
          <w:u w:val="single"/>
        </w:rPr>
        <w:t>The 2020 SPP and SPPCRC Dockets</w:t>
      </w:r>
    </w:p>
    <w:p w:rsidR="004B37E3" w:rsidRDefault="004B37E3" w:rsidP="004B37E3">
      <w:pPr>
        <w:autoSpaceDE w:val="0"/>
        <w:autoSpaceDN w:val="0"/>
        <w:adjustRightInd w:val="0"/>
        <w:jc w:val="both"/>
      </w:pPr>
    </w:p>
    <w:p w:rsidR="00BF26A7" w:rsidRDefault="00BF26A7" w:rsidP="00BF26A7">
      <w:pPr>
        <w:ind w:firstLine="720"/>
        <w:contextualSpacing/>
        <w:jc w:val="both"/>
      </w:pPr>
      <w:r>
        <w:t>O</w:t>
      </w:r>
      <w:r w:rsidRPr="00296353">
        <w:t xml:space="preserve">n March 3, 2020, the </w:t>
      </w:r>
      <w:r>
        <w:t>Commission opened se</w:t>
      </w:r>
      <w:r w:rsidR="00D502D9">
        <w:t xml:space="preserve">parate dockets for review of </w:t>
      </w:r>
      <w:r w:rsidR="00DA2D08">
        <w:t>the</w:t>
      </w:r>
      <w:r w:rsidR="00D502D9">
        <w:t xml:space="preserve"> initial SPP</w:t>
      </w:r>
      <w:r w:rsidR="00DA2D08">
        <w:t xml:space="preserve">s </w:t>
      </w:r>
      <w:r w:rsidR="009A42BA">
        <w:t xml:space="preserve">for </w:t>
      </w:r>
      <w:r w:rsidR="00DA2D08">
        <w:t>the</w:t>
      </w:r>
      <w:r>
        <w:t xml:space="preserve"> </w:t>
      </w:r>
      <w:r w:rsidR="00DA2D08">
        <w:t xml:space="preserve">following </w:t>
      </w:r>
      <w:r>
        <w:t>in</w:t>
      </w:r>
      <w:r w:rsidR="00DA2D08">
        <w:t>vestor-owned electric utilities:</w:t>
      </w:r>
    </w:p>
    <w:p w:rsidR="00BF26A7" w:rsidRDefault="00BF26A7" w:rsidP="00BF26A7">
      <w:pPr>
        <w:ind w:firstLine="720"/>
        <w:contextualSpacing/>
        <w:jc w:val="both"/>
      </w:pPr>
    </w:p>
    <w:p w:rsidR="00F343FE" w:rsidRDefault="00F343FE" w:rsidP="00BF26A7">
      <w:pPr>
        <w:ind w:firstLine="720"/>
        <w:contextualSpacing/>
        <w:jc w:val="both"/>
      </w:pPr>
      <w:r w:rsidRPr="00F343FE">
        <w:rPr>
          <w:u w:val="single"/>
        </w:rPr>
        <w:t>Utility</w:t>
      </w:r>
      <w:r>
        <w:tab/>
      </w:r>
      <w:r>
        <w:tab/>
      </w:r>
      <w:r>
        <w:tab/>
      </w:r>
      <w:r>
        <w:tab/>
      </w:r>
      <w:r>
        <w:tab/>
      </w:r>
      <w:r>
        <w:tab/>
      </w:r>
      <w:r>
        <w:tab/>
      </w:r>
      <w:r w:rsidRPr="00F343FE">
        <w:rPr>
          <w:u w:val="single"/>
        </w:rPr>
        <w:t>Docket No.</w:t>
      </w:r>
    </w:p>
    <w:p w:rsidR="00F343FE" w:rsidRDefault="00F343FE" w:rsidP="00BF26A7">
      <w:pPr>
        <w:ind w:firstLine="720"/>
        <w:contextualSpacing/>
        <w:jc w:val="both"/>
      </w:pPr>
    </w:p>
    <w:p w:rsidR="00DA2D08" w:rsidRDefault="00F343FE" w:rsidP="00DA2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F26A7" w:rsidRPr="00541ED7">
        <w:t>Florida Power &amp; Light Company</w:t>
      </w:r>
      <w:r w:rsidR="00BF26A7">
        <w:t xml:space="preserve"> (FPL)</w:t>
      </w:r>
      <w:r w:rsidR="00DA2D08">
        <w:t xml:space="preserve"> </w:t>
      </w:r>
      <w:r w:rsidR="00DA2D08">
        <w:tab/>
      </w:r>
      <w:r>
        <w:tab/>
      </w:r>
      <w:r w:rsidR="00DA2D08">
        <w:t>20200071-EI</w:t>
      </w:r>
    </w:p>
    <w:p w:rsidR="00BF26A7" w:rsidRPr="00541ED7" w:rsidRDefault="00BF26A7" w:rsidP="00DA2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Gulf Power Company</w:t>
      </w:r>
      <w:r>
        <w:t xml:space="preserve"> (Gulf)</w:t>
      </w:r>
      <w:r w:rsidR="00DA2D08">
        <w:t xml:space="preserve"> </w:t>
      </w:r>
      <w:r w:rsidR="00DA2D08">
        <w:tab/>
      </w:r>
      <w:r w:rsidR="00DA2D08">
        <w:tab/>
      </w:r>
      <w:r w:rsidR="00DA2D08">
        <w:tab/>
      </w:r>
      <w:r w:rsidR="00F343FE">
        <w:tab/>
      </w:r>
      <w:r w:rsidR="00DA2D08">
        <w:t>20200070-EI</w:t>
      </w:r>
    </w:p>
    <w:p w:rsidR="00BF26A7" w:rsidRPr="00541ED7" w:rsidRDefault="00BF26A7" w:rsidP="00BF2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Tampa Electric Company</w:t>
      </w:r>
      <w:r>
        <w:t xml:space="preserve"> (TECO)</w:t>
      </w:r>
      <w:r w:rsidR="00DA2D08">
        <w:tab/>
      </w:r>
      <w:r w:rsidR="00DA2D08">
        <w:tab/>
      </w:r>
      <w:r w:rsidR="00F343FE">
        <w:tab/>
      </w:r>
      <w:r w:rsidR="00DA2D08">
        <w:t>20200067-EI</w:t>
      </w:r>
    </w:p>
    <w:p w:rsidR="00BF26A7" w:rsidRPr="00541ED7" w:rsidRDefault="00BF26A7" w:rsidP="00BF2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Duke Energy Florida, LLC</w:t>
      </w:r>
      <w:r>
        <w:t xml:space="preserve"> (DEF)</w:t>
      </w:r>
      <w:r w:rsidR="00DA2D08">
        <w:tab/>
      </w:r>
      <w:r w:rsidR="00DA2D08">
        <w:tab/>
      </w:r>
      <w:r w:rsidR="00F343FE">
        <w:tab/>
      </w:r>
      <w:r w:rsidR="00DA2D08">
        <w:t>20200069-EI</w:t>
      </w:r>
    </w:p>
    <w:p w:rsidR="00BF26A7" w:rsidRPr="00541ED7" w:rsidRDefault="00BF26A7" w:rsidP="00BF2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Florida Public Utilities Company</w:t>
      </w:r>
      <w:r>
        <w:t xml:space="preserve"> (FPUC)</w:t>
      </w:r>
      <w:r w:rsidR="00DA2D08">
        <w:tab/>
      </w:r>
      <w:r w:rsidR="00F343FE">
        <w:tab/>
      </w:r>
      <w:r w:rsidR="00DA2D08">
        <w:t>20200068-EI</w:t>
      </w:r>
    </w:p>
    <w:p w:rsidR="00BF26A7" w:rsidRPr="00541ED7" w:rsidRDefault="00BF26A7" w:rsidP="00BF2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F26A7" w:rsidRDefault="00BF26A7" w:rsidP="00BF26A7">
      <w:pPr>
        <w:ind w:firstLine="720"/>
        <w:contextualSpacing/>
        <w:jc w:val="both"/>
      </w:pPr>
      <w:r>
        <w:t>On March 13, 2020, the Commission opened Docket No. 20200092-EI as the companion cost recovery clause (CRC) docket to the above SPP dockets. The Office of Public Counsel (OPC), Walmar</w:t>
      </w:r>
      <w:r w:rsidRPr="00200E66">
        <w:t>t, the Florida Industrial Power Users Group</w:t>
      </w:r>
      <w:r>
        <w:t xml:space="preserve"> (FIPUG)</w:t>
      </w:r>
      <w:r w:rsidRPr="00200E66">
        <w:t>, and White Springs Agricultural Chemicals, Inc. d/b/a PCS Phosphate –</w:t>
      </w:r>
      <w:r>
        <w:t xml:space="preserve"> </w:t>
      </w:r>
      <w:r w:rsidRPr="00200E66">
        <w:t>White Springs</w:t>
      </w:r>
      <w:r>
        <w:t xml:space="preserve"> (PCS), each filed for</w:t>
      </w:r>
      <w:r w:rsidR="00433F8E">
        <w:t>,</w:t>
      </w:r>
      <w:r>
        <w:t xml:space="preserve"> and was granted intervention in Docket No. 20200092-EI. Several of these same entities also intervened as parties in the individual SPP dockets.</w:t>
      </w:r>
    </w:p>
    <w:p w:rsidR="00BF26A7" w:rsidRDefault="00BF26A7" w:rsidP="004B37E3">
      <w:pPr>
        <w:autoSpaceDE w:val="0"/>
        <w:autoSpaceDN w:val="0"/>
        <w:adjustRightInd w:val="0"/>
        <w:ind w:firstLine="720"/>
        <w:jc w:val="both"/>
      </w:pPr>
    </w:p>
    <w:p w:rsidR="0076290B" w:rsidRDefault="00371E6F" w:rsidP="004B37E3">
      <w:pPr>
        <w:autoSpaceDE w:val="0"/>
        <w:autoSpaceDN w:val="0"/>
        <w:adjustRightInd w:val="0"/>
        <w:ind w:firstLine="720"/>
        <w:jc w:val="both"/>
      </w:pPr>
      <w:r>
        <w:t>FPL, Gulf, TECO, and DEF</w:t>
      </w:r>
      <w:r w:rsidR="004B37E3">
        <w:t xml:space="preserve"> entered into a series of settlement agreements with the intervening parties that re</w:t>
      </w:r>
      <w:r w:rsidR="001476D0">
        <w:t>solved all disputed issues in those utilities’</w:t>
      </w:r>
      <w:r w:rsidR="00634C78">
        <w:t xml:space="preserve"> </w:t>
      </w:r>
      <w:r w:rsidR="004B37E3">
        <w:t xml:space="preserve">individual SPP dockets and </w:t>
      </w:r>
      <w:r w:rsidR="004B37E3">
        <w:lastRenderedPageBreak/>
        <w:t xml:space="preserve">the </w:t>
      </w:r>
      <w:r w:rsidR="00634C78">
        <w:t xml:space="preserve">companion </w:t>
      </w:r>
      <w:r w:rsidR="004B37E3">
        <w:t>SPPCRC docket</w:t>
      </w:r>
      <w:r w:rsidR="00634C78">
        <w:t xml:space="preserve"> to the extent it impacted those utilities</w:t>
      </w:r>
      <w:r w:rsidR="004B37E3">
        <w:t>.</w:t>
      </w:r>
      <w:r w:rsidR="004B37E3" w:rsidRPr="00296353">
        <w:rPr>
          <w:vertAlign w:val="superscript"/>
        </w:rPr>
        <w:footnoteReference w:id="1"/>
      </w:r>
      <w:r w:rsidR="00844143">
        <w:t xml:space="preserve"> In the settlements, the various parties represented and agreed that the SPPs proposed by the</w:t>
      </w:r>
      <w:r w:rsidR="006D3C10">
        <w:t xml:space="preserve"> four</w:t>
      </w:r>
      <w:r w:rsidR="00844143">
        <w:t xml:space="preserve"> utilities were in the public interest and</w:t>
      </w:r>
      <w:r w:rsidR="003C0643">
        <w:t xml:space="preserve"> that</w:t>
      </w:r>
      <w:r w:rsidR="00844143">
        <w:t xml:space="preserve"> implementation of identified programs was not evidence of imprudence.</w:t>
      </w:r>
      <w:r w:rsidR="004B37E3">
        <w:t xml:space="preserve"> </w:t>
      </w:r>
      <w:r w:rsidR="00844143">
        <w:t xml:space="preserve">The parties also agreed </w:t>
      </w:r>
      <w:r w:rsidR="003C0643">
        <w:t xml:space="preserve">as part of these settlements </w:t>
      </w:r>
      <w:r w:rsidR="00844143">
        <w:t>that FPL, Gulf, TECO, and DEF</w:t>
      </w:r>
      <w:r w:rsidR="00844143" w:rsidRPr="00296353">
        <w:t xml:space="preserve"> wou</w:t>
      </w:r>
      <w:r w:rsidR="00844143">
        <w:t>ld file updated SPPs</w:t>
      </w:r>
      <w:r w:rsidR="00844143" w:rsidRPr="00296353">
        <w:t xml:space="preserve"> in </w:t>
      </w:r>
      <w:r w:rsidR="00715005">
        <w:t>two years (</w:t>
      </w:r>
      <w:r w:rsidR="00844143" w:rsidRPr="00296353">
        <w:t>202</w:t>
      </w:r>
      <w:r w:rsidR="00844143">
        <w:t>2</w:t>
      </w:r>
      <w:r w:rsidR="00715005">
        <w:t>)</w:t>
      </w:r>
      <w:r w:rsidR="00844143">
        <w:t xml:space="preserve">, rather than </w:t>
      </w:r>
      <w:r w:rsidR="00715005">
        <w:t>three (</w:t>
      </w:r>
      <w:r w:rsidR="00844143">
        <w:t>2023</w:t>
      </w:r>
      <w:r w:rsidR="00715005">
        <w:t>)</w:t>
      </w:r>
      <w:r w:rsidR="00844143">
        <w:t xml:space="preserve">. </w:t>
      </w:r>
      <w:r w:rsidR="004B37E3" w:rsidRPr="009D3337">
        <w:t>These settlement agreements were approved by the Commission, as reflected in Order No. PSC-2020-0293-AS-EI, issued August 28, 2020.</w:t>
      </w:r>
    </w:p>
    <w:p w:rsidR="0076290B" w:rsidRDefault="0076290B" w:rsidP="004B37E3">
      <w:pPr>
        <w:autoSpaceDE w:val="0"/>
        <w:autoSpaceDN w:val="0"/>
        <w:adjustRightInd w:val="0"/>
        <w:ind w:firstLine="720"/>
        <w:jc w:val="both"/>
      </w:pPr>
    </w:p>
    <w:p w:rsidR="0082243E" w:rsidRDefault="00844143" w:rsidP="004B37E3">
      <w:pPr>
        <w:autoSpaceDE w:val="0"/>
        <w:autoSpaceDN w:val="0"/>
        <w:adjustRightInd w:val="0"/>
        <w:ind w:firstLine="720"/>
        <w:jc w:val="both"/>
      </w:pPr>
      <w:r>
        <w:t xml:space="preserve">FPUC did not </w:t>
      </w:r>
      <w:r w:rsidR="00D502D9">
        <w:t>submit a SPP</w:t>
      </w:r>
      <w:r>
        <w:t>. Rather, o</w:t>
      </w:r>
      <w:r w:rsidR="0076290B">
        <w:t>n March 17, 2020, FPUC</w:t>
      </w:r>
      <w:r w:rsidR="0076290B" w:rsidRPr="00296353">
        <w:t xml:space="preserve"> requested that it be allowed to defer the filing of its first SPP for a pe</w:t>
      </w:r>
      <w:r w:rsidR="0076290B" w:rsidRPr="009D3337">
        <w:t>riod of one year, from April 10, 2020, to April 10, 2021. By Order No. PSC-2020-0097-PCO-EI, issued on April 6, 2020, the Prehearing Officer granted FPUC’s request</w:t>
      </w:r>
      <w:r w:rsidR="00D502D9">
        <w:t xml:space="preserve"> to file its initi</w:t>
      </w:r>
      <w:r w:rsidR="001476D0">
        <w:t>al SPP in 2021</w:t>
      </w:r>
      <w:r w:rsidR="00433F8E">
        <w:t>,</w:t>
      </w:r>
      <w:r w:rsidR="0076290B">
        <w:t xml:space="preserve"> and </w:t>
      </w:r>
      <w:r w:rsidR="00D502D9">
        <w:t xml:space="preserve">further </w:t>
      </w:r>
      <w:r w:rsidR="0076290B" w:rsidRPr="00296353">
        <w:t>instructed FPUC to submit its updated SPP in 2023</w:t>
      </w:r>
      <w:r w:rsidR="0076290B">
        <w:t>.</w:t>
      </w:r>
      <w:r>
        <w:t xml:space="preserve"> </w:t>
      </w:r>
      <w:r w:rsidR="00D502D9">
        <w:t xml:space="preserve">Following </w:t>
      </w:r>
      <w:r w:rsidR="006D3C10">
        <w:t xml:space="preserve">Commission approval of </w:t>
      </w:r>
      <w:r w:rsidR="00D502D9">
        <w:t xml:space="preserve">the </w:t>
      </w:r>
      <w:r>
        <w:t>settlement agreements</w:t>
      </w:r>
      <w:r w:rsidR="00D502D9">
        <w:t xml:space="preserve"> </w:t>
      </w:r>
      <w:r w:rsidR="006D3C10">
        <w:t>discussed immediately above</w:t>
      </w:r>
      <w:r w:rsidR="004B37E3">
        <w:t xml:space="preserve">, FPUC requested and was allowed by Order PSC-2021-0026-CO-EI entered January 10, 2021, </w:t>
      </w:r>
      <w:r w:rsidR="004B37E3" w:rsidRPr="00296353">
        <w:t>to</w:t>
      </w:r>
      <w:r w:rsidR="004B37E3">
        <w:t xml:space="preserve"> defer the filing of its</w:t>
      </w:r>
      <w:r w:rsidR="004B37E3" w:rsidRPr="00296353">
        <w:t xml:space="preserve"> SPP from April 1</w:t>
      </w:r>
      <w:r w:rsidR="004B37E3">
        <w:t>2, 2021, to April 2022</w:t>
      </w:r>
      <w:r w:rsidR="00D502D9">
        <w:t>,</w:t>
      </w:r>
      <w:r w:rsidR="00D502D9" w:rsidRPr="00D502D9">
        <w:t xml:space="preserve"> </w:t>
      </w:r>
      <w:r w:rsidR="00D502D9">
        <w:t>so that it could remain in alignment with the overall plan update schedule</w:t>
      </w:r>
      <w:r w:rsidR="00B364E5">
        <w:t xml:space="preserve"> for the other utilities</w:t>
      </w:r>
      <w:r w:rsidR="004B37E3">
        <w:t>.</w:t>
      </w:r>
      <w:r w:rsidR="004B37E3">
        <w:rPr>
          <w:rStyle w:val="FootnoteReference"/>
        </w:rPr>
        <w:footnoteReference w:id="2"/>
      </w:r>
    </w:p>
    <w:p w:rsidR="00E9508F" w:rsidRDefault="00E9508F" w:rsidP="004B37E3">
      <w:pPr>
        <w:autoSpaceDE w:val="0"/>
        <w:autoSpaceDN w:val="0"/>
        <w:adjustRightInd w:val="0"/>
        <w:ind w:firstLine="720"/>
        <w:jc w:val="both"/>
      </w:pPr>
    </w:p>
    <w:p w:rsidR="00E9508F" w:rsidRPr="00BF26A7" w:rsidRDefault="008B0781" w:rsidP="004B37E3">
      <w:pPr>
        <w:autoSpaceDE w:val="0"/>
        <w:autoSpaceDN w:val="0"/>
        <w:adjustRightInd w:val="0"/>
        <w:ind w:firstLine="720"/>
        <w:jc w:val="both"/>
      </w:pPr>
      <w:r>
        <w:t>B.</w:t>
      </w:r>
      <w:r>
        <w:tab/>
      </w:r>
      <w:r w:rsidR="00BF26A7" w:rsidRPr="00BF26A7">
        <w:rPr>
          <w:u w:val="single"/>
        </w:rPr>
        <w:t xml:space="preserve">The </w:t>
      </w:r>
      <w:r w:rsidR="00BF26A7">
        <w:rPr>
          <w:u w:val="single"/>
        </w:rPr>
        <w:t>2021 SPPCRC Dockets</w:t>
      </w:r>
    </w:p>
    <w:p w:rsidR="004B37E3" w:rsidRDefault="004B37E3" w:rsidP="004B3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128F4" w:rsidRDefault="00BF26A7" w:rsidP="00F65A84">
      <w:pPr>
        <w:jc w:val="both"/>
      </w:pPr>
      <w:r>
        <w:tab/>
      </w:r>
      <w:r w:rsidR="008B6463">
        <w:t xml:space="preserve">In addition to reviewing </w:t>
      </w:r>
      <w:r w:rsidR="00A128F4">
        <w:t>SPPs every three years</w:t>
      </w:r>
      <w:r w:rsidR="00F65A84" w:rsidRPr="00D47CB7">
        <w:t xml:space="preserve">, the Commission must conduct an annual proceeding </w:t>
      </w:r>
      <w:r w:rsidR="00A128F4">
        <w:t>p</w:t>
      </w:r>
      <w:r w:rsidR="00A128F4" w:rsidRPr="00D47CB7">
        <w:t>ursuant to Section 366.96(7), F.S.</w:t>
      </w:r>
      <w:r w:rsidR="00A128F4">
        <w:t xml:space="preserve">, </w:t>
      </w:r>
      <w:r w:rsidR="00F65A84" w:rsidRPr="00D47CB7">
        <w:t>to determine a utility’s prudently incurred transmission and distribution storm protection plan costs and allow the utility to recover such costs through a charge separate and apart from its base rates, to be referred to as the storm protection plan cost recovery clause</w:t>
      </w:r>
      <w:r w:rsidR="00F65A84">
        <w:t xml:space="preserve"> (SPPCRC)</w:t>
      </w:r>
      <w:r w:rsidR="00F65A84" w:rsidRPr="00D47CB7">
        <w:t>.</w:t>
      </w:r>
      <w:r w:rsidR="00FA2BE8" w:rsidRPr="00FA2BE8">
        <w:t xml:space="preserve"> </w:t>
      </w:r>
      <w:r w:rsidR="00FA2BE8" w:rsidRPr="000E73EB">
        <w:t xml:space="preserve">If the </w:t>
      </w:r>
      <w:r w:rsidR="00FA2BE8">
        <w:t>C</w:t>
      </w:r>
      <w:r w:rsidR="00FA2BE8" w:rsidRPr="000E73EB">
        <w:t>ommission determines that costs were prudently incurred, those costs will not be subject to disallowance or further prudence review except for fraud, perjury, or intentional withholding of key information by the public utility.</w:t>
      </w:r>
    </w:p>
    <w:p w:rsidR="00A128F4" w:rsidRDefault="00A128F4" w:rsidP="00F65A84">
      <w:pPr>
        <w:jc w:val="both"/>
      </w:pPr>
    </w:p>
    <w:p w:rsidR="00F65A84" w:rsidRDefault="00A128F4" w:rsidP="00F65A84">
      <w:pPr>
        <w:jc w:val="both"/>
      </w:pPr>
      <w:r>
        <w:tab/>
      </w:r>
      <w:r w:rsidR="00FA2BE8">
        <w:t>On January 4, 2021, t</w:t>
      </w:r>
      <w:r w:rsidR="005C5401">
        <w:t xml:space="preserve">he Commission opened Docket No. </w:t>
      </w:r>
      <w:r w:rsidR="00F65A84">
        <w:t>20210010-EI</w:t>
      </w:r>
      <w:r w:rsidR="005C5401">
        <w:t xml:space="preserve"> as the </w:t>
      </w:r>
      <w:r>
        <w:t xml:space="preserve">first </w:t>
      </w:r>
      <w:r w:rsidR="005C5401">
        <w:t>annual SPPCRC proceeding</w:t>
      </w:r>
      <w:r w:rsidR="00FA2BE8">
        <w:t xml:space="preserve">. </w:t>
      </w:r>
      <w:r w:rsidR="00F65A84">
        <w:t>F</w:t>
      </w:r>
      <w:r w:rsidR="00FA2BE8">
        <w:t>PL, Gulf, TECO, DEF, and FPUC were</w:t>
      </w:r>
      <w:r w:rsidR="00F343FE">
        <w:t xml:space="preserve"> made</w:t>
      </w:r>
      <w:r w:rsidR="00F65A84">
        <w:t xml:space="preserve"> original parties</w:t>
      </w:r>
      <w:r w:rsidR="00DF06B7">
        <w:t xml:space="preserve"> to this docket</w:t>
      </w:r>
      <w:r w:rsidR="00F65A84">
        <w:t>.</w:t>
      </w:r>
      <w:r w:rsidR="00F65A84">
        <w:rPr>
          <w:rStyle w:val="FootnoteReference"/>
        </w:rPr>
        <w:footnoteReference w:id="3"/>
      </w:r>
      <w:r w:rsidR="00F65A84">
        <w:t xml:space="preserve"> Walmart, FIPUG, White Springs, and Nucor Steel Florida, Inc. all subsequently filed for</w:t>
      </w:r>
      <w:r w:rsidR="00433F8E">
        <w:t>,</w:t>
      </w:r>
      <w:r w:rsidR="00F65A84">
        <w:t xml:space="preserve"> and were granted leave to intervene in this docket. The Office of Public Counsel filed a notice of intervention, which was acknowledged on July 8, 2021. </w:t>
      </w:r>
    </w:p>
    <w:p w:rsidR="00F65A84" w:rsidRDefault="00F65A84" w:rsidP="00F65A84">
      <w:pPr>
        <w:jc w:val="both"/>
      </w:pPr>
    </w:p>
    <w:p w:rsidR="008B0781" w:rsidRDefault="00F65A84" w:rsidP="004D558E">
      <w:pPr>
        <w:ind w:firstLine="720"/>
        <w:jc w:val="both"/>
      </w:pPr>
      <w:r>
        <w:t>The Commission conducted an administrative hearing in Docket No. 20210010-EI on August 3, 2021.</w:t>
      </w:r>
      <w:r w:rsidRPr="00F65A84">
        <w:t xml:space="preserve"> </w:t>
      </w:r>
      <w:r>
        <w:t>The parties</w:t>
      </w:r>
      <w:r w:rsidRPr="00511C41">
        <w:t xml:space="preserve"> </w:t>
      </w:r>
      <w:r>
        <w:t>waived post-hearing briefs and</w:t>
      </w:r>
      <w:r>
        <w:rPr>
          <w:i/>
        </w:rPr>
        <w:t xml:space="preserve"> </w:t>
      </w:r>
      <w:r w:rsidR="00FA2BE8">
        <w:t xml:space="preserve">either </w:t>
      </w:r>
      <w:r w:rsidR="005C5401">
        <w:t xml:space="preserve">took no position or </w:t>
      </w:r>
      <w:r w:rsidRPr="00DC48B2">
        <w:t>proposed</w:t>
      </w:r>
      <w:r>
        <w:t xml:space="preserve"> for Commission consideration</w:t>
      </w:r>
      <w:r w:rsidRPr="00DC48B2">
        <w:t xml:space="preserve"> Type 2 stipulations</w:t>
      </w:r>
      <w:r w:rsidRPr="00DC48B2">
        <w:rPr>
          <w:bCs/>
          <w:vertAlign w:val="superscript"/>
        </w:rPr>
        <w:footnoteReference w:id="4"/>
      </w:r>
      <w:r w:rsidRPr="00DC48B2">
        <w:t xml:space="preserve"> </w:t>
      </w:r>
      <w:r>
        <w:t xml:space="preserve">on all issues identified in the Prehearing </w:t>
      </w:r>
      <w:r>
        <w:lastRenderedPageBreak/>
        <w:t>Order</w:t>
      </w:r>
      <w:r w:rsidRPr="00DC48B2">
        <w:t>.</w:t>
      </w:r>
      <w:r>
        <w:rPr>
          <w:rStyle w:val="FootnoteReference"/>
        </w:rPr>
        <w:footnoteReference w:id="5"/>
      </w:r>
      <w:r w:rsidR="00B01DF5">
        <w:t xml:space="preserve"> The Commission approved all </w:t>
      </w:r>
      <w:r w:rsidR="00C162D9">
        <w:t xml:space="preserve">proposed </w:t>
      </w:r>
      <w:r w:rsidR="00B01DF5">
        <w:t>Type 2 stipulations as reasonable and supported by compete</w:t>
      </w:r>
      <w:r w:rsidR="00C162D9">
        <w:t xml:space="preserve">nt, substantial record evidence in the record in Order No. PSC-2021-0324-FOF-EI, issued August 26, 2021. In that Order, the Commission approved </w:t>
      </w:r>
      <w:r w:rsidR="003A1B9E">
        <w:t xml:space="preserve">SPPCRC </w:t>
      </w:r>
      <w:r w:rsidR="00C162D9">
        <w:t xml:space="preserve">true-up amounts for 2020 (TECO only) and 2021 (DEF, FPL &amp; Gulf, TECO), and established </w:t>
      </w:r>
      <w:r w:rsidR="003A1B9E">
        <w:t xml:space="preserve">SPPCRC </w:t>
      </w:r>
      <w:r w:rsidR="00C162D9">
        <w:t>projected jurisdictional cost recovery amounts, depreciation amounts</w:t>
      </w:r>
      <w:r w:rsidR="003A1B9E">
        <w:t>, juris</w:t>
      </w:r>
      <w:r w:rsidR="00C162D9">
        <w:t>dictional separation factors, and the factors for each rate group for 2022 (DEF, FPL &amp; Gulf, TECO).</w:t>
      </w:r>
    </w:p>
    <w:p w:rsidR="008B0781" w:rsidRPr="009D3337" w:rsidRDefault="008B0781" w:rsidP="004B3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B0781" w:rsidRPr="008B0781" w:rsidRDefault="004B37E3" w:rsidP="004B3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8B0781">
        <w:t>C.</w:t>
      </w:r>
      <w:r w:rsidR="008B0781">
        <w:tab/>
      </w:r>
      <w:r w:rsidR="008B0781">
        <w:rPr>
          <w:u w:val="single"/>
        </w:rPr>
        <w:t>Authority</w:t>
      </w:r>
    </w:p>
    <w:p w:rsidR="008B0781" w:rsidRDefault="008B0781" w:rsidP="004B3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A1756" w:rsidRDefault="008B0781" w:rsidP="008B0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A1756">
        <w:t>T</w:t>
      </w:r>
      <w:r w:rsidR="000231F8">
        <w:t>his docket</w:t>
      </w:r>
      <w:r w:rsidR="00DD1DBB">
        <w:t xml:space="preserve"> has been opened under the authority of S</w:t>
      </w:r>
      <w:r w:rsidR="00DD1DBB" w:rsidRPr="000E73EB">
        <w:t>ections 366.96(5)</w:t>
      </w:r>
      <w:r w:rsidR="00DD1DBB">
        <w:t>, 366.95(6), and 366.96(7), F.S., for</w:t>
      </w:r>
      <w:r w:rsidR="003A3758">
        <w:t xml:space="preserve"> the Commission to</w:t>
      </w:r>
      <w:r w:rsidR="00DD1DBB">
        <w:t xml:space="preserve"> </w:t>
      </w:r>
      <w:r w:rsidR="00710266">
        <w:t xml:space="preserve">(1) </w:t>
      </w:r>
      <w:r w:rsidR="003A3758">
        <w:t xml:space="preserve">determine </w:t>
      </w:r>
      <w:r w:rsidR="00DD1DBB" w:rsidRPr="000E73EB">
        <w:t>whether it is in the public interest to approve, approve with modification, or deny each utility’s</w:t>
      </w:r>
      <w:r w:rsidR="00DD1DBB">
        <w:t xml:space="preserve"> SPP</w:t>
      </w:r>
      <w:r w:rsidR="003A3758">
        <w:t>,</w:t>
      </w:r>
      <w:r w:rsidR="00DD1DBB">
        <w:t xml:space="preserve"> </w:t>
      </w:r>
      <w:r w:rsidR="003A3758">
        <w:t xml:space="preserve">and </w:t>
      </w:r>
      <w:r w:rsidR="00DD1DBB">
        <w:t xml:space="preserve">(2) </w:t>
      </w:r>
      <w:r w:rsidR="003A3758">
        <w:t xml:space="preserve">establish </w:t>
      </w:r>
      <w:r w:rsidR="00710266">
        <w:t xml:space="preserve">the amount </w:t>
      </w:r>
      <w:r w:rsidR="003A3758">
        <w:t xml:space="preserve">of prudently incurred costs </w:t>
      </w:r>
      <w:r w:rsidR="00710266">
        <w:t>each</w:t>
      </w:r>
      <w:r w:rsidR="00710266" w:rsidRPr="00D47CB7">
        <w:t xml:space="preserve"> utility </w:t>
      </w:r>
      <w:r w:rsidR="00710266">
        <w:t xml:space="preserve">shall be allowed to </w:t>
      </w:r>
      <w:r w:rsidR="00710266" w:rsidRPr="00D47CB7">
        <w:t>recover</w:t>
      </w:r>
      <w:r w:rsidR="003A3758" w:rsidRPr="003A3758">
        <w:t xml:space="preserve"> </w:t>
      </w:r>
      <w:r w:rsidR="003A3758" w:rsidRPr="00D47CB7">
        <w:t xml:space="preserve">through </w:t>
      </w:r>
      <w:r w:rsidR="003A3758">
        <w:t>the SPPCRC</w:t>
      </w:r>
      <w:r w:rsidR="00710266" w:rsidRPr="00D47CB7">
        <w:t xml:space="preserve"> </w:t>
      </w:r>
      <w:r w:rsidR="003A3758">
        <w:t>and the specific terms of that recovery</w:t>
      </w:r>
      <w:r w:rsidR="00710266">
        <w:t>.</w:t>
      </w:r>
    </w:p>
    <w:p w:rsidR="00710266" w:rsidRDefault="00710266" w:rsidP="008B0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1BD" w:rsidRDefault="003A1756" w:rsidP="008B0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343FE">
        <w:t>This matter has been scheduled for an administrative hearing August 2-5, 2022.</w:t>
      </w:r>
    </w:p>
    <w:p w:rsidR="001131BD" w:rsidRDefault="001131BD" w:rsidP="008B0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1131BD" w:rsidP="008B0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B37E3" w:rsidRPr="00596876">
        <w:t xml:space="preserve">This Order is issued pursuant to the authority granted by Rule 28-106.211, </w:t>
      </w:r>
      <w:r w:rsidR="008B0781">
        <w:t>F.A.C.</w:t>
      </w:r>
      <w:r w:rsidR="004B37E3" w:rsidRPr="00596876">
        <w:t>, which provides that the presiding officer before whom a case is pending may issue any orders necessary to effectuate discovery, prevent delay, and promote the just, speedy, and inexpensive determination of all aspects of the case.</w:t>
      </w:r>
      <w:r w:rsidR="00FA2BE8">
        <w:t xml:space="preserve"> </w:t>
      </w: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r>
        <w:tab/>
      </w: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359CF" w:rsidRPr="00C75702"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the filing should be</w:t>
      </w:r>
      <w:r w:rsidRPr="00C75702">
        <w:t xml:space="preserve"> addressed to:</w:t>
      </w:r>
    </w:p>
    <w:p w:rsidR="004359CF" w:rsidRPr="00C75702"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Pr="00C75702"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4359CF" w:rsidRPr="00C75702"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4359CF" w:rsidRPr="00C75702"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4359CF" w:rsidRPr="00C75702"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4359CF" w:rsidRPr="00C75702"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9C7A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D274AA" w:rsidRDefault="00D274AA" w:rsidP="009C7A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4AA" w:rsidRPr="00A766AA" w:rsidRDefault="00D274AA" w:rsidP="00D27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Pr="00A766AA">
        <w:rPr>
          <w:b/>
        </w:rPr>
        <w:t>.</w:t>
      </w:r>
      <w:r w:rsidRPr="00A766AA">
        <w:rPr>
          <w:b/>
        </w:rPr>
        <w:tab/>
      </w:r>
      <w:r w:rsidRPr="00A766AA">
        <w:rPr>
          <w:b/>
          <w:u w:val="single"/>
        </w:rPr>
        <w:t>Tentative List of Issues</w:t>
      </w:r>
    </w:p>
    <w:p w:rsidR="00D274AA" w:rsidRPr="00A766AA" w:rsidRDefault="00D274AA" w:rsidP="00D27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D274AA" w:rsidRDefault="00D274AA" w:rsidP="00D27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4359CF" w:rsidRDefault="00D274AA"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sidR="004359CF">
        <w:rPr>
          <w:b/>
        </w:rPr>
        <w:t>.</w:t>
      </w:r>
      <w:r w:rsidR="004359CF">
        <w:rPr>
          <w:b/>
        </w:rPr>
        <w:tab/>
      </w:r>
      <w:r w:rsidR="004359CF">
        <w:rPr>
          <w:b/>
          <w:u w:val="single"/>
        </w:rPr>
        <w:t>Prefiled Testimony and Exhibits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Pr="00C75702"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7529BE">
        <w:t>I</w:t>
      </w:r>
      <w:r w:rsidR="00301226">
        <w:t>X</w:t>
      </w:r>
      <w:r w:rsidR="007529BE">
        <w:t xml:space="preserve"> </w:t>
      </w:r>
      <w:r w:rsidRPr="00C75702">
        <w:t>of this Order.</w:t>
      </w:r>
      <w:r>
        <w:t xml:space="preserve"> Testimony and exhibits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 </w:t>
      </w:r>
    </w:p>
    <w:p w:rsidR="004359CF" w:rsidRPr="00C75702"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4359CF" w:rsidRDefault="004359CF" w:rsidP="004359C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4359CF" w:rsidRDefault="004359CF" w:rsidP="004359C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4359CF" w:rsidRDefault="004359CF" w:rsidP="004359C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359CF" w:rsidRDefault="004359CF" w:rsidP="004359C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4359CF" w:rsidRPr="00C75702" w:rsidRDefault="004359CF" w:rsidP="004359C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4359CF" w:rsidRDefault="004359CF" w:rsidP="004359C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4359CF" w:rsidRDefault="004359CF" w:rsidP="004359C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4359CF" w:rsidRDefault="004359CF" w:rsidP="004359C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4359CF" w:rsidRDefault="004359CF" w:rsidP="004359C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359CF" w:rsidRDefault="004359CF" w:rsidP="004359C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D3501"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7D3501" w:rsidRDefault="007D3501">
      <w:r>
        <w:br w:type="page"/>
      </w:r>
    </w:p>
    <w:p w:rsidR="004359CF" w:rsidRDefault="00E70D35"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sidR="004359CF">
        <w:rPr>
          <w:b/>
        </w:rPr>
        <w:t>.</w:t>
      </w:r>
      <w:r w:rsidR="004359CF">
        <w:rPr>
          <w:b/>
        </w:rPr>
        <w:tab/>
      </w:r>
      <w:r w:rsidR="004359CF">
        <w:rPr>
          <w:b/>
          <w:u w:val="single"/>
        </w:rPr>
        <w:t>Discovery Procedures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Florida Statutes (F.S.), and the relevant provisions of Chapter</w:t>
      </w:r>
      <w:r w:rsidR="0003585E">
        <w:t xml:space="preserve"> 367, F.S.</w:t>
      </w:r>
      <w:r>
        <w:t>, Rules 25-22, 25-40, and 28-106, F.A.C., and the Florida Rules of Civil Procedure (as applicable), as modified herein or as may be subsequently modified by the Prehearing Officer.</w:t>
      </w:r>
    </w:p>
    <w:p w:rsidR="004359CF" w:rsidRDefault="004359CF" w:rsidP="004359CF">
      <w:pPr>
        <w:jc w:val="both"/>
        <w:rPr>
          <w:rFonts w:cs="Courier New"/>
        </w:rPr>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spacing w:line="2" w:lineRule="exact"/>
        <w:jc w:val="both"/>
      </w:pPr>
    </w:p>
    <w:p w:rsidR="004359CF" w:rsidRDefault="004359CF" w:rsidP="004359C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03585E">
        <w:t xml:space="preserve"> July 19, 2022</w:t>
      </w:r>
      <w:r>
        <w:t>.</w:t>
      </w:r>
    </w:p>
    <w:p w:rsidR="004359CF" w:rsidRPr="007659C3" w:rsidRDefault="004359CF" w:rsidP="004359C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4359CF" w:rsidRDefault="004359CF" w:rsidP="004359C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4359CF" w:rsidRDefault="004359CF" w:rsidP="004359C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4359CF" w:rsidRDefault="004359CF" w:rsidP="004359C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4359CF" w:rsidRPr="007659C3" w:rsidRDefault="004359CF" w:rsidP="004359C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responses shall be served within 30 days (inclusive of mailing) of receipt of the discovery request.</w:t>
      </w:r>
      <w:r>
        <w:t xml:space="preserve"> </w:t>
      </w:r>
      <w:r w:rsidRPr="007659C3">
        <w:t xml:space="preserve">For discovery </w:t>
      </w:r>
      <w:r w:rsidRPr="00C200C7">
        <w:t>requests</w:t>
      </w:r>
      <w:r w:rsidRPr="007659C3">
        <w:t xml:space="preserve"> related to matters addressed in the utility’s rebuttal testimony, discovery responses shall be served within</w:t>
      </w:r>
      <w:r w:rsidRPr="007475AE">
        <w:rPr>
          <w:b/>
        </w:rPr>
        <w:t xml:space="preserve"> </w:t>
      </w:r>
      <w:r w:rsidR="00E70D35">
        <w:t>7</w:t>
      </w:r>
      <w:r w:rsidRPr="007659C3">
        <w:t xml:space="preserve"> days of receipt of the discovery request.</w:t>
      </w:r>
    </w:p>
    <w:p w:rsidR="004359CF" w:rsidRDefault="004359CF" w:rsidP="004359C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4359CF" w:rsidRPr="007E338F" w:rsidRDefault="004359CF" w:rsidP="004359C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In addition, copies of all responses to requests for production of documents shall be provided to the Commission staff at its Tallahassee office unless otherwise agreed.</w:t>
      </w:r>
    </w:p>
    <w:p w:rsidR="004359CF" w:rsidRPr="00972F91" w:rsidRDefault="004359CF" w:rsidP="004359C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spacing w:line="2" w:lineRule="exact"/>
        <w:jc w:val="both"/>
      </w:pPr>
    </w:p>
    <w:p w:rsidR="004359CF" w:rsidRDefault="004359CF" w:rsidP="004359CF">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C200C7">
        <w:t xml:space="preserve"> 300</w:t>
      </w:r>
      <w:r>
        <w:t>.</w:t>
      </w:r>
    </w:p>
    <w:p w:rsidR="00C200C7" w:rsidRDefault="004359CF" w:rsidP="00F57CB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C200C7">
        <w:t>300</w:t>
      </w:r>
      <w:r>
        <w:t>.</w:t>
      </w:r>
    </w:p>
    <w:p w:rsidR="004359CF" w:rsidRDefault="004359CF" w:rsidP="00F57CB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w:t>
      </w:r>
      <w:r w:rsidR="00E70D35">
        <w:t xml:space="preserve"> 1</w:t>
      </w:r>
      <w:r w:rsidR="00C200C7">
        <w:t>00</w:t>
      </w:r>
      <w:r>
        <w:t>.</w:t>
      </w:r>
    </w:p>
    <w:p w:rsidR="004359CF" w:rsidRDefault="004359CF" w:rsidP="004359C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359CF" w:rsidRDefault="004359CF" w:rsidP="004359CF">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AF01E2">
        <w:rPr>
          <w:rFonts w:cs="Courier New"/>
        </w:rPr>
        <w:t>7</w:t>
      </w:r>
      <w:r>
        <w:rPr>
          <w:rFonts w:cs="Courier New"/>
        </w:rPr>
        <w:t xml:space="preserve"> days of service of the discovery request. </w:t>
      </w:r>
      <w:r w:rsidRPr="00AF01E2">
        <w:rPr>
          <w:rFonts w:cs="Courier New"/>
        </w:rPr>
        <w:t xml:space="preserve">For discovery requests served after the date for rebuttal testimony, such clarification must be requested within </w:t>
      </w:r>
      <w:r w:rsidR="00AF01E2">
        <w:rPr>
          <w:rFonts w:cs="Courier New"/>
        </w:rPr>
        <w:t>3</w:t>
      </w:r>
      <w:r w:rsidRPr="00AF01E2">
        <w:rPr>
          <w:rFonts w:cs="Courier New"/>
        </w:rPr>
        <w:t xml:space="preserve"> days.</w:t>
      </w:r>
      <w:r>
        <w:rPr>
          <w:rFonts w:cs="Courier New"/>
        </w:rPr>
        <w:t xml:space="preserve"> This procedure is intended to reduce delay in resolving discovery disputes.</w:t>
      </w:r>
    </w:p>
    <w:p w:rsidR="004359CF" w:rsidRDefault="004359CF" w:rsidP="004359C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359CF" w:rsidRDefault="004359CF" w:rsidP="004359C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4359CF" w:rsidRDefault="004359CF" w:rsidP="004359C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AF01E2">
        <w:t xml:space="preserve"> 366.093</w:t>
      </w:r>
      <w:r>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AF01E2">
        <w:t>366.093</w:t>
      </w:r>
      <w:r>
        <w:t>, F.S. The Commission may determine that continued possession of the information is necessary for the Commission to conduct its business.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Pr="00AD5F83"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359CF" w:rsidRDefault="009C7C9C"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w:t>
      </w:r>
      <w:r w:rsidR="00D274AA">
        <w:rPr>
          <w:b/>
          <w:bCs/>
        </w:rPr>
        <w:t>I</w:t>
      </w:r>
      <w:r w:rsidR="004359CF">
        <w:rPr>
          <w:b/>
          <w:bCs/>
        </w:rPr>
        <w:t>.</w:t>
      </w:r>
      <w:r w:rsidR="004359CF">
        <w:tab/>
      </w:r>
      <w:r w:rsidR="004359CF">
        <w:rPr>
          <w:b/>
          <w:bCs/>
          <w:u w:val="single"/>
        </w:rPr>
        <w:t>Prehearing Procedures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8C692E">
        <w:rPr>
          <w:b/>
          <w:i/>
        </w:rPr>
        <w:t xml:space="preserve"> </w:t>
      </w:r>
      <w:r w:rsidR="008C692E">
        <w:t>I</w:t>
      </w:r>
      <w:r w:rsidR="00301226">
        <w:t>X</w:t>
      </w:r>
      <w:r>
        <w:t xml:space="preserve"> 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4359CF" w:rsidTr="001A1516">
        <w:tc>
          <w:tcPr>
            <w:tcW w:w="3060" w:type="dxa"/>
            <w:shd w:val="clear" w:color="auto" w:fill="auto"/>
          </w:tcPr>
          <w:p w:rsidR="004359CF" w:rsidRPr="004306A8"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4359CF" w:rsidRPr="004306A8"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4359CF" w:rsidRPr="004306A8"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4359CF" w:rsidTr="001A1516">
        <w:tc>
          <w:tcPr>
            <w:tcW w:w="3060" w:type="dxa"/>
            <w:shd w:val="clear" w:color="auto" w:fill="auto"/>
          </w:tcPr>
          <w:p w:rsidR="004359CF" w:rsidRPr="004306A8"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4359CF" w:rsidRPr="00A2428E"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359CF" w:rsidRPr="00A2428E"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359CF" w:rsidTr="001A1516">
        <w:tc>
          <w:tcPr>
            <w:tcW w:w="3060" w:type="dxa"/>
            <w:shd w:val="clear" w:color="auto" w:fill="auto"/>
          </w:tcPr>
          <w:p w:rsidR="004359CF" w:rsidRPr="00A2428E"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4359CF" w:rsidRPr="00A2428E"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4359CF" w:rsidRPr="00A2428E"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4359CF" w:rsidRPr="00B95E83" w:rsidTr="001A1516">
        <w:tc>
          <w:tcPr>
            <w:tcW w:w="974" w:type="dxa"/>
            <w:shd w:val="clear" w:color="auto" w:fill="auto"/>
          </w:tcPr>
          <w:p w:rsidR="004359CF" w:rsidRPr="00B95E83"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4359CF" w:rsidRPr="00B95E83" w:rsidRDefault="004359CF" w:rsidP="001A1516">
            <w:pPr>
              <w:rPr>
                <w:b/>
              </w:rPr>
            </w:pPr>
            <w:r w:rsidRPr="00B95E83">
              <w:rPr>
                <w:b/>
              </w:rPr>
              <w:t>Proffered By</w:t>
            </w:r>
          </w:p>
        </w:tc>
        <w:tc>
          <w:tcPr>
            <w:tcW w:w="1505" w:type="dxa"/>
            <w:shd w:val="clear" w:color="auto" w:fill="auto"/>
          </w:tcPr>
          <w:p w:rsidR="004359CF" w:rsidRPr="00B95E83" w:rsidRDefault="004359CF" w:rsidP="001A1516">
            <w:pPr>
              <w:rPr>
                <w:b/>
              </w:rPr>
            </w:pPr>
            <w:r w:rsidRPr="00B95E83">
              <w:rPr>
                <w:b/>
              </w:rPr>
              <w:t>Exhibit No.</w:t>
            </w:r>
          </w:p>
        </w:tc>
        <w:tc>
          <w:tcPr>
            <w:tcW w:w="2123" w:type="dxa"/>
            <w:shd w:val="clear" w:color="auto" w:fill="auto"/>
          </w:tcPr>
          <w:p w:rsidR="004359CF" w:rsidRPr="00B95E83"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4359CF" w:rsidRPr="00B95E83" w:rsidRDefault="004359CF" w:rsidP="001A1516">
            <w:pPr>
              <w:rPr>
                <w:b/>
              </w:rPr>
            </w:pPr>
            <w:r w:rsidRPr="00B95E83">
              <w:rPr>
                <w:b/>
              </w:rPr>
              <w:t>Issue  #</w:t>
            </w:r>
          </w:p>
        </w:tc>
      </w:tr>
      <w:tr w:rsidR="004359CF" w:rsidRPr="00B95E83" w:rsidTr="001A1516">
        <w:tc>
          <w:tcPr>
            <w:tcW w:w="974" w:type="dxa"/>
            <w:shd w:val="clear" w:color="auto" w:fill="auto"/>
          </w:tcPr>
          <w:p w:rsidR="004359CF" w:rsidRPr="00B95E83" w:rsidRDefault="004359CF" w:rsidP="001A1516">
            <w:pPr>
              <w:jc w:val="center"/>
              <w:rPr>
                <w:b/>
              </w:rPr>
            </w:pPr>
            <w:r w:rsidRPr="00B95E83">
              <w:rPr>
                <w:b/>
              </w:rPr>
              <w:t>Direct</w:t>
            </w:r>
          </w:p>
        </w:tc>
        <w:tc>
          <w:tcPr>
            <w:tcW w:w="2086" w:type="dxa"/>
            <w:tcBorders>
              <w:top w:val="single" w:sz="4" w:space="0" w:color="auto"/>
            </w:tcBorders>
            <w:shd w:val="clear" w:color="auto" w:fill="auto"/>
          </w:tcPr>
          <w:p w:rsidR="004359CF" w:rsidRPr="00B95E83" w:rsidRDefault="004359CF" w:rsidP="001A1516"/>
        </w:tc>
        <w:tc>
          <w:tcPr>
            <w:tcW w:w="1505" w:type="dxa"/>
            <w:shd w:val="clear" w:color="auto" w:fill="auto"/>
          </w:tcPr>
          <w:p w:rsidR="004359CF" w:rsidRPr="00B95E83"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4359CF" w:rsidRPr="00B95E83"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4359CF" w:rsidRPr="00B95E83"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359CF" w:rsidRPr="00B95E83" w:rsidTr="001A1516">
        <w:tc>
          <w:tcPr>
            <w:tcW w:w="974" w:type="dxa"/>
            <w:shd w:val="clear" w:color="auto" w:fill="auto"/>
          </w:tcPr>
          <w:p w:rsidR="004359CF" w:rsidRPr="00B95E83" w:rsidRDefault="004359CF" w:rsidP="001A1516">
            <w:r w:rsidRPr="00B95E83">
              <w:t>John Smith</w:t>
            </w:r>
          </w:p>
        </w:tc>
        <w:tc>
          <w:tcPr>
            <w:tcW w:w="2086" w:type="dxa"/>
            <w:shd w:val="clear" w:color="auto" w:fill="auto"/>
          </w:tcPr>
          <w:p w:rsidR="004359CF" w:rsidRPr="00B95E83" w:rsidRDefault="004359CF" w:rsidP="001A1516">
            <w:r w:rsidRPr="00B95E83">
              <w:t>Party/Utility Name</w:t>
            </w:r>
          </w:p>
        </w:tc>
        <w:tc>
          <w:tcPr>
            <w:tcW w:w="1505" w:type="dxa"/>
            <w:shd w:val="clear" w:color="auto" w:fill="auto"/>
          </w:tcPr>
          <w:p w:rsidR="004359CF" w:rsidRPr="00B95E83" w:rsidRDefault="004359CF" w:rsidP="001A1516">
            <w:r w:rsidRPr="00B95E83">
              <w:t>ABC-1</w:t>
            </w:r>
          </w:p>
        </w:tc>
        <w:tc>
          <w:tcPr>
            <w:tcW w:w="2123" w:type="dxa"/>
            <w:shd w:val="clear" w:color="auto" w:fill="auto"/>
          </w:tcPr>
          <w:p w:rsidR="004359CF" w:rsidRPr="00B95E83" w:rsidRDefault="004359CF" w:rsidP="001A1516">
            <w:r w:rsidRPr="00B95E83">
              <w:t>Title ......</w:t>
            </w:r>
          </w:p>
        </w:tc>
        <w:tc>
          <w:tcPr>
            <w:tcW w:w="1862" w:type="dxa"/>
            <w:shd w:val="clear" w:color="auto" w:fill="auto"/>
          </w:tcPr>
          <w:p w:rsidR="004359CF" w:rsidRPr="00B95E83" w:rsidRDefault="004359CF" w:rsidP="001A15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(6)</w:t>
      </w:r>
      <w:r>
        <w:tab/>
        <w:t>A statement of all pending motions or other matters the party seeks action upon;</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4359CF" w:rsidRDefault="004359CF" w:rsidP="004359CF">
      <w:pPr>
        <w:spacing w:line="2" w:lineRule="exact"/>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9C7C9C">
        <w:t xml:space="preserve"> July 26, 2022</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spacing w:line="2" w:lineRule="exact"/>
        <w:jc w:val="both"/>
      </w:pPr>
    </w:p>
    <w:p w:rsidR="004359CF" w:rsidRDefault="004359CF" w:rsidP="004359C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4359CF" w:rsidRDefault="004359CF" w:rsidP="004359C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4359CF" w:rsidRDefault="004359CF" w:rsidP="004359C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4359CF" w:rsidRDefault="004359CF" w:rsidP="004359C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4359CF" w:rsidRDefault="004359CF" w:rsidP="004359C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introduction of the issue would not be to the prejudice or surprise of any party.</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C28FA"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120.569(2)(i), F.S., shall notify all other parties and Commission staff in writing no later than</w:t>
      </w:r>
      <w:r w:rsidR="009C7C9C">
        <w:t xml:space="preserve"> two business days </w:t>
      </w:r>
      <w:r>
        <w:t>prior to the first scheduled hearing date. Such notification shall identify all materials for which the party seeks official recognition, and such materials shall be provided along with the notification.</w:t>
      </w:r>
    </w:p>
    <w:p w:rsidR="006C28FA" w:rsidRDefault="006C28FA">
      <w:r>
        <w:br w:type="page"/>
      </w:r>
    </w:p>
    <w:p w:rsidR="004359CF" w:rsidRPr="00205CA9"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r>
      <w:r w:rsidRPr="00364D32">
        <w:t>G.</w:t>
      </w:r>
      <w:r w:rsidRPr="00364D32">
        <w:tab/>
      </w:r>
      <w:r w:rsidRPr="00364D32">
        <w:rPr>
          <w:u w:val="single"/>
        </w:rPr>
        <w:t>Use of Depositions at Hearing</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256CC1">
        <w:t>I</w:t>
      </w:r>
      <w:r w:rsidR="00301226">
        <w:t>X</w:t>
      </w:r>
      <w:r w:rsidR="00256CC1">
        <w:t xml:space="preserve"> </w:t>
      </w:r>
      <w:r>
        <w:t>of this Order. The Notice shall include the following information for each deposition:</w:t>
      </w:r>
    </w:p>
    <w:p w:rsidR="004359CF" w:rsidRDefault="004359CF" w:rsidP="004359CF">
      <w:pPr>
        <w:pStyle w:val="ListParagraph"/>
        <w:ind w:left="1080"/>
        <w:jc w:val="both"/>
      </w:pPr>
    </w:p>
    <w:p w:rsidR="004359CF" w:rsidRDefault="004359CF" w:rsidP="004359CF">
      <w:pPr>
        <w:pStyle w:val="ListParagraph"/>
        <w:numPr>
          <w:ilvl w:val="0"/>
          <w:numId w:val="8"/>
        </w:numPr>
        <w:jc w:val="both"/>
      </w:pPr>
      <w:r>
        <w:t>Name of witness deposed;</w:t>
      </w:r>
    </w:p>
    <w:p w:rsidR="004359CF" w:rsidRDefault="004359CF" w:rsidP="004359CF">
      <w:pPr>
        <w:pStyle w:val="ListParagraph"/>
        <w:numPr>
          <w:ilvl w:val="0"/>
          <w:numId w:val="8"/>
        </w:numPr>
        <w:jc w:val="both"/>
      </w:pPr>
      <w:r>
        <w:t>Date deposition was taken; and</w:t>
      </w:r>
    </w:p>
    <w:p w:rsidR="004359CF" w:rsidRDefault="004359CF" w:rsidP="004359CF">
      <w:pPr>
        <w:pStyle w:val="ListParagraph"/>
        <w:numPr>
          <w:ilvl w:val="0"/>
          <w:numId w:val="8"/>
        </w:numPr>
        <w:jc w:val="both"/>
      </w:pPr>
      <w:r>
        <w:t xml:space="preserve">Page and line numbers of each deposition the party seeks to introduce, </w:t>
      </w:r>
      <w:r w:rsidRPr="00D472A0">
        <w:t>when available.</w:t>
      </w:r>
      <w:r>
        <w:t xml:space="preserve"> </w:t>
      </w:r>
    </w:p>
    <w:p w:rsidR="004359CF" w:rsidRDefault="004359CF" w:rsidP="004359CF"/>
    <w:p w:rsidR="004359CF" w:rsidRDefault="004359CF" w:rsidP="004359CF">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4359CF" w:rsidRDefault="004359CF" w:rsidP="004359CF">
      <w:pPr>
        <w:ind w:firstLine="720"/>
        <w:jc w:val="both"/>
      </w:pPr>
    </w:p>
    <w:p w:rsidR="004359CF" w:rsidRDefault="004359CF" w:rsidP="00435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D472A0"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D274AA">
        <w:rPr>
          <w:b/>
          <w:bCs/>
        </w:rPr>
        <w:t>I</w:t>
      </w:r>
      <w:r w:rsidR="004359CF">
        <w:rPr>
          <w:b/>
          <w:bCs/>
        </w:rPr>
        <w:t>.</w:t>
      </w:r>
      <w:r w:rsidR="004359CF">
        <w:rPr>
          <w:b/>
          <w:bCs/>
        </w:rPr>
        <w:tab/>
      </w:r>
      <w:r w:rsidR="004359CF">
        <w:rPr>
          <w:b/>
          <w:bCs/>
          <w:u w:val="single"/>
        </w:rPr>
        <w:t>Hearing Procedures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spacing w:line="2" w:lineRule="exact"/>
        <w:jc w:val="both"/>
      </w:pPr>
    </w:p>
    <w:p w:rsidR="004359CF" w:rsidRDefault="004359CF" w:rsidP="004359CF">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4359CF" w:rsidRDefault="004359CF" w:rsidP="004359CF">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7375D7" w:rsidRDefault="007375D7"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6C28FA" w:rsidRDefault="006C28FA"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C28FA" w:rsidRDefault="006C28FA" w:rsidP="006C28FA">
      <w:pPr>
        <w:rPr>
          <w:color w:val="1F497D"/>
          <w:sz w:val="22"/>
          <w:szCs w:val="22"/>
        </w:rPr>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7375D7">
        <w:t>reasonably expected or intended t</w:t>
      </w:r>
      <w:r>
        <w:t>o be offered at the hearing.</w:t>
      </w:r>
    </w:p>
    <w:p w:rsidR="007375D7" w:rsidRDefault="007375D7"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7375D7" w:rsidP="007375D7">
      <w:r>
        <w:tab/>
      </w:r>
      <w:r w:rsidR="004359CF">
        <w:t>C.</w:t>
      </w:r>
      <w:r w:rsidR="004359CF">
        <w:tab/>
      </w:r>
      <w:r w:rsidR="004359CF">
        <w:rPr>
          <w:u w:val="single"/>
        </w:rPr>
        <w:t>Use of Confidential Information at Hearing</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D472A0">
        <w:t xml:space="preserve"> 366.093</w:t>
      </w:r>
      <w:r>
        <w:t>, F.S., to protect proprietary confidential business information from disclosure outside the proceeding.  Therefore, any party wishing to use at the hearing any proprietary confidential business information, as that term is defined in Section</w:t>
      </w:r>
      <w:r w:rsidR="00D472A0" w:rsidRPr="00D472A0">
        <w:t xml:space="preserve"> 366.093</w:t>
      </w:r>
      <w:r>
        <w:t>, F.S., shall adhere to the following:</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spacing w:line="2" w:lineRule="exact"/>
        <w:jc w:val="both"/>
      </w:pPr>
    </w:p>
    <w:p w:rsidR="004359CF" w:rsidRDefault="00D5792E" w:rsidP="004359CF">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A </w:t>
      </w:r>
      <w:r w:rsidRPr="0040181F">
        <w:t xml:space="preserve">party </w:t>
      </w:r>
      <w:r>
        <w:t xml:space="preserve">who </w:t>
      </w:r>
      <w:r w:rsidRPr="0040181F">
        <w:t xml:space="preserve">wishes to use confidential information in a hearing that has not been filed as prefiled testimony or prefiled exhibits </w:t>
      </w:r>
      <w:r>
        <w:t xml:space="preserve">will be required to </w:t>
      </w:r>
      <w:r w:rsidRPr="0040181F">
        <w:t>provide an electronic copy of this material to the Commission Clerk marked as confidential</w:t>
      </w:r>
      <w:r>
        <w:t>. The instructions for filing these materials will be provided in the Prehearing Order</w:t>
      </w:r>
      <w:r w:rsidRPr="0040181F">
        <w:t>.</w:t>
      </w:r>
      <w:r w:rsidR="004359CF">
        <w:t xml:space="preserve">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a confidential exhibit has been admitted into evidence, the copy </w:t>
      </w:r>
      <w:r w:rsidR="00D5792E">
        <w:t>electronically provided to the Clerk’s office</w:t>
      </w:r>
      <w:r>
        <w:t xml:space="preserve">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359CF" w:rsidRDefault="00EE01A0"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D274AA">
        <w:rPr>
          <w:b/>
          <w:bCs/>
        </w:rPr>
        <w:t>I</w:t>
      </w:r>
      <w:r w:rsidR="004359CF">
        <w:rPr>
          <w:b/>
          <w:bCs/>
        </w:rPr>
        <w:t>.</w:t>
      </w:r>
      <w:r w:rsidR="004359CF">
        <w:rPr>
          <w:b/>
          <w:bCs/>
        </w:rPr>
        <w:tab/>
      </w:r>
      <w:r w:rsidR="004359CF">
        <w:rPr>
          <w:b/>
          <w:bCs/>
          <w:u w:val="single"/>
        </w:rPr>
        <w:t>Post-Hearing Procedures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w:t>
      </w:r>
      <w:r>
        <w:lastRenderedPageBreak/>
        <w:t>schedule set forth in Section</w:t>
      </w:r>
      <w:r w:rsidR="00301226">
        <w:t xml:space="preserve"> </w:t>
      </w:r>
      <w:r w:rsidR="00EE01A0">
        <w:t>I</w:t>
      </w:r>
      <w:r w:rsidR="00301226">
        <w:t>X</w:t>
      </w:r>
      <w:r w:rsidR="00EE01A0">
        <w:t xml:space="preserve">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w:t>
      </w:r>
      <w:r w:rsidR="00EE01A0">
        <w:t xml:space="preserve"> 40</w:t>
      </w:r>
      <w:r>
        <w:t xml:space="preserve"> pages and shall be filed at the same time, unless modified by the Presiding Officer. </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359CF" w:rsidRDefault="00EE01A0"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D274AA">
        <w:rPr>
          <w:b/>
          <w:bCs/>
        </w:rPr>
        <w:t>X</w:t>
      </w:r>
      <w:r w:rsidR="004359CF">
        <w:rPr>
          <w:b/>
          <w:bCs/>
        </w:rPr>
        <w:t>.</w:t>
      </w:r>
      <w:r w:rsidR="004359CF">
        <w:rPr>
          <w:b/>
          <w:bCs/>
        </w:rPr>
        <w:tab/>
      </w:r>
      <w:r w:rsidR="004359CF">
        <w:rPr>
          <w:b/>
          <w:bCs/>
          <w:u w:val="single"/>
        </w:rPr>
        <w:t>Controlling Dates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4356C" w:rsidRPr="00596876" w:rsidRDefault="004359CF" w:rsidP="000435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4356C" w:rsidRPr="00596876">
        <w:t>The following dates have been established to govern the key activities of this case:</w:t>
      </w:r>
    </w:p>
    <w:p w:rsidR="0004356C" w:rsidRPr="00596876" w:rsidRDefault="0004356C" w:rsidP="000435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04356C" w:rsidRPr="00596876" w:rsidTr="0010597C">
        <w:trPr>
          <w:cantSplit/>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r w:rsidRPr="00596876">
              <w:t>(1)</w:t>
            </w:r>
          </w:p>
        </w:tc>
        <w:tc>
          <w:tcPr>
            <w:tcW w:w="52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FPL/Gulf, DEF, </w:t>
            </w:r>
            <w:r w:rsidR="00A6077B">
              <w:t xml:space="preserve">and </w:t>
            </w:r>
            <w:r>
              <w:t>TECO</w:t>
            </w:r>
            <w:r>
              <w:rPr>
                <w:rStyle w:val="FootnoteReference"/>
              </w:rPr>
              <w:footnoteReference w:id="6"/>
            </w:r>
            <w:r>
              <w:t xml:space="preserve"> Prior Year Final True-Up Filings</w:t>
            </w:r>
          </w:p>
        </w:tc>
        <w:tc>
          <w:tcPr>
            <w:tcW w:w="34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s>
              <w:spacing w:before="120" w:after="57"/>
              <w:jc w:val="both"/>
            </w:pPr>
            <w:r>
              <w:t>April 1, 2022</w:t>
            </w:r>
          </w:p>
        </w:tc>
      </w:tr>
      <w:tr w:rsidR="0004356C" w:rsidRPr="00596876" w:rsidTr="0010597C">
        <w:trPr>
          <w:cantSplit/>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r>
              <w:t>(2)</w:t>
            </w:r>
          </w:p>
        </w:tc>
        <w:tc>
          <w:tcPr>
            <w:tcW w:w="52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FPL/Gulf, DEF, </w:t>
            </w:r>
            <w:r w:rsidR="00A6077B">
              <w:t xml:space="preserve">and </w:t>
            </w:r>
            <w:r>
              <w:t>TECO Current Year True-Up &amp; Projection Filings</w:t>
            </w:r>
          </w:p>
        </w:tc>
        <w:tc>
          <w:tcPr>
            <w:tcW w:w="34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s>
              <w:spacing w:before="120" w:after="57"/>
              <w:jc w:val="both"/>
            </w:pPr>
            <w:r>
              <w:t>May 2, 2022</w:t>
            </w:r>
          </w:p>
        </w:tc>
      </w:tr>
      <w:tr w:rsidR="0004356C" w:rsidRPr="00596876" w:rsidTr="0010597C">
        <w:trPr>
          <w:cantSplit/>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r>
              <w:t>(3)</w:t>
            </w:r>
          </w:p>
        </w:tc>
        <w:tc>
          <w:tcPr>
            <w:tcW w:w="52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w:t>
            </w:r>
            <w:r>
              <w:rPr>
                <w:rStyle w:val="FootnoteReference"/>
              </w:rPr>
              <w:footnoteReference w:id="7"/>
            </w:r>
            <w:r>
              <w:t xml:space="preserve"> </w:t>
            </w:r>
            <w:r w:rsidRPr="00C10A24">
              <w:t>SPP Updates and</w:t>
            </w:r>
            <w:r>
              <w:t xml:space="preserve"> Subsequent Year Projection Filings</w:t>
            </w:r>
          </w:p>
        </w:tc>
        <w:tc>
          <w:tcPr>
            <w:tcW w:w="34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s>
              <w:spacing w:before="120" w:after="57"/>
              <w:jc w:val="both"/>
            </w:pPr>
            <w:r>
              <w:t>May 2, 2022</w:t>
            </w:r>
          </w:p>
        </w:tc>
      </w:tr>
      <w:tr w:rsidR="0004356C" w:rsidRPr="00596876" w:rsidTr="0010597C">
        <w:trPr>
          <w:cantSplit/>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r w:rsidRPr="00596876">
              <w:t>(</w:t>
            </w:r>
            <w:r>
              <w:t>4</w:t>
            </w:r>
            <w:r w:rsidRPr="00596876">
              <w:t>)</w:t>
            </w:r>
          </w:p>
        </w:tc>
        <w:tc>
          <w:tcPr>
            <w:tcW w:w="52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Intervenors’ testimony and exhibits</w:t>
            </w:r>
          </w:p>
        </w:tc>
        <w:tc>
          <w:tcPr>
            <w:tcW w:w="34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s>
              <w:spacing w:before="120" w:after="57"/>
              <w:jc w:val="both"/>
            </w:pPr>
            <w:r>
              <w:t>June 22, 2022</w:t>
            </w:r>
          </w:p>
        </w:tc>
      </w:tr>
      <w:tr w:rsidR="0004356C" w:rsidRPr="00596876" w:rsidTr="0010597C">
        <w:trPr>
          <w:cantSplit/>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r w:rsidRPr="00596876">
              <w:t>(</w:t>
            </w:r>
            <w:r>
              <w:t>5</w:t>
            </w:r>
            <w:r w:rsidRPr="00596876">
              <w:t>)</w:t>
            </w:r>
          </w:p>
        </w:tc>
        <w:tc>
          <w:tcPr>
            <w:tcW w:w="52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Staff’s testimony and exhibits, if any</w:t>
            </w:r>
          </w:p>
        </w:tc>
        <w:tc>
          <w:tcPr>
            <w:tcW w:w="34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s>
              <w:spacing w:before="120" w:after="57"/>
              <w:jc w:val="both"/>
            </w:pPr>
            <w:r>
              <w:t>June 29, 2022</w:t>
            </w:r>
          </w:p>
        </w:tc>
      </w:tr>
      <w:tr w:rsidR="0004356C" w:rsidRPr="00596876" w:rsidTr="0010597C">
        <w:trPr>
          <w:cantSplit/>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r w:rsidRPr="00596876">
              <w:t>(</w:t>
            </w:r>
            <w:r>
              <w:t>6</w:t>
            </w:r>
            <w:r w:rsidRPr="00596876">
              <w:t>)</w:t>
            </w:r>
          </w:p>
        </w:tc>
        <w:tc>
          <w:tcPr>
            <w:tcW w:w="52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 xml:space="preserve">Rebuttal testimony and exhibits </w:t>
            </w:r>
          </w:p>
        </w:tc>
        <w:tc>
          <w:tcPr>
            <w:tcW w:w="34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s>
              <w:spacing w:before="120" w:after="57"/>
              <w:jc w:val="both"/>
            </w:pPr>
            <w:r>
              <w:t>July 7, 2022</w:t>
            </w:r>
          </w:p>
        </w:tc>
      </w:tr>
      <w:tr w:rsidR="0004356C" w:rsidRPr="00596876" w:rsidTr="0010597C">
        <w:trPr>
          <w:cantSplit/>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r w:rsidRPr="00596876">
              <w:t>(</w:t>
            </w:r>
            <w:r>
              <w:t>7</w:t>
            </w:r>
            <w:r w:rsidRPr="00596876">
              <w:t>)</w:t>
            </w:r>
          </w:p>
        </w:tc>
        <w:tc>
          <w:tcPr>
            <w:tcW w:w="52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Prehearing Statements</w:t>
            </w:r>
          </w:p>
        </w:tc>
        <w:tc>
          <w:tcPr>
            <w:tcW w:w="34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s>
              <w:spacing w:before="120" w:after="57"/>
              <w:jc w:val="both"/>
            </w:pPr>
            <w:r>
              <w:t>July 12, 2022</w:t>
            </w:r>
          </w:p>
        </w:tc>
      </w:tr>
      <w:tr w:rsidR="0004356C" w:rsidRPr="00596876" w:rsidTr="0010597C">
        <w:trPr>
          <w:cantSplit/>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r w:rsidRPr="00596876">
              <w:t>(</w:t>
            </w:r>
            <w:r>
              <w:t>8</w:t>
            </w:r>
            <w:r w:rsidRPr="00596876">
              <w:t>)</w:t>
            </w:r>
          </w:p>
        </w:tc>
        <w:tc>
          <w:tcPr>
            <w:tcW w:w="52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s>
              <w:spacing w:before="120" w:after="57"/>
              <w:jc w:val="both"/>
            </w:pPr>
            <w:r>
              <w:t>July 19, 2022</w:t>
            </w:r>
          </w:p>
        </w:tc>
      </w:tr>
      <w:tr w:rsidR="0004356C" w:rsidRPr="00596876" w:rsidTr="0010597C">
        <w:trPr>
          <w:cantSplit/>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r w:rsidRPr="00596876">
              <w:t>(</w:t>
            </w:r>
            <w:r>
              <w:t>9</w:t>
            </w:r>
            <w:r w:rsidRPr="00596876">
              <w:t>)</w:t>
            </w:r>
          </w:p>
        </w:tc>
        <w:tc>
          <w:tcPr>
            <w:tcW w:w="52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96876">
              <w:t>Prehearing Conference</w:t>
            </w:r>
          </w:p>
        </w:tc>
        <w:tc>
          <w:tcPr>
            <w:tcW w:w="34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s>
              <w:spacing w:before="120" w:after="57"/>
              <w:jc w:val="both"/>
            </w:pPr>
            <w:r>
              <w:t>July 26, 2022</w:t>
            </w:r>
          </w:p>
        </w:tc>
      </w:tr>
      <w:tr w:rsidR="0004356C" w:rsidRPr="00596876" w:rsidTr="0010597C">
        <w:trPr>
          <w:cantSplit/>
          <w:trHeight w:val="454"/>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r>
              <w:t>(10)</w:t>
            </w:r>
          </w:p>
        </w:tc>
        <w:tc>
          <w:tcPr>
            <w:tcW w:w="5220" w:type="dxa"/>
            <w:tcBorders>
              <w:top w:val="nil"/>
              <w:left w:val="nil"/>
              <w:bottom w:val="nil"/>
              <w:right w:val="nil"/>
            </w:tcBorders>
          </w:tcPr>
          <w:p w:rsidR="0004356C" w:rsidRPr="00596876" w:rsidRDefault="007D3501"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04356C" w:rsidRDefault="007D3501" w:rsidP="0010597C">
            <w:pPr>
              <w:numPr>
                <w:ilvl w:val="12"/>
                <w:numId w:val="0"/>
              </w:numPr>
              <w:tabs>
                <w:tab w:val="left" w:pos="0"/>
                <w:tab w:val="left" w:pos="720"/>
                <w:tab w:val="left" w:pos="1440"/>
                <w:tab w:val="left" w:pos="2160"/>
                <w:tab w:val="left" w:pos="2880"/>
              </w:tabs>
              <w:spacing w:before="120" w:after="57"/>
              <w:jc w:val="both"/>
            </w:pPr>
            <w:r>
              <w:t>August 2-5, 2022</w:t>
            </w:r>
          </w:p>
        </w:tc>
      </w:tr>
      <w:tr w:rsidR="0004356C" w:rsidRPr="00596876" w:rsidTr="0010597C">
        <w:trPr>
          <w:cantSplit/>
          <w:trHeight w:val="454"/>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r w:rsidRPr="00596876">
              <w:t>(</w:t>
            </w:r>
            <w:r>
              <w:t>11</w:t>
            </w:r>
            <w:r w:rsidRPr="00596876">
              <w:t>)</w:t>
            </w:r>
          </w:p>
        </w:tc>
        <w:tc>
          <w:tcPr>
            <w:tcW w:w="5220" w:type="dxa"/>
            <w:tcBorders>
              <w:top w:val="nil"/>
              <w:left w:val="nil"/>
              <w:bottom w:val="nil"/>
              <w:right w:val="nil"/>
            </w:tcBorders>
          </w:tcPr>
          <w:p w:rsidR="0004356C" w:rsidRPr="00596876" w:rsidRDefault="007D3501"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04356C" w:rsidRPr="00596876" w:rsidRDefault="007D3501" w:rsidP="0010597C">
            <w:pPr>
              <w:numPr>
                <w:ilvl w:val="12"/>
                <w:numId w:val="0"/>
              </w:numPr>
              <w:tabs>
                <w:tab w:val="left" w:pos="0"/>
                <w:tab w:val="left" w:pos="720"/>
                <w:tab w:val="left" w:pos="1440"/>
                <w:tab w:val="left" w:pos="2160"/>
                <w:tab w:val="left" w:pos="2880"/>
              </w:tabs>
              <w:spacing w:before="120" w:after="57"/>
              <w:jc w:val="both"/>
            </w:pPr>
            <w:r>
              <w:t>September 2, 2022</w:t>
            </w:r>
          </w:p>
        </w:tc>
      </w:tr>
      <w:tr w:rsidR="0004356C" w:rsidRPr="00596876" w:rsidTr="0010597C">
        <w:trPr>
          <w:cantSplit/>
        </w:trPr>
        <w:tc>
          <w:tcPr>
            <w:tcW w:w="720" w:type="dxa"/>
            <w:tcBorders>
              <w:top w:val="nil"/>
              <w:left w:val="nil"/>
              <w:bottom w:val="nil"/>
              <w:right w:val="nil"/>
            </w:tcBorders>
          </w:tcPr>
          <w:p w:rsidR="0004356C" w:rsidRPr="00596876" w:rsidRDefault="0004356C" w:rsidP="0010597C">
            <w:pPr>
              <w:numPr>
                <w:ilvl w:val="12"/>
                <w:numId w:val="0"/>
              </w:numPr>
              <w:tabs>
                <w:tab w:val="left" w:pos="0"/>
              </w:tabs>
              <w:spacing w:before="120" w:after="57"/>
              <w:jc w:val="both"/>
            </w:pPr>
          </w:p>
        </w:tc>
        <w:tc>
          <w:tcPr>
            <w:tcW w:w="52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p>
        </w:tc>
        <w:tc>
          <w:tcPr>
            <w:tcW w:w="3420" w:type="dxa"/>
            <w:tcBorders>
              <w:top w:val="nil"/>
              <w:left w:val="nil"/>
              <w:bottom w:val="nil"/>
              <w:right w:val="nil"/>
            </w:tcBorders>
          </w:tcPr>
          <w:p w:rsidR="0004356C" w:rsidRPr="00596876" w:rsidRDefault="0004356C" w:rsidP="0010597C">
            <w:pPr>
              <w:numPr>
                <w:ilvl w:val="12"/>
                <w:numId w:val="0"/>
              </w:numPr>
              <w:tabs>
                <w:tab w:val="left" w:pos="0"/>
                <w:tab w:val="left" w:pos="720"/>
                <w:tab w:val="left" w:pos="1440"/>
                <w:tab w:val="left" w:pos="2160"/>
                <w:tab w:val="left" w:pos="2880"/>
              </w:tabs>
              <w:spacing w:before="120" w:after="57"/>
              <w:jc w:val="both"/>
            </w:pPr>
          </w:p>
        </w:tc>
      </w:tr>
    </w:tbl>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sidR="00175930" w:rsidRPr="00175930">
        <w:rPr>
          <w:color w:val="000000" w:themeColor="text1"/>
        </w:rPr>
        <w:t>Mike La</w:t>
      </w:r>
      <w:r w:rsidR="00574E6C">
        <w:rPr>
          <w:color w:val="000000" w:themeColor="text1"/>
        </w:rPr>
        <w:t xml:space="preserve"> </w:t>
      </w:r>
      <w:r w:rsidR="00175930" w:rsidRPr="00175930">
        <w:rPr>
          <w:color w:val="000000" w:themeColor="text1"/>
        </w:rPr>
        <w:t>Rosa</w:t>
      </w:r>
      <w:r>
        <w:t>, as Prehearing Officer, that the provisions of this Order shall govern this proceeding unless modified by the Commission.</w:t>
      </w:r>
    </w:p>
    <w:p w:rsidR="004359CF" w:rsidRDefault="004359CF" w:rsidP="004359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A1F82" w:rsidRDefault="006A1F82" w:rsidP="006A1F82">
      <w:pPr>
        <w:keepNext/>
        <w:keepLines/>
        <w:jc w:val="both"/>
        <w:rPr>
          <w:color w:val="000000" w:themeColor="text1"/>
        </w:rPr>
      </w:pPr>
      <w:r>
        <w:rPr>
          <w:color w:val="000000" w:themeColor="text1"/>
        </w:rPr>
        <w:tab/>
        <w:t xml:space="preserve">By ORDER of Commissioner Mike La Rosa, as Prehearing Officer, this </w:t>
      </w:r>
      <w:bookmarkStart w:id="5" w:name="replaceDate"/>
      <w:bookmarkEnd w:id="5"/>
      <w:r w:rsidR="00EF7C5E">
        <w:rPr>
          <w:color w:val="000000" w:themeColor="text1"/>
          <w:u w:val="single"/>
        </w:rPr>
        <w:t>28th</w:t>
      </w:r>
      <w:r w:rsidR="00EF7C5E">
        <w:rPr>
          <w:color w:val="000000" w:themeColor="text1"/>
        </w:rPr>
        <w:t xml:space="preserve"> day of </w:t>
      </w:r>
      <w:r w:rsidR="00EF7C5E">
        <w:rPr>
          <w:color w:val="000000" w:themeColor="text1"/>
          <w:u w:val="single"/>
        </w:rPr>
        <w:t>January</w:t>
      </w:r>
      <w:r w:rsidR="00EF7C5E">
        <w:rPr>
          <w:color w:val="000000" w:themeColor="text1"/>
        </w:rPr>
        <w:t xml:space="preserve">, </w:t>
      </w:r>
      <w:r w:rsidR="00EF7C5E">
        <w:rPr>
          <w:color w:val="000000" w:themeColor="text1"/>
          <w:u w:val="single"/>
        </w:rPr>
        <w:t>2022</w:t>
      </w:r>
      <w:r w:rsidR="00EF7C5E">
        <w:rPr>
          <w:color w:val="000000" w:themeColor="text1"/>
        </w:rPr>
        <w:t>.</w:t>
      </w:r>
    </w:p>
    <w:p w:rsidR="00EF7C5E" w:rsidRPr="00EF7C5E" w:rsidRDefault="00EF7C5E" w:rsidP="006A1F82">
      <w:pPr>
        <w:keepNext/>
        <w:keepLines/>
        <w:jc w:val="both"/>
        <w:rPr>
          <w:color w:val="000000" w:themeColor="text1"/>
        </w:rPr>
      </w:pPr>
    </w:p>
    <w:p w:rsidR="006A1F82" w:rsidRDefault="006A1F82" w:rsidP="006A1F82">
      <w:pPr>
        <w:keepNext/>
        <w:keepLines/>
        <w:jc w:val="both"/>
        <w:rPr>
          <w:color w:val="000000" w:themeColor="text1"/>
        </w:rPr>
      </w:pPr>
    </w:p>
    <w:p w:rsidR="006A1F82" w:rsidRDefault="006A1F82" w:rsidP="006A1F82">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6A1F82" w:rsidTr="006A1F82">
        <w:tc>
          <w:tcPr>
            <w:tcW w:w="720" w:type="dxa"/>
            <w:shd w:val="clear" w:color="auto" w:fill="auto"/>
          </w:tcPr>
          <w:p w:rsidR="006A1F82" w:rsidRDefault="006A1F82" w:rsidP="006A1F82">
            <w:pPr>
              <w:keepNext/>
              <w:keepLines/>
              <w:jc w:val="both"/>
              <w:rPr>
                <w:color w:val="000000" w:themeColor="text1"/>
              </w:rPr>
            </w:pPr>
            <w:bookmarkStart w:id="6" w:name="bkmrkSignature" w:colFirst="0" w:colLast="0"/>
          </w:p>
        </w:tc>
        <w:tc>
          <w:tcPr>
            <w:tcW w:w="4320" w:type="dxa"/>
            <w:tcBorders>
              <w:bottom w:val="single" w:sz="4" w:space="0" w:color="auto"/>
            </w:tcBorders>
            <w:shd w:val="clear" w:color="auto" w:fill="auto"/>
          </w:tcPr>
          <w:p w:rsidR="006A1F82" w:rsidRDefault="00137362" w:rsidP="006A1F82">
            <w:pPr>
              <w:keepNext/>
              <w:keepLines/>
              <w:jc w:val="both"/>
              <w:rPr>
                <w:color w:val="000000" w:themeColor="text1"/>
              </w:rPr>
            </w:pPr>
            <w:r>
              <w:rPr>
                <w:noProof/>
                <w:color w:val="000000" w:themeColor="text1"/>
              </w:rPr>
              <w:t>/s/ Mike La Rosa</w:t>
            </w:r>
            <w:bookmarkStart w:id="7" w:name="_GoBack"/>
            <w:bookmarkEnd w:id="7"/>
          </w:p>
        </w:tc>
      </w:tr>
      <w:bookmarkEnd w:id="6"/>
      <w:tr w:rsidR="006A1F82" w:rsidTr="006A1F82">
        <w:tc>
          <w:tcPr>
            <w:tcW w:w="720" w:type="dxa"/>
            <w:shd w:val="clear" w:color="auto" w:fill="auto"/>
          </w:tcPr>
          <w:p w:rsidR="006A1F82" w:rsidRDefault="006A1F82" w:rsidP="006A1F82">
            <w:pPr>
              <w:keepNext/>
              <w:keepLines/>
              <w:jc w:val="both"/>
              <w:rPr>
                <w:color w:val="000000" w:themeColor="text1"/>
              </w:rPr>
            </w:pPr>
          </w:p>
        </w:tc>
        <w:tc>
          <w:tcPr>
            <w:tcW w:w="4320" w:type="dxa"/>
            <w:tcBorders>
              <w:top w:val="single" w:sz="4" w:space="0" w:color="auto"/>
            </w:tcBorders>
            <w:shd w:val="clear" w:color="auto" w:fill="auto"/>
          </w:tcPr>
          <w:p w:rsidR="006A1F82" w:rsidRDefault="006A1F82" w:rsidP="006A1F82">
            <w:pPr>
              <w:keepNext/>
              <w:keepLines/>
              <w:jc w:val="both"/>
              <w:rPr>
                <w:color w:val="000000" w:themeColor="text1"/>
              </w:rPr>
            </w:pPr>
            <w:r>
              <w:rPr>
                <w:color w:val="000000" w:themeColor="text1"/>
              </w:rPr>
              <w:t>Mike La Rosa</w:t>
            </w:r>
          </w:p>
          <w:p w:rsidR="006A1F82" w:rsidRDefault="006A1F82" w:rsidP="006A1F82">
            <w:pPr>
              <w:keepNext/>
              <w:keepLines/>
              <w:jc w:val="both"/>
              <w:rPr>
                <w:color w:val="000000" w:themeColor="text1"/>
              </w:rPr>
            </w:pPr>
            <w:r>
              <w:rPr>
                <w:color w:val="000000" w:themeColor="text1"/>
              </w:rPr>
              <w:t>Commissioner and Prehearing Officer</w:t>
            </w:r>
          </w:p>
        </w:tc>
      </w:tr>
    </w:tbl>
    <w:p w:rsidR="006A1F82" w:rsidRDefault="006A1F82" w:rsidP="006A1F82">
      <w:pPr>
        <w:pStyle w:val="OrderSigInfo"/>
        <w:keepNext/>
        <w:keepLines/>
      </w:pPr>
      <w:r>
        <w:t>Florida Public Service Commission</w:t>
      </w:r>
    </w:p>
    <w:p w:rsidR="006A1F82" w:rsidRDefault="006A1F82" w:rsidP="006A1F82">
      <w:pPr>
        <w:pStyle w:val="OrderSigInfo"/>
        <w:keepNext/>
        <w:keepLines/>
      </w:pPr>
      <w:r>
        <w:t>2540 Shumard Oak Boulevard</w:t>
      </w:r>
    </w:p>
    <w:p w:rsidR="006A1F82" w:rsidRDefault="006A1F82" w:rsidP="006A1F82">
      <w:pPr>
        <w:pStyle w:val="OrderSigInfo"/>
        <w:keepNext/>
        <w:keepLines/>
      </w:pPr>
      <w:r>
        <w:t>Tallahassee, Florida 32399</w:t>
      </w:r>
    </w:p>
    <w:p w:rsidR="006A1F82" w:rsidRDefault="006A1F82" w:rsidP="006A1F82">
      <w:pPr>
        <w:pStyle w:val="OrderSigInfo"/>
        <w:keepNext/>
        <w:keepLines/>
      </w:pPr>
      <w:r>
        <w:t>(850) 413</w:t>
      </w:r>
      <w:r>
        <w:noBreakHyphen/>
        <w:t>6770</w:t>
      </w:r>
    </w:p>
    <w:p w:rsidR="006A1F82" w:rsidRDefault="006A1F82" w:rsidP="006A1F82">
      <w:pPr>
        <w:pStyle w:val="OrderSigInfo"/>
        <w:keepNext/>
        <w:keepLines/>
      </w:pPr>
      <w:r>
        <w:t>www.floridapsc.com</w:t>
      </w:r>
    </w:p>
    <w:p w:rsidR="006A1F82" w:rsidRDefault="006A1F82" w:rsidP="006A1F82">
      <w:pPr>
        <w:pStyle w:val="OrderSigInfo"/>
        <w:keepNext/>
        <w:keepLines/>
      </w:pPr>
    </w:p>
    <w:p w:rsidR="006A1F82" w:rsidRDefault="006A1F82" w:rsidP="006A1F82">
      <w:pPr>
        <w:pStyle w:val="OrderSigInfo"/>
        <w:keepNext/>
        <w:keepLines/>
      </w:pPr>
      <w:r>
        <w:t>Copies furnished:  A copy of this document is provided to the parties of record at the time of issuance and, if applicable, interested persons.</w:t>
      </w:r>
    </w:p>
    <w:p w:rsidR="006A1F82" w:rsidRDefault="006A1F82" w:rsidP="006A1F82">
      <w:pPr>
        <w:pStyle w:val="OrderBody"/>
        <w:keepNext/>
        <w:keepLines/>
      </w:pPr>
    </w:p>
    <w:p w:rsidR="006A1F82" w:rsidRDefault="006A1F82" w:rsidP="006A1F82">
      <w:pPr>
        <w:keepNext/>
        <w:keepLines/>
        <w:jc w:val="both"/>
        <w:rPr>
          <w:color w:val="000000" w:themeColor="text1"/>
        </w:rPr>
      </w:pPr>
    </w:p>
    <w:p w:rsidR="006A1F82" w:rsidRDefault="006A1F82" w:rsidP="006A1F82">
      <w:pPr>
        <w:keepNext/>
        <w:keepLines/>
        <w:jc w:val="both"/>
        <w:rPr>
          <w:color w:val="000000" w:themeColor="text1"/>
        </w:rPr>
      </w:pPr>
      <w:r>
        <w:rPr>
          <w:color w:val="000000" w:themeColor="text1"/>
        </w:rPr>
        <w:t>SPS</w:t>
      </w:r>
    </w:p>
    <w:p w:rsidR="006A1F82" w:rsidRDefault="006A1F82" w:rsidP="006A1F82">
      <w:pPr>
        <w:jc w:val="both"/>
        <w:rPr>
          <w:color w:val="000000" w:themeColor="text1"/>
        </w:rPr>
      </w:pPr>
    </w:p>
    <w:p w:rsidR="006A1F82" w:rsidRDefault="006A1F82" w:rsidP="006A1F82">
      <w:pPr>
        <w:jc w:val="both"/>
        <w:rPr>
          <w:color w:val="000000" w:themeColor="text1"/>
        </w:rPr>
      </w:pPr>
    </w:p>
    <w:p w:rsidR="006A1F82" w:rsidRDefault="006A1F82" w:rsidP="006A1F82">
      <w:pPr>
        <w:jc w:val="both"/>
        <w:rPr>
          <w:color w:val="000000" w:themeColor="text1"/>
        </w:rPr>
      </w:pPr>
    </w:p>
    <w:p w:rsidR="00EF7C5E" w:rsidRDefault="00EF7C5E" w:rsidP="006A1F82">
      <w:pPr>
        <w:jc w:val="both"/>
        <w:rPr>
          <w:color w:val="000000" w:themeColor="text1"/>
        </w:rPr>
      </w:pPr>
    </w:p>
    <w:p w:rsidR="00EF7C5E" w:rsidRDefault="00EF7C5E" w:rsidP="006A1F82">
      <w:pPr>
        <w:jc w:val="both"/>
        <w:rPr>
          <w:color w:val="000000" w:themeColor="text1"/>
        </w:rPr>
      </w:pPr>
    </w:p>
    <w:p w:rsidR="00EF7C5E" w:rsidRDefault="00EF7C5E" w:rsidP="006A1F82">
      <w:pPr>
        <w:jc w:val="both"/>
        <w:rPr>
          <w:color w:val="000000" w:themeColor="text1"/>
        </w:rPr>
      </w:pPr>
    </w:p>
    <w:p w:rsidR="00EF7C5E" w:rsidRDefault="00EF7C5E" w:rsidP="006A1F82">
      <w:pPr>
        <w:jc w:val="both"/>
        <w:rPr>
          <w:color w:val="000000" w:themeColor="text1"/>
        </w:rPr>
      </w:pPr>
    </w:p>
    <w:p w:rsidR="00EF7C5E" w:rsidRDefault="00EF7C5E" w:rsidP="006A1F82">
      <w:pPr>
        <w:jc w:val="both"/>
        <w:rPr>
          <w:color w:val="000000" w:themeColor="text1"/>
        </w:rPr>
      </w:pPr>
    </w:p>
    <w:p w:rsidR="00EF7C5E" w:rsidRDefault="00EF7C5E" w:rsidP="006A1F82">
      <w:pPr>
        <w:jc w:val="both"/>
        <w:rPr>
          <w:color w:val="000000" w:themeColor="text1"/>
        </w:rPr>
      </w:pPr>
    </w:p>
    <w:p w:rsidR="00EF7C5E" w:rsidRDefault="00EF7C5E" w:rsidP="006A1F82">
      <w:pPr>
        <w:jc w:val="both"/>
        <w:rPr>
          <w:color w:val="000000" w:themeColor="text1"/>
        </w:rPr>
      </w:pPr>
    </w:p>
    <w:p w:rsidR="00EF7C5E" w:rsidRDefault="00EF7C5E" w:rsidP="006A1F82">
      <w:pPr>
        <w:jc w:val="both"/>
        <w:rPr>
          <w:color w:val="000000" w:themeColor="text1"/>
        </w:rPr>
      </w:pPr>
    </w:p>
    <w:p w:rsidR="00EF7C5E" w:rsidRDefault="00EF7C5E" w:rsidP="006A1F82">
      <w:pPr>
        <w:jc w:val="both"/>
        <w:rPr>
          <w:color w:val="000000" w:themeColor="text1"/>
        </w:rPr>
      </w:pPr>
    </w:p>
    <w:p w:rsidR="00EF7C5E" w:rsidRDefault="00EF7C5E" w:rsidP="006A1F82">
      <w:pPr>
        <w:jc w:val="both"/>
        <w:rPr>
          <w:color w:val="000000" w:themeColor="text1"/>
        </w:rPr>
      </w:pPr>
    </w:p>
    <w:p w:rsidR="00EF7C5E" w:rsidRDefault="00EF7C5E" w:rsidP="006A1F82">
      <w:pPr>
        <w:jc w:val="both"/>
        <w:rPr>
          <w:color w:val="000000" w:themeColor="text1"/>
        </w:rPr>
      </w:pPr>
    </w:p>
    <w:p w:rsidR="00EF7C5E" w:rsidRDefault="00EF7C5E" w:rsidP="006A1F82">
      <w:pPr>
        <w:jc w:val="both"/>
        <w:rPr>
          <w:color w:val="000000" w:themeColor="text1"/>
        </w:rPr>
      </w:pPr>
    </w:p>
    <w:p w:rsidR="006A1F82" w:rsidRDefault="006A1F82" w:rsidP="006A1F82">
      <w:pPr>
        <w:jc w:val="both"/>
        <w:rPr>
          <w:color w:val="000000" w:themeColor="text1"/>
        </w:rPr>
      </w:pPr>
    </w:p>
    <w:p w:rsidR="006A1F82" w:rsidRDefault="006A1F82" w:rsidP="006A1F82">
      <w:pPr>
        <w:pStyle w:val="CenterUnderline"/>
      </w:pPr>
      <w:r>
        <w:t>NOTICE OF FURTHER PROCEEDINGS OR JUDICIAL REVIEW</w:t>
      </w:r>
    </w:p>
    <w:p w:rsidR="00CE01CC" w:rsidRDefault="00CE01CC" w:rsidP="006A1F82">
      <w:pPr>
        <w:pStyle w:val="CenterUnderline"/>
      </w:pPr>
    </w:p>
    <w:p w:rsidR="006A1F82" w:rsidRDefault="006A1F82" w:rsidP="006A1F8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1F82" w:rsidRDefault="006A1F82" w:rsidP="006A1F82">
      <w:pPr>
        <w:pStyle w:val="OrderBody"/>
      </w:pPr>
    </w:p>
    <w:p w:rsidR="006A1F82" w:rsidRDefault="006A1F82" w:rsidP="006A1F82">
      <w:pPr>
        <w:pStyle w:val="OrderBody"/>
      </w:pPr>
      <w:r>
        <w:tab/>
        <w:t>Mediation may be available on a case-by-case basis.  If mediation is conducted, it does not affect a substantially interested person's right to a hearing.</w:t>
      </w:r>
    </w:p>
    <w:p w:rsidR="006A1F82" w:rsidRDefault="006A1F82" w:rsidP="006A1F82">
      <w:pPr>
        <w:pStyle w:val="OrderBody"/>
      </w:pPr>
    </w:p>
    <w:p w:rsidR="00D274AA" w:rsidRDefault="006A1F82" w:rsidP="00D274A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p w:rsidR="005F2751" w:rsidRDefault="00D274AA" w:rsidP="00D274AA">
      <w:pPr>
        <w:jc w:val="center"/>
        <w:rPr>
          <w:b/>
        </w:rPr>
      </w:pPr>
      <w:r>
        <w:br w:type="page"/>
      </w:r>
      <w:r>
        <w:rPr>
          <w:b/>
        </w:rPr>
        <w:lastRenderedPageBreak/>
        <w:t>APPENDIX A</w:t>
      </w:r>
    </w:p>
    <w:p w:rsidR="00D274AA" w:rsidRDefault="00D274AA" w:rsidP="00D274AA">
      <w:pPr>
        <w:jc w:val="center"/>
        <w:rPr>
          <w:b/>
        </w:rPr>
      </w:pPr>
    </w:p>
    <w:p w:rsidR="00D274AA" w:rsidRDefault="00D274AA" w:rsidP="00D274AA">
      <w:pPr>
        <w:jc w:val="center"/>
        <w:rPr>
          <w:b/>
        </w:rPr>
      </w:pPr>
      <w:r w:rsidRPr="00E32C97">
        <w:rPr>
          <w:b/>
        </w:rPr>
        <w:t xml:space="preserve">GENERIC </w:t>
      </w:r>
      <w:r>
        <w:rPr>
          <w:b/>
        </w:rPr>
        <w:t>STORM PROTECTION PLAN</w:t>
      </w:r>
      <w:r w:rsidRPr="00E32C97">
        <w:rPr>
          <w:b/>
        </w:rPr>
        <w:t xml:space="preserve"> COST RECOVERY ISSUES</w:t>
      </w:r>
    </w:p>
    <w:p w:rsidR="00D274AA" w:rsidRDefault="00D274AA" w:rsidP="00D274AA">
      <w:pPr>
        <w:jc w:val="both"/>
      </w:pPr>
    </w:p>
    <w:p w:rsidR="00D274AA" w:rsidRPr="004459D8" w:rsidRDefault="00D274AA" w:rsidP="00D274AA">
      <w:pPr>
        <w:ind w:left="1440" w:hanging="1440"/>
        <w:jc w:val="both"/>
        <w:rPr>
          <w:b/>
        </w:rPr>
      </w:pPr>
      <w:r w:rsidRPr="00D274AA">
        <w:rPr>
          <w:b/>
          <w:bCs/>
          <w:u w:val="single"/>
        </w:rPr>
        <w:t>ISSUE 1</w:t>
      </w:r>
      <w:r w:rsidRPr="00701945">
        <w:rPr>
          <w:b/>
          <w:bCs/>
        </w:rPr>
        <w:t>:</w:t>
      </w:r>
      <w:r w:rsidRPr="00701945">
        <w:tab/>
      </w:r>
      <w:r w:rsidRPr="00D274AA">
        <w:t>What are the final Storm Protection Plan Cost Recovery Clause jurisdictional cost recovery true-up amounts for the period January 2021 through December 2021?</w:t>
      </w:r>
      <w:r w:rsidRPr="004459D8">
        <w:rPr>
          <w:b/>
        </w:rPr>
        <w:t xml:space="preserve"> </w:t>
      </w:r>
    </w:p>
    <w:p w:rsidR="00D274AA" w:rsidRPr="00701945" w:rsidRDefault="00D274AA" w:rsidP="00D274AA">
      <w:pPr>
        <w:jc w:val="both"/>
      </w:pPr>
    </w:p>
    <w:p w:rsidR="00D274AA" w:rsidRPr="004459D8" w:rsidRDefault="00D274AA" w:rsidP="00D274AA">
      <w:pPr>
        <w:ind w:left="1440" w:hanging="1440"/>
        <w:jc w:val="both"/>
        <w:rPr>
          <w:b/>
        </w:rPr>
      </w:pPr>
      <w:r w:rsidRPr="00D274AA">
        <w:rPr>
          <w:b/>
          <w:bCs/>
          <w:u w:val="single"/>
        </w:rPr>
        <w:t>ISSUE 2</w:t>
      </w:r>
      <w:r w:rsidRPr="00701945">
        <w:rPr>
          <w:b/>
          <w:bCs/>
        </w:rPr>
        <w:t>:</w:t>
      </w:r>
      <w:r w:rsidRPr="00701945">
        <w:tab/>
      </w:r>
      <w:r w:rsidRPr="00D274AA">
        <w:t>What are the actual/estimated Storm Protection Plan Cost Recovery Clause jurisdictional cost recovery true-up amounts for the period January 2022 through December 2022?</w:t>
      </w:r>
    </w:p>
    <w:p w:rsidR="00D274AA" w:rsidRPr="00701945" w:rsidRDefault="00D274AA" w:rsidP="00D274AA">
      <w:pPr>
        <w:jc w:val="both"/>
      </w:pPr>
    </w:p>
    <w:p w:rsidR="00D274AA" w:rsidRPr="00D274AA" w:rsidRDefault="00D274AA" w:rsidP="00D274AA">
      <w:pPr>
        <w:autoSpaceDE w:val="0"/>
        <w:autoSpaceDN w:val="0"/>
        <w:adjustRightInd w:val="0"/>
        <w:ind w:left="1440" w:hanging="1440"/>
        <w:jc w:val="both"/>
        <w:rPr>
          <w:rFonts w:eastAsia="Calibri"/>
          <w:color w:val="000000"/>
        </w:rPr>
      </w:pPr>
      <w:r w:rsidRPr="00D274AA">
        <w:rPr>
          <w:b/>
          <w:bCs/>
          <w:u w:val="single"/>
        </w:rPr>
        <w:t>ISSUE 3</w:t>
      </w:r>
      <w:r w:rsidRPr="00701945">
        <w:rPr>
          <w:b/>
          <w:bCs/>
        </w:rPr>
        <w:t>:</w:t>
      </w:r>
      <w:r w:rsidRPr="00701945">
        <w:tab/>
      </w:r>
      <w:r w:rsidRPr="00D274AA">
        <w:t>What are the projected Storm Protection Plan Cost Recovery Clause jurisdictional cost recovery amounts for the period January 2023 through December 2023?</w:t>
      </w:r>
    </w:p>
    <w:p w:rsidR="00D274AA" w:rsidRPr="00701945" w:rsidRDefault="00D274AA" w:rsidP="00D274AA">
      <w:pPr>
        <w:jc w:val="both"/>
      </w:pPr>
    </w:p>
    <w:p w:rsidR="00D274AA" w:rsidRPr="00D274AA" w:rsidRDefault="00D274AA" w:rsidP="00D274AA">
      <w:pPr>
        <w:ind w:left="1440" w:hanging="1440"/>
        <w:jc w:val="both"/>
      </w:pPr>
      <w:r w:rsidRPr="00D274AA">
        <w:rPr>
          <w:b/>
          <w:bCs/>
          <w:u w:val="single"/>
        </w:rPr>
        <w:t>ISSUE 4</w:t>
      </w:r>
      <w:r w:rsidRPr="00701945">
        <w:rPr>
          <w:b/>
          <w:bCs/>
        </w:rPr>
        <w:t>:</w:t>
      </w:r>
      <w:r w:rsidRPr="00701945">
        <w:tab/>
      </w:r>
      <w:r w:rsidRPr="00D274AA">
        <w:t xml:space="preserve">What are the Storm Protection Plan Cost Recovery Clause total jurisdictional cost recovery amounts, including true-ups, to be included in establishing Storm Protection Plan Cost Recovery factors for the period January 2023 through December 2023? </w:t>
      </w:r>
    </w:p>
    <w:p w:rsidR="00D274AA" w:rsidRPr="00D274AA" w:rsidRDefault="00D274AA" w:rsidP="00D274AA">
      <w:pPr>
        <w:jc w:val="both"/>
        <w:rPr>
          <w:u w:val="single"/>
        </w:rPr>
      </w:pPr>
    </w:p>
    <w:p w:rsidR="00D274AA" w:rsidRPr="00D274AA" w:rsidRDefault="00D274AA" w:rsidP="00D274AA">
      <w:pPr>
        <w:autoSpaceDE w:val="0"/>
        <w:autoSpaceDN w:val="0"/>
        <w:adjustRightInd w:val="0"/>
        <w:ind w:left="1440" w:hanging="1440"/>
        <w:jc w:val="both"/>
        <w:rPr>
          <w:rFonts w:eastAsia="Calibri"/>
          <w:color w:val="000000"/>
        </w:rPr>
      </w:pPr>
      <w:r w:rsidRPr="00D274AA">
        <w:rPr>
          <w:b/>
          <w:bCs/>
          <w:u w:val="single"/>
        </w:rPr>
        <w:t>ISSUE 5</w:t>
      </w:r>
      <w:r w:rsidRPr="00701945">
        <w:rPr>
          <w:b/>
          <w:bCs/>
        </w:rPr>
        <w:t>:</w:t>
      </w:r>
      <w:r w:rsidRPr="00701945">
        <w:tab/>
      </w:r>
      <w:r w:rsidRPr="00D274AA">
        <w:t>What depreciation rates should be used to develop the depreciation expense included in the total Storm Protection Plan Cost Recovery Clause amounts for the period January 2023 through December 2023?</w:t>
      </w:r>
    </w:p>
    <w:p w:rsidR="00D274AA" w:rsidRPr="00701945" w:rsidRDefault="00D274AA" w:rsidP="00D274AA">
      <w:pPr>
        <w:jc w:val="both"/>
      </w:pPr>
    </w:p>
    <w:p w:rsidR="00D274AA" w:rsidRPr="004459D8" w:rsidRDefault="00D274AA" w:rsidP="00D274AA">
      <w:pPr>
        <w:autoSpaceDE w:val="0"/>
        <w:autoSpaceDN w:val="0"/>
        <w:adjustRightInd w:val="0"/>
        <w:ind w:left="1440" w:hanging="1440"/>
        <w:jc w:val="both"/>
        <w:rPr>
          <w:b/>
        </w:rPr>
      </w:pPr>
      <w:r w:rsidRPr="00D274AA">
        <w:rPr>
          <w:b/>
          <w:bCs/>
          <w:u w:val="single"/>
        </w:rPr>
        <w:t>ISSUE 6</w:t>
      </w:r>
      <w:r w:rsidRPr="00701945">
        <w:rPr>
          <w:b/>
          <w:bCs/>
        </w:rPr>
        <w:t>:</w:t>
      </w:r>
      <w:r w:rsidRPr="00701945">
        <w:tab/>
      </w:r>
      <w:r w:rsidRPr="00D274AA">
        <w:t>What are the appropriate jurisdictional separation factors for the projected period January 2023 through December 2023?</w:t>
      </w:r>
    </w:p>
    <w:p w:rsidR="00D274AA" w:rsidRPr="00701945" w:rsidRDefault="00D274AA" w:rsidP="00D274AA">
      <w:pPr>
        <w:jc w:val="both"/>
      </w:pPr>
    </w:p>
    <w:p w:rsidR="00D274AA" w:rsidRPr="00D274AA" w:rsidRDefault="00D274AA" w:rsidP="00D274AA">
      <w:pPr>
        <w:ind w:left="1440" w:hanging="1440"/>
        <w:jc w:val="both"/>
      </w:pPr>
      <w:r w:rsidRPr="00D274AA">
        <w:rPr>
          <w:b/>
          <w:bCs/>
          <w:u w:val="single"/>
        </w:rPr>
        <w:t>ISSUE 7:</w:t>
      </w:r>
      <w:r w:rsidRPr="00701945">
        <w:tab/>
      </w:r>
      <w:r w:rsidRPr="00D274AA">
        <w:t>What are the appropriate Storm Protection Plan Cost Recovery Clause factors for the period January 2023 through December 2023 for each rate group?</w:t>
      </w:r>
    </w:p>
    <w:p w:rsidR="00D274AA" w:rsidRPr="00701945" w:rsidRDefault="00D274AA" w:rsidP="00D274AA">
      <w:pPr>
        <w:jc w:val="both"/>
      </w:pPr>
    </w:p>
    <w:p w:rsidR="00D274AA" w:rsidRDefault="00D274AA" w:rsidP="00D274AA">
      <w:pPr>
        <w:autoSpaceDE w:val="0"/>
        <w:autoSpaceDN w:val="0"/>
        <w:adjustRightInd w:val="0"/>
        <w:ind w:left="1440" w:hanging="1440"/>
        <w:jc w:val="both"/>
        <w:rPr>
          <w:rFonts w:eastAsia="Calibri"/>
          <w:bCs/>
        </w:rPr>
      </w:pPr>
      <w:r w:rsidRPr="00D274AA">
        <w:rPr>
          <w:b/>
          <w:bCs/>
          <w:u w:val="single"/>
        </w:rPr>
        <w:t>ISSUE 8</w:t>
      </w:r>
      <w:r w:rsidRPr="00701945">
        <w:rPr>
          <w:b/>
          <w:bCs/>
        </w:rPr>
        <w:t>:</w:t>
      </w:r>
      <w:r w:rsidRPr="00701945">
        <w:tab/>
      </w:r>
      <w:r w:rsidRPr="00D274AA">
        <w:rPr>
          <w:rFonts w:eastAsia="Calibri"/>
          <w:bCs/>
        </w:rPr>
        <w:t>What should be the effective date of the new Storm Protection Plan Cost Recovery Clause factors for billing purposes?</w:t>
      </w:r>
    </w:p>
    <w:p w:rsidR="00D274AA" w:rsidRPr="00D274AA" w:rsidRDefault="00D274AA" w:rsidP="00D274AA">
      <w:pPr>
        <w:autoSpaceDE w:val="0"/>
        <w:autoSpaceDN w:val="0"/>
        <w:adjustRightInd w:val="0"/>
        <w:ind w:left="1440" w:hanging="1440"/>
        <w:jc w:val="both"/>
        <w:rPr>
          <w:rFonts w:eastAsia="Calibri"/>
          <w:bCs/>
        </w:rPr>
      </w:pPr>
    </w:p>
    <w:p w:rsidR="00D274AA" w:rsidRPr="00D274AA" w:rsidRDefault="00D274AA" w:rsidP="00D274AA">
      <w:pPr>
        <w:ind w:left="1440" w:hanging="1440"/>
        <w:jc w:val="both"/>
        <w:rPr>
          <w:bCs/>
        </w:rPr>
      </w:pPr>
      <w:r w:rsidRPr="00D274AA">
        <w:rPr>
          <w:b/>
          <w:bCs/>
          <w:u w:val="single"/>
        </w:rPr>
        <w:t>ISSUE 9</w:t>
      </w:r>
      <w:r w:rsidRPr="00701945">
        <w:rPr>
          <w:b/>
          <w:bCs/>
        </w:rPr>
        <w:t>:</w:t>
      </w:r>
      <w:r w:rsidRPr="00701945">
        <w:tab/>
      </w:r>
      <w:r w:rsidRPr="00D274AA">
        <w:rPr>
          <w:bCs/>
        </w:rPr>
        <w:t>Should the Commission approve revised tariffs reflecting the new Storm Protection Plan Cost Recovery Clause factors determined to be appropriate in this proceeding?</w:t>
      </w:r>
    </w:p>
    <w:p w:rsidR="00D274AA" w:rsidRPr="00701945" w:rsidRDefault="00D274AA" w:rsidP="00D274AA">
      <w:pPr>
        <w:jc w:val="both"/>
      </w:pPr>
    </w:p>
    <w:p w:rsidR="00D274AA" w:rsidRPr="005D4633" w:rsidRDefault="00D274AA" w:rsidP="00D274AA">
      <w:pPr>
        <w:autoSpaceDE w:val="0"/>
        <w:autoSpaceDN w:val="0"/>
        <w:adjustRightInd w:val="0"/>
        <w:rPr>
          <w:rFonts w:eastAsia="Calibri"/>
          <w:b/>
          <w:color w:val="000000"/>
        </w:rPr>
      </w:pPr>
      <w:r w:rsidRPr="00D274AA">
        <w:rPr>
          <w:b/>
          <w:bCs/>
          <w:u w:val="single"/>
        </w:rPr>
        <w:t>ISSUE 10</w:t>
      </w:r>
      <w:r w:rsidRPr="00701945">
        <w:rPr>
          <w:b/>
          <w:bCs/>
        </w:rPr>
        <w:t>:</w:t>
      </w:r>
      <w:r w:rsidRPr="00701945">
        <w:tab/>
      </w:r>
      <w:r w:rsidRPr="00D274AA">
        <w:rPr>
          <w:rFonts w:eastAsia="Calibri"/>
          <w:color w:val="000000"/>
        </w:rPr>
        <w:t>Should this docket be closed?</w:t>
      </w:r>
      <w:r w:rsidRPr="005D4633">
        <w:rPr>
          <w:rFonts w:eastAsia="Calibri"/>
          <w:b/>
          <w:color w:val="000000"/>
        </w:rPr>
        <w:t xml:space="preserve"> </w:t>
      </w:r>
    </w:p>
    <w:p w:rsidR="00D274AA" w:rsidRDefault="00D274AA" w:rsidP="00D274AA">
      <w:pPr>
        <w:jc w:val="both"/>
        <w:rPr>
          <w:b/>
        </w:rPr>
      </w:pPr>
    </w:p>
    <w:p w:rsidR="00D274AA" w:rsidRDefault="00D274AA" w:rsidP="00D274AA">
      <w:pPr>
        <w:jc w:val="center"/>
        <w:rPr>
          <w:b/>
        </w:rPr>
      </w:pPr>
      <w:r w:rsidRPr="00E32C97">
        <w:rPr>
          <w:b/>
        </w:rPr>
        <w:t xml:space="preserve">COMPANY SPECIFIC </w:t>
      </w:r>
      <w:r>
        <w:rPr>
          <w:b/>
        </w:rPr>
        <w:t>STORM PROTECTION PLAN</w:t>
      </w:r>
      <w:r w:rsidRPr="00E32C97">
        <w:rPr>
          <w:b/>
        </w:rPr>
        <w:t xml:space="preserve"> COST RECOVERY ISSUES</w:t>
      </w:r>
    </w:p>
    <w:p w:rsidR="00D274AA" w:rsidRDefault="00D274AA" w:rsidP="00D274AA">
      <w:pPr>
        <w:jc w:val="both"/>
        <w:rPr>
          <w:b/>
        </w:rPr>
      </w:pPr>
    </w:p>
    <w:p w:rsidR="00D274AA" w:rsidRPr="00D274AA" w:rsidRDefault="00D274AA" w:rsidP="00D274AA">
      <w:pPr>
        <w:jc w:val="both"/>
      </w:pPr>
      <w:r w:rsidRPr="00D274AA">
        <w:t>These issues will be added as they are developed.</w:t>
      </w:r>
    </w:p>
    <w:sectPr w:rsidR="00D274AA" w:rsidRPr="00D274A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CF" w:rsidRDefault="004359CF">
      <w:r>
        <w:separator/>
      </w:r>
    </w:p>
  </w:endnote>
  <w:endnote w:type="continuationSeparator" w:id="0">
    <w:p w:rsidR="004359CF" w:rsidRDefault="0043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CF" w:rsidRDefault="004359CF">
      <w:r>
        <w:separator/>
      </w:r>
    </w:p>
  </w:footnote>
  <w:footnote w:type="continuationSeparator" w:id="0">
    <w:p w:rsidR="004359CF" w:rsidRDefault="004359CF">
      <w:r>
        <w:continuationSeparator/>
      </w:r>
    </w:p>
  </w:footnote>
  <w:footnote w:id="1">
    <w:p w:rsidR="004B37E3" w:rsidRDefault="004B37E3" w:rsidP="004B37E3">
      <w:pPr>
        <w:pStyle w:val="BodyText"/>
        <w:spacing w:after="0"/>
        <w:contextualSpacing/>
        <w:jc w:val="both"/>
      </w:pPr>
      <w:r w:rsidRPr="00D84A7C">
        <w:rPr>
          <w:rStyle w:val="FootnoteReference"/>
          <w:sz w:val="20"/>
          <w:szCs w:val="20"/>
        </w:rPr>
        <w:footnoteRef/>
      </w:r>
      <w:r w:rsidRPr="00D84A7C">
        <w:rPr>
          <w:sz w:val="20"/>
          <w:szCs w:val="20"/>
        </w:rPr>
        <w:t xml:space="preserve"> The parties to TECO’s settlement agreement </w:t>
      </w:r>
      <w:r>
        <w:rPr>
          <w:sz w:val="20"/>
          <w:szCs w:val="20"/>
        </w:rPr>
        <w:t>in Docket No. 20200067-EI a</w:t>
      </w:r>
      <w:r w:rsidRPr="00D84A7C">
        <w:rPr>
          <w:sz w:val="20"/>
          <w:szCs w:val="20"/>
        </w:rPr>
        <w:t>re</w:t>
      </w:r>
      <w:r>
        <w:rPr>
          <w:sz w:val="20"/>
          <w:szCs w:val="20"/>
        </w:rPr>
        <w:t xml:space="preserve"> OPC</w:t>
      </w:r>
      <w:r w:rsidRPr="00D84A7C">
        <w:rPr>
          <w:sz w:val="20"/>
          <w:szCs w:val="20"/>
        </w:rPr>
        <w:t xml:space="preserve">, Walmart, and </w:t>
      </w:r>
      <w:r>
        <w:rPr>
          <w:sz w:val="20"/>
          <w:szCs w:val="20"/>
        </w:rPr>
        <w:t>FIPUG</w:t>
      </w:r>
      <w:r w:rsidRPr="00D84A7C">
        <w:rPr>
          <w:sz w:val="20"/>
          <w:szCs w:val="20"/>
        </w:rPr>
        <w:t>. The parties to DEF’s settlement agreement</w:t>
      </w:r>
      <w:r>
        <w:rPr>
          <w:sz w:val="20"/>
          <w:szCs w:val="20"/>
        </w:rPr>
        <w:t xml:space="preserve"> in Docket No. 20200069-EI a</w:t>
      </w:r>
      <w:r w:rsidRPr="00D84A7C">
        <w:rPr>
          <w:sz w:val="20"/>
          <w:szCs w:val="20"/>
        </w:rPr>
        <w:t xml:space="preserve">re OPC, Walmart, and PCS. The parties to the Gulf </w:t>
      </w:r>
      <w:r>
        <w:rPr>
          <w:sz w:val="20"/>
          <w:szCs w:val="20"/>
        </w:rPr>
        <w:t xml:space="preserve">(Docket No. 20200070-EI) </w:t>
      </w:r>
      <w:r w:rsidRPr="00D84A7C">
        <w:rPr>
          <w:sz w:val="20"/>
          <w:szCs w:val="20"/>
        </w:rPr>
        <w:t xml:space="preserve">and FPL </w:t>
      </w:r>
      <w:r>
        <w:rPr>
          <w:sz w:val="20"/>
          <w:szCs w:val="20"/>
        </w:rPr>
        <w:t>(Docket No. 20200071-EI) settlement agreements a</w:t>
      </w:r>
      <w:r w:rsidRPr="00D84A7C">
        <w:rPr>
          <w:sz w:val="20"/>
          <w:szCs w:val="20"/>
        </w:rPr>
        <w:t>re OPC and Walmart.</w:t>
      </w:r>
    </w:p>
  </w:footnote>
  <w:footnote w:id="2">
    <w:p w:rsidR="004B37E3" w:rsidRPr="00541ED7" w:rsidRDefault="004B37E3" w:rsidP="004B37E3">
      <w:pPr>
        <w:pStyle w:val="FootnoteText"/>
        <w:rPr>
          <w:i/>
        </w:rPr>
      </w:pPr>
      <w:r>
        <w:rPr>
          <w:rStyle w:val="FootnoteReference"/>
        </w:rPr>
        <w:footnoteRef/>
      </w:r>
      <w:r>
        <w:t xml:space="preserve"> Docket No. 20200228-EI, </w:t>
      </w:r>
      <w:r>
        <w:rPr>
          <w:i/>
        </w:rPr>
        <w:t xml:space="preserve">In re: </w:t>
      </w:r>
      <w:r w:rsidRPr="001F272C">
        <w:rPr>
          <w:i/>
        </w:rPr>
        <w:t>Request to modify filing dates set forth</w:t>
      </w:r>
      <w:r>
        <w:rPr>
          <w:i/>
        </w:rPr>
        <w:t xml:space="preserve"> </w:t>
      </w:r>
      <w:r w:rsidRPr="001F272C">
        <w:rPr>
          <w:i/>
        </w:rPr>
        <w:t>in Order PSC-2020-0097-PCO-EI for storm</w:t>
      </w:r>
      <w:r>
        <w:rPr>
          <w:i/>
        </w:rPr>
        <w:t xml:space="preserve"> </w:t>
      </w:r>
      <w:r w:rsidRPr="001F272C">
        <w:rPr>
          <w:i/>
        </w:rPr>
        <w:t>protection pl</w:t>
      </w:r>
      <w:r>
        <w:rPr>
          <w:i/>
        </w:rPr>
        <w:t>a</w:t>
      </w:r>
      <w:r w:rsidRPr="001F272C">
        <w:rPr>
          <w:i/>
        </w:rPr>
        <w:t>n and first plan update, by</w:t>
      </w:r>
      <w:r>
        <w:rPr>
          <w:i/>
        </w:rPr>
        <w:t xml:space="preserve"> Florida Public Utilities Comp</w:t>
      </w:r>
      <w:r w:rsidRPr="001F272C">
        <w:rPr>
          <w:i/>
        </w:rPr>
        <w:t>any</w:t>
      </w:r>
      <w:r>
        <w:rPr>
          <w:i/>
        </w:rPr>
        <w:t>.</w:t>
      </w:r>
    </w:p>
  </w:footnote>
  <w:footnote w:id="3">
    <w:p w:rsidR="00F65A84" w:rsidRDefault="00F65A84" w:rsidP="00F65A84">
      <w:pPr>
        <w:pStyle w:val="FootnoteText"/>
      </w:pPr>
      <w:r>
        <w:rPr>
          <w:rStyle w:val="FootnoteReference"/>
        </w:rPr>
        <w:footnoteRef/>
      </w:r>
      <w:r>
        <w:t xml:space="preserve"> FPUC did not file a petition seeking storm cost recovery and did not actively participate in this docket.</w:t>
      </w:r>
    </w:p>
  </w:footnote>
  <w:footnote w:id="4">
    <w:p w:rsidR="00F65A84" w:rsidRDefault="00F65A84" w:rsidP="00F65A84">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5">
    <w:p w:rsidR="00F65A84" w:rsidRDefault="00F65A84" w:rsidP="00F65A84">
      <w:pPr>
        <w:pStyle w:val="FootnoteText"/>
      </w:pPr>
      <w:r>
        <w:rPr>
          <w:rStyle w:val="FootnoteReference"/>
        </w:rPr>
        <w:footnoteRef/>
      </w:r>
      <w:r>
        <w:t xml:space="preserve"> Order No. PSC-2021-0290-PHO-EI, issued July 30, 2021.</w:t>
      </w:r>
    </w:p>
  </w:footnote>
  <w:footnote w:id="6">
    <w:p w:rsidR="0004356C" w:rsidRDefault="0004356C" w:rsidP="0004356C">
      <w:pPr>
        <w:pStyle w:val="FootnoteText"/>
      </w:pPr>
      <w:r>
        <w:rPr>
          <w:rStyle w:val="FootnoteReference"/>
        </w:rPr>
        <w:footnoteRef/>
      </w:r>
      <w:r>
        <w:t xml:space="preserve"> </w:t>
      </w:r>
      <w:r w:rsidRPr="00583855">
        <w:t xml:space="preserve">Events </w:t>
      </w:r>
      <w:r w:rsidR="00166F57">
        <w:t>one and two do not include Florida Public Utilities Company (</w:t>
      </w:r>
      <w:r w:rsidR="00166F57" w:rsidRPr="00583855">
        <w:t>FPUC</w:t>
      </w:r>
      <w:r w:rsidR="00166F57">
        <w:t>)</w:t>
      </w:r>
      <w:r w:rsidR="00166F57" w:rsidRPr="00583855">
        <w:t>.</w:t>
      </w:r>
      <w:r w:rsidR="00166F57">
        <w:t xml:space="preserve"> </w:t>
      </w:r>
      <w:r w:rsidR="00166F57" w:rsidRPr="0089332F">
        <w:t xml:space="preserve">By Order No. PSC-2020-0097-PCO-EI, issued on April 6, 2020, in Docket No. 20200068-EI, FPUC was allowed to file its initial SPP in 2021 and submit </w:t>
      </w:r>
      <w:r w:rsidR="00166F57">
        <w:t>an</w:t>
      </w:r>
      <w:r w:rsidR="00166F57" w:rsidRPr="0089332F">
        <w:t xml:space="preserve"> updated SPP in 2023. Following Commission approval of SPPCRC settlement agreements with respect to the other investor owned </w:t>
      </w:r>
      <w:r w:rsidR="00166F57">
        <w:t xml:space="preserve">electric </w:t>
      </w:r>
      <w:r w:rsidR="00166F57" w:rsidRPr="0089332F">
        <w:t>utilities, by Order PSC-2020-0502-PAA-EI, issued December 16, 2020, in Docket No. 20200028-EI, FPUC was allowed to defer filing its SPP from April 12, 2021, to April 2022, so that it could remain in alignment with the overall plan update schedule for the other utilities.</w:t>
      </w:r>
    </w:p>
  </w:footnote>
  <w:footnote w:id="7">
    <w:p w:rsidR="0004356C" w:rsidRDefault="0004356C" w:rsidP="0004356C">
      <w:pPr>
        <w:pStyle w:val="FootnoteText"/>
      </w:pPr>
      <w:r>
        <w:rPr>
          <w:rStyle w:val="FootnoteReference"/>
        </w:rPr>
        <w:footnoteRef/>
      </w:r>
      <w:r>
        <w:t xml:space="preserve"> FPUC is included in events three through twelve.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37362">
      <w:fldChar w:fldCharType="begin"/>
    </w:r>
    <w:r w:rsidR="00137362">
      <w:instrText xml:space="preserve"> REF OrderNo0044 </w:instrText>
    </w:r>
    <w:r w:rsidR="00137362">
      <w:fldChar w:fldCharType="separate"/>
    </w:r>
    <w:r w:rsidR="00137362">
      <w:t>PSC-2022-0044-PCO-EI</w:t>
    </w:r>
    <w:r w:rsidR="00137362">
      <w:fldChar w:fldCharType="end"/>
    </w:r>
  </w:p>
  <w:p w:rsidR="00FA6EFD" w:rsidRDefault="004359CF">
    <w:pPr>
      <w:pStyle w:val="OrderHeader"/>
    </w:pPr>
    <w:bookmarkStart w:id="9" w:name="HeaderDocketNo"/>
    <w:bookmarkEnd w:id="9"/>
    <w:r>
      <w:t>DOCKET NO. 20220010-EI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7362">
      <w:rPr>
        <w:rStyle w:val="PageNumber"/>
        <w:noProof/>
      </w:rPr>
      <w:t>13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601D28"/>
    <w:multiLevelType w:val="hybridMultilevel"/>
    <w:tmpl w:val="5806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BEF3BA2"/>
    <w:multiLevelType w:val="hybridMultilevel"/>
    <w:tmpl w:val="0538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7"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9"/>
  </w:num>
  <w:num w:numId="4">
    <w:abstractNumId w:val="8"/>
  </w:num>
  <w:num w:numId="5">
    <w:abstractNumId w:val="5"/>
  </w:num>
  <w:num w:numId="6">
    <w:abstractNumId w:val="2"/>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0-EI"/>
  </w:docVars>
  <w:rsids>
    <w:rsidRoot w:val="004359CF"/>
    <w:rsid w:val="000022B8"/>
    <w:rsid w:val="00003883"/>
    <w:rsid w:val="00011251"/>
    <w:rsid w:val="000231F8"/>
    <w:rsid w:val="00025C2A"/>
    <w:rsid w:val="00025C9D"/>
    <w:rsid w:val="0003433F"/>
    <w:rsid w:val="0003585E"/>
    <w:rsid w:val="00035A8C"/>
    <w:rsid w:val="00036BDD"/>
    <w:rsid w:val="00041FFD"/>
    <w:rsid w:val="00042C99"/>
    <w:rsid w:val="0004356C"/>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0516"/>
    <w:rsid w:val="000E20F0"/>
    <w:rsid w:val="000E2593"/>
    <w:rsid w:val="000E344D"/>
    <w:rsid w:val="000E3F6D"/>
    <w:rsid w:val="000F359F"/>
    <w:rsid w:val="000F3B2C"/>
    <w:rsid w:val="000F3F6C"/>
    <w:rsid w:val="000F4A42"/>
    <w:rsid w:val="000F63EB"/>
    <w:rsid w:val="000F648A"/>
    <w:rsid w:val="000F7BE3"/>
    <w:rsid w:val="00103190"/>
    <w:rsid w:val="00104333"/>
    <w:rsid w:val="001052BA"/>
    <w:rsid w:val="001107B3"/>
    <w:rsid w:val="001114B1"/>
    <w:rsid w:val="001131BD"/>
    <w:rsid w:val="001139D8"/>
    <w:rsid w:val="00116AD3"/>
    <w:rsid w:val="00121957"/>
    <w:rsid w:val="0012387E"/>
    <w:rsid w:val="001259EC"/>
    <w:rsid w:val="00126593"/>
    <w:rsid w:val="00134177"/>
    <w:rsid w:val="00136087"/>
    <w:rsid w:val="00137362"/>
    <w:rsid w:val="00142A96"/>
    <w:rsid w:val="001476D0"/>
    <w:rsid w:val="001513DE"/>
    <w:rsid w:val="00154A71"/>
    <w:rsid w:val="001655D4"/>
    <w:rsid w:val="00165803"/>
    <w:rsid w:val="00166F57"/>
    <w:rsid w:val="0017593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0EBA"/>
    <w:rsid w:val="002044DD"/>
    <w:rsid w:val="002170E5"/>
    <w:rsid w:val="00217C9B"/>
    <w:rsid w:val="00220D57"/>
    <w:rsid w:val="0022721A"/>
    <w:rsid w:val="00230BB9"/>
    <w:rsid w:val="00241CEF"/>
    <w:rsid w:val="0025124E"/>
    <w:rsid w:val="00252B30"/>
    <w:rsid w:val="00255291"/>
    <w:rsid w:val="00256CC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1226"/>
    <w:rsid w:val="00303FDE"/>
    <w:rsid w:val="00313C5B"/>
    <w:rsid w:val="003140E8"/>
    <w:rsid w:val="003231C7"/>
    <w:rsid w:val="00323839"/>
    <w:rsid w:val="003270C4"/>
    <w:rsid w:val="00331ED0"/>
    <w:rsid w:val="00332B0A"/>
    <w:rsid w:val="00333A41"/>
    <w:rsid w:val="00345434"/>
    <w:rsid w:val="00353621"/>
    <w:rsid w:val="0035495B"/>
    <w:rsid w:val="00355A93"/>
    <w:rsid w:val="00361522"/>
    <w:rsid w:val="0037196E"/>
    <w:rsid w:val="00371E6F"/>
    <w:rsid w:val="003744F5"/>
    <w:rsid w:val="00382C6A"/>
    <w:rsid w:val="003875A9"/>
    <w:rsid w:val="00387BDE"/>
    <w:rsid w:val="00390DD8"/>
    <w:rsid w:val="00394DC6"/>
    <w:rsid w:val="00397C3E"/>
    <w:rsid w:val="003A1756"/>
    <w:rsid w:val="003A1B9E"/>
    <w:rsid w:val="003A3758"/>
    <w:rsid w:val="003A7017"/>
    <w:rsid w:val="003B1A09"/>
    <w:rsid w:val="003C0431"/>
    <w:rsid w:val="003C0643"/>
    <w:rsid w:val="003D3989"/>
    <w:rsid w:val="003D4CCA"/>
    <w:rsid w:val="003D52A6"/>
    <w:rsid w:val="003D6416"/>
    <w:rsid w:val="003E1D48"/>
    <w:rsid w:val="003E711F"/>
    <w:rsid w:val="003F1D2B"/>
    <w:rsid w:val="003F49A6"/>
    <w:rsid w:val="003F518F"/>
    <w:rsid w:val="003F7445"/>
    <w:rsid w:val="00411DF2"/>
    <w:rsid w:val="00411E8F"/>
    <w:rsid w:val="00422BD4"/>
    <w:rsid w:val="004247F5"/>
    <w:rsid w:val="0042527B"/>
    <w:rsid w:val="00427EAC"/>
    <w:rsid w:val="00433F8E"/>
    <w:rsid w:val="004342FD"/>
    <w:rsid w:val="004359CF"/>
    <w:rsid w:val="004431B4"/>
    <w:rsid w:val="0045537F"/>
    <w:rsid w:val="00457DC7"/>
    <w:rsid w:val="004640B3"/>
    <w:rsid w:val="00472BCC"/>
    <w:rsid w:val="00477699"/>
    <w:rsid w:val="00480029"/>
    <w:rsid w:val="004A25CD"/>
    <w:rsid w:val="004A26CC"/>
    <w:rsid w:val="004B2108"/>
    <w:rsid w:val="004B37E3"/>
    <w:rsid w:val="004B3A2B"/>
    <w:rsid w:val="004B70D3"/>
    <w:rsid w:val="004C312D"/>
    <w:rsid w:val="004D2D1B"/>
    <w:rsid w:val="004D5067"/>
    <w:rsid w:val="004D558E"/>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0CEB"/>
    <w:rsid w:val="00571D3D"/>
    <w:rsid w:val="00574E6C"/>
    <w:rsid w:val="0058264B"/>
    <w:rsid w:val="00586368"/>
    <w:rsid w:val="005868AA"/>
    <w:rsid w:val="00590845"/>
    <w:rsid w:val="005963C2"/>
    <w:rsid w:val="005A0D69"/>
    <w:rsid w:val="005A31F4"/>
    <w:rsid w:val="005A73EA"/>
    <w:rsid w:val="005B45F7"/>
    <w:rsid w:val="005B63EA"/>
    <w:rsid w:val="005C1A88"/>
    <w:rsid w:val="005C5033"/>
    <w:rsid w:val="005C5401"/>
    <w:rsid w:val="005D4E1B"/>
    <w:rsid w:val="005E751B"/>
    <w:rsid w:val="005E7FF6"/>
    <w:rsid w:val="005F2751"/>
    <w:rsid w:val="005F3354"/>
    <w:rsid w:val="005F4AD6"/>
    <w:rsid w:val="0060005E"/>
    <w:rsid w:val="0060095B"/>
    <w:rsid w:val="00601266"/>
    <w:rsid w:val="00610221"/>
    <w:rsid w:val="00610E73"/>
    <w:rsid w:val="00616DF2"/>
    <w:rsid w:val="0062385D"/>
    <w:rsid w:val="0063168D"/>
    <w:rsid w:val="00634C78"/>
    <w:rsid w:val="00635C79"/>
    <w:rsid w:val="006455DF"/>
    <w:rsid w:val="00647025"/>
    <w:rsid w:val="0064730A"/>
    <w:rsid w:val="006531A4"/>
    <w:rsid w:val="00660774"/>
    <w:rsid w:val="0066389A"/>
    <w:rsid w:val="0066495C"/>
    <w:rsid w:val="00665CC7"/>
    <w:rsid w:val="00672612"/>
    <w:rsid w:val="00677F18"/>
    <w:rsid w:val="00693483"/>
    <w:rsid w:val="006A0BF3"/>
    <w:rsid w:val="006A1F82"/>
    <w:rsid w:val="006B0036"/>
    <w:rsid w:val="006B0DA6"/>
    <w:rsid w:val="006B3FA9"/>
    <w:rsid w:val="006C28FA"/>
    <w:rsid w:val="006C547E"/>
    <w:rsid w:val="006D2B51"/>
    <w:rsid w:val="006D3C10"/>
    <w:rsid w:val="006D5575"/>
    <w:rsid w:val="006D7191"/>
    <w:rsid w:val="006E21C4"/>
    <w:rsid w:val="006E42BE"/>
    <w:rsid w:val="006E5D4D"/>
    <w:rsid w:val="006E6D16"/>
    <w:rsid w:val="00703F2A"/>
    <w:rsid w:val="00704C5D"/>
    <w:rsid w:val="007072BC"/>
    <w:rsid w:val="00710266"/>
    <w:rsid w:val="00715005"/>
    <w:rsid w:val="00715275"/>
    <w:rsid w:val="00721B44"/>
    <w:rsid w:val="007232A2"/>
    <w:rsid w:val="00726366"/>
    <w:rsid w:val="00733B6B"/>
    <w:rsid w:val="007375D7"/>
    <w:rsid w:val="00740808"/>
    <w:rsid w:val="007467C4"/>
    <w:rsid w:val="007529BE"/>
    <w:rsid w:val="0076170F"/>
    <w:rsid w:val="0076290B"/>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501"/>
    <w:rsid w:val="007D3D20"/>
    <w:rsid w:val="007D44F9"/>
    <w:rsid w:val="007D742E"/>
    <w:rsid w:val="007E3AFD"/>
    <w:rsid w:val="007F30BB"/>
    <w:rsid w:val="00801DAD"/>
    <w:rsid w:val="00803189"/>
    <w:rsid w:val="00804E7A"/>
    <w:rsid w:val="00805FBB"/>
    <w:rsid w:val="00814292"/>
    <w:rsid w:val="008169A4"/>
    <w:rsid w:val="0082243E"/>
    <w:rsid w:val="00826019"/>
    <w:rsid w:val="008278FE"/>
    <w:rsid w:val="00832598"/>
    <w:rsid w:val="0083397E"/>
    <w:rsid w:val="0083534B"/>
    <w:rsid w:val="00842035"/>
    <w:rsid w:val="00842602"/>
    <w:rsid w:val="00844143"/>
    <w:rsid w:val="008449F0"/>
    <w:rsid w:val="00847B45"/>
    <w:rsid w:val="00863A66"/>
    <w:rsid w:val="008703D7"/>
    <w:rsid w:val="00874429"/>
    <w:rsid w:val="00875D22"/>
    <w:rsid w:val="00883D9A"/>
    <w:rsid w:val="008919EF"/>
    <w:rsid w:val="00892B20"/>
    <w:rsid w:val="008931BC"/>
    <w:rsid w:val="0089695B"/>
    <w:rsid w:val="00897740"/>
    <w:rsid w:val="008A12EC"/>
    <w:rsid w:val="008A5B6C"/>
    <w:rsid w:val="008B0781"/>
    <w:rsid w:val="008B19A6"/>
    <w:rsid w:val="008B4EFB"/>
    <w:rsid w:val="008B6463"/>
    <w:rsid w:val="008C21C8"/>
    <w:rsid w:val="008C6375"/>
    <w:rsid w:val="008C692E"/>
    <w:rsid w:val="008C6A5B"/>
    <w:rsid w:val="008D441D"/>
    <w:rsid w:val="008D498D"/>
    <w:rsid w:val="008D6D36"/>
    <w:rsid w:val="008E0693"/>
    <w:rsid w:val="008E26A5"/>
    <w:rsid w:val="008E42D2"/>
    <w:rsid w:val="008E6328"/>
    <w:rsid w:val="008F578F"/>
    <w:rsid w:val="008F5D04"/>
    <w:rsid w:val="00903F82"/>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4AA"/>
    <w:rsid w:val="009718C5"/>
    <w:rsid w:val="00976AFF"/>
    <w:rsid w:val="00986AED"/>
    <w:rsid w:val="009924CF"/>
    <w:rsid w:val="00994100"/>
    <w:rsid w:val="009A04B7"/>
    <w:rsid w:val="009A42BA"/>
    <w:rsid w:val="009A6B17"/>
    <w:rsid w:val="009B052E"/>
    <w:rsid w:val="009C7A8B"/>
    <w:rsid w:val="009C7C9C"/>
    <w:rsid w:val="009D4C29"/>
    <w:rsid w:val="009E2A7D"/>
    <w:rsid w:val="009E58E9"/>
    <w:rsid w:val="009E6803"/>
    <w:rsid w:val="009F6AD2"/>
    <w:rsid w:val="009F7C1B"/>
    <w:rsid w:val="00A00B5B"/>
    <w:rsid w:val="00A00D8D"/>
    <w:rsid w:val="00A01BB6"/>
    <w:rsid w:val="00A128F4"/>
    <w:rsid w:val="00A22B28"/>
    <w:rsid w:val="00A4303C"/>
    <w:rsid w:val="00A46CAF"/>
    <w:rsid w:val="00A470FD"/>
    <w:rsid w:val="00A50B5E"/>
    <w:rsid w:val="00A6077B"/>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F01E2"/>
    <w:rsid w:val="00B019C1"/>
    <w:rsid w:val="00B01DF5"/>
    <w:rsid w:val="00B02001"/>
    <w:rsid w:val="00B03C50"/>
    <w:rsid w:val="00B0777D"/>
    <w:rsid w:val="00B11576"/>
    <w:rsid w:val="00B1195F"/>
    <w:rsid w:val="00B14D10"/>
    <w:rsid w:val="00B209C7"/>
    <w:rsid w:val="00B3644F"/>
    <w:rsid w:val="00B364E5"/>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2658"/>
    <w:rsid w:val="00BA44A8"/>
    <w:rsid w:val="00BA49C5"/>
    <w:rsid w:val="00BB0182"/>
    <w:rsid w:val="00BC786E"/>
    <w:rsid w:val="00BD5C92"/>
    <w:rsid w:val="00BE50E6"/>
    <w:rsid w:val="00BE7A0C"/>
    <w:rsid w:val="00BF26A7"/>
    <w:rsid w:val="00BF2928"/>
    <w:rsid w:val="00BF6691"/>
    <w:rsid w:val="00C0009E"/>
    <w:rsid w:val="00C028FC"/>
    <w:rsid w:val="00C037F2"/>
    <w:rsid w:val="00C0386D"/>
    <w:rsid w:val="00C065A1"/>
    <w:rsid w:val="00C10ED5"/>
    <w:rsid w:val="00C12574"/>
    <w:rsid w:val="00C151A6"/>
    <w:rsid w:val="00C162D9"/>
    <w:rsid w:val="00C200C7"/>
    <w:rsid w:val="00C24098"/>
    <w:rsid w:val="00C30A4E"/>
    <w:rsid w:val="00C411F3"/>
    <w:rsid w:val="00C44105"/>
    <w:rsid w:val="00C44EF6"/>
    <w:rsid w:val="00C523EC"/>
    <w:rsid w:val="00C55A33"/>
    <w:rsid w:val="00C66692"/>
    <w:rsid w:val="00C673B5"/>
    <w:rsid w:val="00C7063D"/>
    <w:rsid w:val="00C830BC"/>
    <w:rsid w:val="00C8524D"/>
    <w:rsid w:val="00C90904"/>
    <w:rsid w:val="00C91123"/>
    <w:rsid w:val="00CA6514"/>
    <w:rsid w:val="00CA71FF"/>
    <w:rsid w:val="00CB5276"/>
    <w:rsid w:val="00CB5BFC"/>
    <w:rsid w:val="00CB68D7"/>
    <w:rsid w:val="00CB785B"/>
    <w:rsid w:val="00CC7E68"/>
    <w:rsid w:val="00CD3D74"/>
    <w:rsid w:val="00CD7132"/>
    <w:rsid w:val="00CE01CC"/>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74AA"/>
    <w:rsid w:val="00D30B48"/>
    <w:rsid w:val="00D3168A"/>
    <w:rsid w:val="00D46FAA"/>
    <w:rsid w:val="00D472A0"/>
    <w:rsid w:val="00D47A40"/>
    <w:rsid w:val="00D502D9"/>
    <w:rsid w:val="00D51D33"/>
    <w:rsid w:val="00D5792E"/>
    <w:rsid w:val="00D57BB2"/>
    <w:rsid w:val="00D57E57"/>
    <w:rsid w:val="00D70752"/>
    <w:rsid w:val="00D80E2D"/>
    <w:rsid w:val="00D84D5E"/>
    <w:rsid w:val="00D8560E"/>
    <w:rsid w:val="00D8758F"/>
    <w:rsid w:val="00DA2D08"/>
    <w:rsid w:val="00DA4EDD"/>
    <w:rsid w:val="00DA6B78"/>
    <w:rsid w:val="00DB122B"/>
    <w:rsid w:val="00DC1D94"/>
    <w:rsid w:val="00DC42CF"/>
    <w:rsid w:val="00DD1DBB"/>
    <w:rsid w:val="00DD382A"/>
    <w:rsid w:val="00DE057F"/>
    <w:rsid w:val="00DE2082"/>
    <w:rsid w:val="00DE2289"/>
    <w:rsid w:val="00DF06B7"/>
    <w:rsid w:val="00DF09A7"/>
    <w:rsid w:val="00DF2B51"/>
    <w:rsid w:val="00E001D6"/>
    <w:rsid w:val="00E03A76"/>
    <w:rsid w:val="00E04410"/>
    <w:rsid w:val="00E07484"/>
    <w:rsid w:val="00E11351"/>
    <w:rsid w:val="00E20EFD"/>
    <w:rsid w:val="00E4225C"/>
    <w:rsid w:val="00E44879"/>
    <w:rsid w:val="00E53793"/>
    <w:rsid w:val="00E70D35"/>
    <w:rsid w:val="00E72914"/>
    <w:rsid w:val="00E74E9A"/>
    <w:rsid w:val="00E75AE0"/>
    <w:rsid w:val="00E83C1F"/>
    <w:rsid w:val="00E85684"/>
    <w:rsid w:val="00E8794B"/>
    <w:rsid w:val="00E9508F"/>
    <w:rsid w:val="00E97656"/>
    <w:rsid w:val="00EA004A"/>
    <w:rsid w:val="00EA172C"/>
    <w:rsid w:val="00EA259B"/>
    <w:rsid w:val="00EA35A3"/>
    <w:rsid w:val="00EA3E6A"/>
    <w:rsid w:val="00EB18EF"/>
    <w:rsid w:val="00EB58F4"/>
    <w:rsid w:val="00EB7951"/>
    <w:rsid w:val="00ED6A79"/>
    <w:rsid w:val="00EE01A0"/>
    <w:rsid w:val="00EE17DF"/>
    <w:rsid w:val="00EF1482"/>
    <w:rsid w:val="00EF4621"/>
    <w:rsid w:val="00EF4D52"/>
    <w:rsid w:val="00EF6312"/>
    <w:rsid w:val="00EF7C5E"/>
    <w:rsid w:val="00F038B0"/>
    <w:rsid w:val="00F05F34"/>
    <w:rsid w:val="00F22B27"/>
    <w:rsid w:val="00F234A7"/>
    <w:rsid w:val="00F277B6"/>
    <w:rsid w:val="00F27DA5"/>
    <w:rsid w:val="00F343FE"/>
    <w:rsid w:val="00F37E07"/>
    <w:rsid w:val="00F4182A"/>
    <w:rsid w:val="00F527FF"/>
    <w:rsid w:val="00F54380"/>
    <w:rsid w:val="00F54B47"/>
    <w:rsid w:val="00F61247"/>
    <w:rsid w:val="00F61F61"/>
    <w:rsid w:val="00F63191"/>
    <w:rsid w:val="00F65A84"/>
    <w:rsid w:val="00F6702E"/>
    <w:rsid w:val="00F70E84"/>
    <w:rsid w:val="00FA092B"/>
    <w:rsid w:val="00FA2BE8"/>
    <w:rsid w:val="00FA4F6C"/>
    <w:rsid w:val="00FA6EFD"/>
    <w:rsid w:val="00FB3791"/>
    <w:rsid w:val="00FB6780"/>
    <w:rsid w:val="00FB74EA"/>
    <w:rsid w:val="00FC103E"/>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aliases w:val="Style 78"/>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359CF"/>
    <w:pPr>
      <w:autoSpaceDE w:val="0"/>
      <w:autoSpaceDN w:val="0"/>
      <w:adjustRightInd w:val="0"/>
      <w:ind w:left="720"/>
    </w:pPr>
    <w:rPr>
      <w:sz w:val="24"/>
      <w:szCs w:val="24"/>
    </w:rPr>
  </w:style>
  <w:style w:type="paragraph" w:customStyle="1" w:styleId="Level2">
    <w:name w:val="Level 2"/>
    <w:rsid w:val="004359CF"/>
    <w:pPr>
      <w:autoSpaceDE w:val="0"/>
      <w:autoSpaceDN w:val="0"/>
      <w:adjustRightInd w:val="0"/>
      <w:ind w:left="1440"/>
    </w:pPr>
    <w:rPr>
      <w:sz w:val="24"/>
      <w:szCs w:val="24"/>
    </w:rPr>
  </w:style>
  <w:style w:type="character" w:styleId="Hyperlink">
    <w:name w:val="Hyperlink"/>
    <w:uiPriority w:val="99"/>
    <w:unhideWhenUsed/>
    <w:rsid w:val="004359CF"/>
    <w:rPr>
      <w:color w:val="0000FF"/>
      <w:u w:val="single"/>
    </w:rPr>
  </w:style>
  <w:style w:type="paragraph" w:styleId="ListParagraph">
    <w:name w:val="List Paragraph"/>
    <w:basedOn w:val="Normal"/>
    <w:uiPriority w:val="34"/>
    <w:qFormat/>
    <w:rsid w:val="004359CF"/>
    <w:pPr>
      <w:ind w:left="720"/>
      <w:contextualSpacing/>
    </w:pPr>
  </w:style>
  <w:style w:type="character" w:customStyle="1" w:styleId="FootnoteTextChar">
    <w:name w:val="Footnote Text Char"/>
    <w:aliases w:val="Style 78 Char"/>
    <w:basedOn w:val="DefaultParagraphFont"/>
    <w:link w:val="FootnoteText"/>
    <w:rsid w:val="0004356C"/>
  </w:style>
  <w:style w:type="paragraph" w:styleId="BalloonText">
    <w:name w:val="Balloon Text"/>
    <w:basedOn w:val="Normal"/>
    <w:link w:val="BalloonTextChar"/>
    <w:semiHidden/>
    <w:unhideWhenUsed/>
    <w:rsid w:val="003A7017"/>
    <w:rPr>
      <w:rFonts w:ascii="Segoe UI" w:hAnsi="Segoe UI" w:cs="Segoe UI"/>
      <w:sz w:val="18"/>
      <w:szCs w:val="18"/>
    </w:rPr>
  </w:style>
  <w:style w:type="character" w:customStyle="1" w:styleId="BalloonTextChar">
    <w:name w:val="Balloon Text Char"/>
    <w:basedOn w:val="DefaultParagraphFont"/>
    <w:link w:val="BalloonText"/>
    <w:semiHidden/>
    <w:rsid w:val="003A7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235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A57A-404E-45E4-8347-1EB3D15F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15</Pages>
  <Words>5035</Words>
  <Characters>28701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2022-01-27T20:34:00Z</dcterms:created>
  <dcterms:modified xsi:type="dcterms:W3CDTF">2022-01-28T14:21:00Z</dcterms:modified>
</cp:coreProperties>
</file>