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B98F9" w14:textId="77777777" w:rsidR="00CB5276" w:rsidRDefault="005E102D" w:rsidP="005E102D">
      <w:pPr>
        <w:pStyle w:val="OrderHeading"/>
      </w:pPr>
      <w:r>
        <w:t>BEFORE THE FLORIDA PUBLIC SERVICE COMMISSION</w:t>
      </w:r>
    </w:p>
    <w:p w14:paraId="6108727B" w14:textId="77777777" w:rsidR="005E102D" w:rsidRDefault="005E102D" w:rsidP="005E102D">
      <w:pPr>
        <w:pStyle w:val="OrderBody"/>
      </w:pPr>
    </w:p>
    <w:p w14:paraId="1C1CB36D" w14:textId="77777777" w:rsidR="005E102D" w:rsidRDefault="005E102D" w:rsidP="005E102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102D" w:rsidRPr="00C63FCF" w14:paraId="38E6C5F0" w14:textId="77777777" w:rsidTr="0076335E">
        <w:trPr>
          <w:trHeight w:val="828"/>
        </w:trPr>
        <w:tc>
          <w:tcPr>
            <w:tcW w:w="4788" w:type="dxa"/>
            <w:tcBorders>
              <w:bottom w:val="single" w:sz="8" w:space="0" w:color="auto"/>
              <w:right w:val="double" w:sz="6" w:space="0" w:color="auto"/>
            </w:tcBorders>
            <w:shd w:val="clear" w:color="auto" w:fill="auto"/>
          </w:tcPr>
          <w:p w14:paraId="141C0ECD" w14:textId="77777777" w:rsidR="005E102D" w:rsidRDefault="005E102D" w:rsidP="0076335E">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14:paraId="13709CC7" w14:textId="77777777" w:rsidR="005E102D" w:rsidRDefault="005E102D" w:rsidP="005E102D">
            <w:pPr>
              <w:pStyle w:val="OrderBody"/>
            </w:pPr>
            <w:r>
              <w:t xml:space="preserve">DOCKET NO. </w:t>
            </w:r>
            <w:bookmarkStart w:id="1" w:name="SSDocketNo"/>
            <w:bookmarkEnd w:id="1"/>
            <w:r>
              <w:t>20200226-SU</w:t>
            </w:r>
          </w:p>
          <w:p w14:paraId="623B2AA6" w14:textId="1B74E6F3" w:rsidR="005E102D" w:rsidRDefault="005E102D" w:rsidP="0076335E">
            <w:pPr>
              <w:pStyle w:val="OrderBody"/>
              <w:tabs>
                <w:tab w:val="center" w:pos="4320"/>
                <w:tab w:val="right" w:pos="8640"/>
              </w:tabs>
              <w:jc w:val="left"/>
            </w:pPr>
            <w:r>
              <w:t xml:space="preserve">ORDER NO. </w:t>
            </w:r>
            <w:bookmarkStart w:id="2" w:name="OrderNo0044"/>
            <w:r w:rsidR="003C71D9">
              <w:t>PSC-2022-0046</w:t>
            </w:r>
            <w:r w:rsidR="00B765D0">
              <w:t>-PHO-SU</w:t>
            </w:r>
            <w:bookmarkEnd w:id="2"/>
          </w:p>
          <w:p w14:paraId="12E01087" w14:textId="6D25AAF4" w:rsidR="005E102D" w:rsidRDefault="005E102D" w:rsidP="0076335E">
            <w:pPr>
              <w:pStyle w:val="OrderBody"/>
              <w:tabs>
                <w:tab w:val="center" w:pos="4320"/>
                <w:tab w:val="right" w:pos="8640"/>
              </w:tabs>
              <w:jc w:val="left"/>
            </w:pPr>
            <w:r>
              <w:t xml:space="preserve">ISSUED: </w:t>
            </w:r>
            <w:r w:rsidR="00B765D0">
              <w:t>January 28, 2022</w:t>
            </w:r>
          </w:p>
        </w:tc>
      </w:tr>
    </w:tbl>
    <w:p w14:paraId="08445930" w14:textId="77777777" w:rsidR="005E102D" w:rsidRDefault="005E102D" w:rsidP="005E102D"/>
    <w:p w14:paraId="411E477A" w14:textId="7D105E11" w:rsidR="005E102D" w:rsidRPr="008C7DE1" w:rsidRDefault="005E102D" w:rsidP="008C7DE1">
      <w:pPr>
        <w:jc w:val="center"/>
        <w:rPr>
          <w:b/>
        </w:rPr>
      </w:pPr>
    </w:p>
    <w:p w14:paraId="41A8E046" w14:textId="77777777" w:rsidR="00CB5276" w:rsidRDefault="005E102D" w:rsidP="005E102D">
      <w:pPr>
        <w:pStyle w:val="CenterUnderline"/>
      </w:pPr>
      <w:bookmarkStart w:id="3" w:name="Commissioners"/>
      <w:bookmarkStart w:id="4" w:name="OrderTitle"/>
      <w:bookmarkEnd w:id="3"/>
      <w:r>
        <w:t xml:space="preserve">PREHEARING ORDER </w:t>
      </w:r>
      <w:bookmarkEnd w:id="4"/>
    </w:p>
    <w:p w14:paraId="06B0A5D0" w14:textId="77777777" w:rsidR="005E102D" w:rsidRDefault="005E102D" w:rsidP="005E102D">
      <w:pPr>
        <w:pStyle w:val="CenterUnderline"/>
      </w:pPr>
    </w:p>
    <w:p w14:paraId="248546ED" w14:textId="77777777" w:rsidR="00E960B5" w:rsidRDefault="00E960B5" w:rsidP="005E102D">
      <w:pPr>
        <w:ind w:firstLine="720"/>
        <w:jc w:val="both"/>
      </w:pPr>
      <w:bookmarkStart w:id="5" w:name="OrderText"/>
      <w:bookmarkEnd w:id="5"/>
    </w:p>
    <w:p w14:paraId="41D5E1DF" w14:textId="35DE1981" w:rsidR="005E102D" w:rsidRPr="00701945" w:rsidRDefault="005E102D" w:rsidP="005E102D">
      <w:pPr>
        <w:ind w:firstLine="720"/>
        <w:jc w:val="both"/>
      </w:pPr>
      <w:r w:rsidRPr="00701945">
        <w:t xml:space="preserve">Pursuant to Notice and in accordance with Rule 28-106.209, </w:t>
      </w:r>
      <w:r>
        <w:t>Florida Administrative Code (F.A.C.)</w:t>
      </w:r>
      <w:r w:rsidRPr="00701945">
        <w:t xml:space="preserve">, a Prehearing Conference was held on </w:t>
      </w:r>
      <w:r>
        <w:rPr>
          <w:color w:val="000000" w:themeColor="text1"/>
        </w:rPr>
        <w:t>January 26, 2022</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t>Mike LaRosa</w:t>
      </w:r>
      <w:r w:rsidRPr="00701945">
        <w:t>, as Prehearing Officer.</w:t>
      </w:r>
    </w:p>
    <w:p w14:paraId="45470286" w14:textId="77777777" w:rsidR="005E102D" w:rsidRPr="00701945" w:rsidRDefault="005E102D" w:rsidP="005E102D">
      <w:pPr>
        <w:jc w:val="both"/>
      </w:pPr>
    </w:p>
    <w:p w14:paraId="5038B8B4" w14:textId="77777777" w:rsidR="005E102D" w:rsidRPr="00701945" w:rsidRDefault="005E102D" w:rsidP="005E102D">
      <w:pPr>
        <w:jc w:val="both"/>
      </w:pPr>
      <w:r w:rsidRPr="00701945">
        <w:t>APPEARANCES:</w:t>
      </w:r>
    </w:p>
    <w:p w14:paraId="2B12AC0E" w14:textId="77777777" w:rsidR="005E102D" w:rsidRPr="00701945" w:rsidRDefault="005E102D" w:rsidP="005E102D">
      <w:pPr>
        <w:jc w:val="both"/>
      </w:pPr>
    </w:p>
    <w:p w14:paraId="065F66B0" w14:textId="77777777" w:rsidR="005E102D" w:rsidRDefault="005E102D" w:rsidP="00C65384">
      <w:pPr>
        <w:ind w:left="1440"/>
        <w:jc w:val="both"/>
      </w:pPr>
      <w:r>
        <w:t>MARTIN S. FRIEDMAN, ESQUIRE, Dean Mead Law Firm, 420 S. Orange Avenue, Suite 700, Orlando, Florida 32801</w:t>
      </w:r>
    </w:p>
    <w:p w14:paraId="14F31A00" w14:textId="77777777" w:rsidR="005E102D" w:rsidRDefault="005E102D" w:rsidP="00C65384">
      <w:pPr>
        <w:ind w:left="1440"/>
        <w:jc w:val="both"/>
        <w:rPr>
          <w:u w:val="single"/>
        </w:rPr>
      </w:pPr>
      <w:r>
        <w:rPr>
          <w:u w:val="single"/>
        </w:rPr>
        <w:t>On behalf of Environmental Utilities, LLC (EU)</w:t>
      </w:r>
    </w:p>
    <w:p w14:paraId="4D391DFC" w14:textId="77777777" w:rsidR="005E102D" w:rsidRDefault="005E102D" w:rsidP="00C65384">
      <w:pPr>
        <w:ind w:left="1440"/>
        <w:jc w:val="both"/>
        <w:rPr>
          <w:u w:val="single"/>
        </w:rPr>
      </w:pPr>
    </w:p>
    <w:p w14:paraId="234017ED" w14:textId="77777777" w:rsidR="005E102D" w:rsidRDefault="005E102D" w:rsidP="00C65384">
      <w:pPr>
        <w:ind w:left="1440"/>
        <w:jc w:val="both"/>
      </w:pPr>
      <w:r>
        <w:t>JOHN L. WHARTON, ESQUIRE, Dean Mead Law Firm, 215</w:t>
      </w:r>
      <w:r w:rsidR="004B4E56">
        <w:t xml:space="preserve"> South Monroe Street, Suite 815, Tallahassee, Florida 32301</w:t>
      </w:r>
    </w:p>
    <w:p w14:paraId="6CE2AE98" w14:textId="77777777" w:rsidR="004B4E56" w:rsidRDefault="004B4E56" w:rsidP="00C65384">
      <w:pPr>
        <w:ind w:left="1440"/>
        <w:jc w:val="both"/>
        <w:rPr>
          <w:u w:val="single"/>
        </w:rPr>
      </w:pPr>
      <w:r>
        <w:rPr>
          <w:u w:val="single"/>
        </w:rPr>
        <w:t>On behalf of Environmental Utilities, LLC (EU)</w:t>
      </w:r>
    </w:p>
    <w:p w14:paraId="4F50F2B5" w14:textId="77777777" w:rsidR="004B4E56" w:rsidRDefault="004B4E56" w:rsidP="00C65384">
      <w:pPr>
        <w:ind w:left="1440"/>
        <w:jc w:val="both"/>
        <w:rPr>
          <w:u w:val="single"/>
        </w:rPr>
      </w:pPr>
    </w:p>
    <w:p w14:paraId="6F7BDC66" w14:textId="77777777" w:rsidR="00D7723A" w:rsidRDefault="00D7723A" w:rsidP="00C65384">
      <w:pPr>
        <w:ind w:left="1440"/>
        <w:jc w:val="both"/>
      </w:pPr>
      <w:r>
        <w:t>RICHARD GENTRY and ANASTACIA PIRRELLO, ESQUIRES, Office of Public Counsel, c/o The Florida Legislature, 111 West Madison Street, Room 812, Tallahassee, Florida 32399-1400</w:t>
      </w:r>
    </w:p>
    <w:p w14:paraId="7DC31C4D" w14:textId="77777777" w:rsidR="00D7723A" w:rsidRDefault="00D7723A" w:rsidP="00C65384">
      <w:pPr>
        <w:ind w:left="1440"/>
        <w:jc w:val="both"/>
        <w:rPr>
          <w:u w:val="single"/>
        </w:rPr>
      </w:pPr>
      <w:r>
        <w:rPr>
          <w:u w:val="single"/>
        </w:rPr>
        <w:t>On behalf of the Citizens of the State of Florida (OPC)</w:t>
      </w:r>
    </w:p>
    <w:p w14:paraId="4121C1DD" w14:textId="77777777" w:rsidR="00D7723A" w:rsidRDefault="00D7723A" w:rsidP="00C65384">
      <w:pPr>
        <w:ind w:left="1440"/>
        <w:jc w:val="both"/>
        <w:rPr>
          <w:u w:val="single"/>
        </w:rPr>
      </w:pPr>
    </w:p>
    <w:p w14:paraId="471719EB" w14:textId="77777777" w:rsidR="004B4E56" w:rsidRDefault="004B4E56" w:rsidP="00C65384">
      <w:pPr>
        <w:ind w:left="1440"/>
        <w:jc w:val="both"/>
      </w:pPr>
      <w:r w:rsidRPr="004B4E56">
        <w:t>BRAD E. KELSKY, ESQUIRE, Kelsky Law Firm, 150 S. Pine Island Road, Suite 300, Plantation, Florida 33324</w:t>
      </w:r>
    </w:p>
    <w:p w14:paraId="5C4A3605" w14:textId="77777777" w:rsidR="004B4E56" w:rsidRDefault="004B4E56" w:rsidP="00C65384">
      <w:pPr>
        <w:ind w:left="1440"/>
        <w:jc w:val="both"/>
        <w:rPr>
          <w:u w:val="single"/>
        </w:rPr>
      </w:pPr>
      <w:r>
        <w:rPr>
          <w:u w:val="single"/>
        </w:rPr>
        <w:t>On behalf of Palm Island Estates Association, Inc. (PIE)</w:t>
      </w:r>
    </w:p>
    <w:p w14:paraId="26073C01" w14:textId="77777777" w:rsidR="004B4E56" w:rsidRDefault="004B4E56" w:rsidP="00C65384">
      <w:pPr>
        <w:ind w:left="1440"/>
        <w:jc w:val="both"/>
        <w:rPr>
          <w:u w:val="single"/>
        </w:rPr>
      </w:pPr>
    </w:p>
    <w:p w14:paraId="7E95B233" w14:textId="77777777" w:rsidR="004B4E56" w:rsidRDefault="00A65F24" w:rsidP="00C65384">
      <w:pPr>
        <w:ind w:left="1440"/>
        <w:jc w:val="both"/>
      </w:pPr>
      <w:r>
        <w:t>LINDA COTHERMAN</w:t>
      </w:r>
      <w:r w:rsidR="00D7723A">
        <w:t xml:space="preserve">, </w:t>
      </w:r>
      <w:r w:rsidR="004B4E56">
        <w:t>Post Office Box</w:t>
      </w:r>
      <w:r>
        <w:t xml:space="preserve"> 881, Placida, Florida 33946</w:t>
      </w:r>
    </w:p>
    <w:p w14:paraId="4FE24570" w14:textId="77777777" w:rsidR="00D7723A" w:rsidRPr="00D7723A" w:rsidRDefault="00D7723A" w:rsidP="00C65384">
      <w:pPr>
        <w:ind w:left="1440"/>
        <w:jc w:val="both"/>
        <w:rPr>
          <w:u w:val="single"/>
        </w:rPr>
      </w:pPr>
      <w:r>
        <w:rPr>
          <w:u w:val="single"/>
        </w:rPr>
        <w:t>Pro Se</w:t>
      </w:r>
    </w:p>
    <w:p w14:paraId="7007D0CF" w14:textId="77777777" w:rsidR="00D7723A" w:rsidRDefault="00D7723A" w:rsidP="00C65384">
      <w:pPr>
        <w:ind w:left="1440"/>
        <w:jc w:val="both"/>
      </w:pPr>
    </w:p>
    <w:p w14:paraId="0E28B7DD" w14:textId="77777777" w:rsidR="00D81E2B" w:rsidRDefault="00D81E2B" w:rsidP="00C65384">
      <w:pPr>
        <w:ind w:left="1440"/>
        <w:jc w:val="both"/>
      </w:pPr>
      <w:r w:rsidRPr="00D81E2B">
        <w:t>JENNIFER S. CRAWFORD</w:t>
      </w:r>
      <w:r w:rsidR="00D7723A">
        <w:t xml:space="preserve"> and RYAN SANDY, ESQUIRES, </w:t>
      </w:r>
      <w:r>
        <w:t>Florida Public Service Commission, 2540 Shumard Oak Boulevard, Tallahassee, Florida 32399-0850</w:t>
      </w:r>
    </w:p>
    <w:p w14:paraId="4B2242CC" w14:textId="77777777" w:rsidR="00D81E2B" w:rsidRDefault="00D81E2B" w:rsidP="00C65384">
      <w:pPr>
        <w:ind w:left="1440"/>
        <w:jc w:val="both"/>
        <w:rPr>
          <w:u w:val="single"/>
        </w:rPr>
      </w:pPr>
      <w:r>
        <w:rPr>
          <w:u w:val="single"/>
        </w:rPr>
        <w:t>On behalf of the Florida Public Service Commission (Staff)</w:t>
      </w:r>
    </w:p>
    <w:p w14:paraId="7C6957B5" w14:textId="77777777" w:rsidR="00D81E2B" w:rsidRDefault="00D81E2B" w:rsidP="00C65384">
      <w:pPr>
        <w:ind w:left="1440"/>
        <w:jc w:val="both"/>
        <w:rPr>
          <w:u w:val="single"/>
        </w:rPr>
      </w:pPr>
    </w:p>
    <w:p w14:paraId="7056C585" w14:textId="77777777" w:rsidR="00D81E2B" w:rsidRDefault="00D81E2B" w:rsidP="00C65384">
      <w:pPr>
        <w:ind w:left="1440"/>
        <w:jc w:val="both"/>
      </w:pPr>
      <w:r>
        <w:t>MARY ANNE HELTON, ESQUIRE, Deputy General Counsel, Florida Public Service Commission, 2540 Shumard Oak Boulevard, Tallahassee, Florida 32399-0850</w:t>
      </w:r>
    </w:p>
    <w:p w14:paraId="4BE46871" w14:textId="77777777" w:rsidR="00D81E2B" w:rsidRDefault="00D81E2B" w:rsidP="00C65384">
      <w:pPr>
        <w:ind w:left="1440"/>
        <w:jc w:val="both"/>
        <w:rPr>
          <w:u w:val="single"/>
        </w:rPr>
      </w:pPr>
      <w:r>
        <w:rPr>
          <w:u w:val="single"/>
        </w:rPr>
        <w:t>Advisor to the Florida Public Service Commission</w:t>
      </w:r>
    </w:p>
    <w:p w14:paraId="14878AE6" w14:textId="77777777" w:rsidR="00D81E2B" w:rsidRDefault="00D81E2B" w:rsidP="00C65384">
      <w:pPr>
        <w:ind w:left="1440"/>
        <w:jc w:val="both"/>
        <w:rPr>
          <w:u w:val="single"/>
        </w:rPr>
      </w:pPr>
      <w:bookmarkStart w:id="6" w:name="_GoBack"/>
      <w:bookmarkEnd w:id="6"/>
    </w:p>
    <w:p w14:paraId="2EE856D9" w14:textId="77777777" w:rsidR="00D81E2B" w:rsidRDefault="00D81E2B" w:rsidP="00C65384">
      <w:pPr>
        <w:ind w:left="1440"/>
        <w:jc w:val="both"/>
      </w:pPr>
      <w:r>
        <w:t>KEITH C. HETRICK, ESQUIRE, General Counsel, Florida Public Service Commission, 2540 Shumard Oak Boulevard, Tallahassee, Florida 32399-0850</w:t>
      </w:r>
    </w:p>
    <w:p w14:paraId="22588CA3" w14:textId="77777777" w:rsidR="00D81E2B" w:rsidRPr="00D81E2B" w:rsidRDefault="00D81E2B" w:rsidP="00C65384">
      <w:pPr>
        <w:ind w:left="1440"/>
        <w:jc w:val="both"/>
        <w:rPr>
          <w:u w:val="single"/>
        </w:rPr>
      </w:pPr>
      <w:r>
        <w:rPr>
          <w:u w:val="single"/>
        </w:rPr>
        <w:t>Florida Public Service Commission General Counsel</w:t>
      </w:r>
    </w:p>
    <w:p w14:paraId="3A181FD5" w14:textId="77777777" w:rsidR="00D81E2B" w:rsidRPr="00A65F24" w:rsidRDefault="00D81E2B" w:rsidP="00C65384">
      <w:pPr>
        <w:ind w:left="1440"/>
        <w:jc w:val="both"/>
      </w:pPr>
    </w:p>
    <w:p w14:paraId="4A8A0752" w14:textId="77777777" w:rsidR="00A65F24" w:rsidRDefault="00A65F24" w:rsidP="005E102D">
      <w:pPr>
        <w:jc w:val="both"/>
      </w:pPr>
    </w:p>
    <w:p w14:paraId="2C479F92" w14:textId="77777777" w:rsidR="005E102D" w:rsidRPr="00A32DC5" w:rsidRDefault="005E102D" w:rsidP="005E102D">
      <w:pPr>
        <w:jc w:val="both"/>
        <w:rPr>
          <w:b/>
        </w:rPr>
      </w:pPr>
      <w:r w:rsidRPr="00A32DC5">
        <w:rPr>
          <w:b/>
        </w:rPr>
        <w:t>I.</w:t>
      </w:r>
      <w:r w:rsidRPr="00A32DC5">
        <w:rPr>
          <w:b/>
        </w:rPr>
        <w:tab/>
      </w:r>
      <w:r w:rsidRPr="00A32DC5">
        <w:rPr>
          <w:b/>
          <w:u w:val="single"/>
        </w:rPr>
        <w:t>CASE BACKGROUND</w:t>
      </w:r>
    </w:p>
    <w:p w14:paraId="52C16227" w14:textId="77777777" w:rsidR="005E102D" w:rsidRPr="00701945" w:rsidRDefault="005E102D" w:rsidP="005E102D">
      <w:pPr>
        <w:jc w:val="both"/>
      </w:pPr>
    </w:p>
    <w:p w14:paraId="2DA69758" w14:textId="362CE24E" w:rsidR="00CD35F7" w:rsidRDefault="005E102D" w:rsidP="003A2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3A2093" w:rsidRPr="00B575C7">
        <w:t>On October 13, 2020, pursuant to Sections 367.031 and 367.045, Florida Statutes (F.S.),</w:t>
      </w:r>
      <w:r w:rsidR="003A2093">
        <w:t xml:space="preserve"> </w:t>
      </w:r>
      <w:r w:rsidR="003A2093" w:rsidRPr="00B575C7">
        <w:t>and Rule 25-30.033, F.A.C.</w:t>
      </w:r>
      <w:r w:rsidR="003A2093">
        <w:t xml:space="preserve">, </w:t>
      </w:r>
      <w:r w:rsidR="003A2093" w:rsidRPr="00B575C7">
        <w:t>Environmental Utilities, LLC</w:t>
      </w:r>
      <w:r w:rsidR="003A2093">
        <w:t>.</w:t>
      </w:r>
      <w:r w:rsidR="003A2093" w:rsidRPr="00B575C7">
        <w:t xml:space="preserve"> (EU or Utility) filed </w:t>
      </w:r>
      <w:r w:rsidR="003A2093">
        <w:t>an</w:t>
      </w:r>
      <w:r w:rsidR="003A2093" w:rsidRPr="00B575C7">
        <w:t xml:space="preserve"> application for an original wastewater certificate in Charlotte County. With its application, EU filed a petition for temporary waiver of portions of Rule 25-30.033, </w:t>
      </w:r>
      <w:r w:rsidR="003A2093">
        <w:t>F.A.C.</w:t>
      </w:r>
      <w:r w:rsidR="003A2093" w:rsidRPr="00B575C7">
        <w:t>, so that the Utility's initial rates and charges might be set at a date subsequent to the granting of the certificate of authorization. This petition for temporary rule waiver was denied</w:t>
      </w:r>
      <w:r w:rsidR="003A2093">
        <w:t>.</w:t>
      </w:r>
      <w:r w:rsidR="003A2093">
        <w:rPr>
          <w:rStyle w:val="FootnoteReference"/>
        </w:rPr>
        <w:footnoteReference w:id="1"/>
      </w:r>
      <w:r w:rsidR="003A2093" w:rsidRPr="00B575C7">
        <w:t xml:space="preserve"> Pursuant to Rule 25-30.030, F.A.C., EU published notice in the proposed service area, and provided notice by mail to property owners in the service area EU proposes to serve. Timely objections to EU’s application have</w:t>
      </w:r>
      <w:r w:rsidR="003A2093">
        <w:t xml:space="preserve"> been filed with the Commission, and intervention by the Office of Public Counsel (OPC) has been acknowledged. </w:t>
      </w:r>
      <w:r w:rsidR="00CD35F7">
        <w:t>T</w:t>
      </w:r>
      <w:r w:rsidR="00CD35F7" w:rsidRPr="00B575C7">
        <w:t xml:space="preserve">his matter is set for hearing on </w:t>
      </w:r>
      <w:r w:rsidR="00CD35F7">
        <w:t>February 8-9, 2022</w:t>
      </w:r>
      <w:r w:rsidR="00CD35F7" w:rsidRPr="00B575C7">
        <w:t>.</w:t>
      </w:r>
    </w:p>
    <w:p w14:paraId="6546FC31" w14:textId="77777777" w:rsidR="00CD35F7" w:rsidRDefault="00CD35F7" w:rsidP="003A2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DF6242" w14:textId="1DE0E59A" w:rsidR="003A2093" w:rsidRPr="00B575C7" w:rsidRDefault="00CD35F7" w:rsidP="003A2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January 26, 2022, Prehearing Conference, after making an initial appearance and after discussion on the record regarding the scope of her participation, Ms. </w:t>
      </w:r>
      <w:r w:rsidR="00C02CA9">
        <w:t xml:space="preserve">Barb Dwyer </w:t>
      </w:r>
      <w:r>
        <w:t xml:space="preserve">voluntarily </w:t>
      </w:r>
      <w:r w:rsidR="00C02CA9">
        <w:t>withdrew as a</w:t>
      </w:r>
      <w:r>
        <w:t xml:space="preserve"> party</w:t>
      </w:r>
      <w:r w:rsidR="00C02CA9">
        <w:t xml:space="preserve"> </w:t>
      </w:r>
      <w:r>
        <w:t>from this proceeding.</w:t>
      </w:r>
      <w:r w:rsidR="00C02CA9">
        <w:t xml:space="preserve"> </w:t>
      </w:r>
    </w:p>
    <w:p w14:paraId="17C973FE" w14:textId="77777777" w:rsidR="005E102D" w:rsidRDefault="005E102D" w:rsidP="005E102D">
      <w:pPr>
        <w:jc w:val="both"/>
      </w:pPr>
    </w:p>
    <w:p w14:paraId="26738DF9" w14:textId="77777777" w:rsidR="005E102D" w:rsidRDefault="005E102D" w:rsidP="005E102D">
      <w:pPr>
        <w:jc w:val="both"/>
      </w:pPr>
    </w:p>
    <w:p w14:paraId="3A1A53DD" w14:textId="77777777" w:rsidR="005E102D" w:rsidRPr="00A32DC5" w:rsidRDefault="005E102D" w:rsidP="005E102D">
      <w:pPr>
        <w:jc w:val="both"/>
        <w:rPr>
          <w:b/>
        </w:rPr>
      </w:pPr>
      <w:r w:rsidRPr="00A32DC5">
        <w:rPr>
          <w:b/>
        </w:rPr>
        <w:t>II.</w:t>
      </w:r>
      <w:r w:rsidRPr="00A32DC5">
        <w:rPr>
          <w:b/>
        </w:rPr>
        <w:tab/>
      </w:r>
      <w:r w:rsidRPr="00A32DC5">
        <w:rPr>
          <w:b/>
          <w:u w:val="single"/>
        </w:rPr>
        <w:t>CONDUCT OF PROCEEDINGS</w:t>
      </w:r>
    </w:p>
    <w:p w14:paraId="1F1006ED" w14:textId="77777777" w:rsidR="005E102D" w:rsidRPr="00701945" w:rsidRDefault="005E102D" w:rsidP="005E102D">
      <w:pPr>
        <w:jc w:val="both"/>
      </w:pPr>
    </w:p>
    <w:p w14:paraId="44E66A12" w14:textId="77777777" w:rsidR="005E102D" w:rsidRPr="00701945" w:rsidRDefault="005E102D" w:rsidP="005E102D">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56800250" w14:textId="77777777" w:rsidR="005E102D" w:rsidRDefault="005E102D" w:rsidP="005E102D">
      <w:pPr>
        <w:jc w:val="both"/>
      </w:pPr>
    </w:p>
    <w:p w14:paraId="07E5A5BC" w14:textId="77777777" w:rsidR="005E102D" w:rsidRPr="00701945" w:rsidRDefault="005E102D" w:rsidP="005E102D">
      <w:pPr>
        <w:jc w:val="both"/>
      </w:pPr>
    </w:p>
    <w:p w14:paraId="1013DBA4" w14:textId="77777777" w:rsidR="005E102D" w:rsidRPr="00A32DC5" w:rsidRDefault="005E102D" w:rsidP="005E102D">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64DDDAD9" w14:textId="77777777" w:rsidR="005E102D" w:rsidRPr="00701945" w:rsidRDefault="005E102D" w:rsidP="005E102D">
      <w:pPr>
        <w:jc w:val="both"/>
      </w:pPr>
    </w:p>
    <w:p w14:paraId="2E21A07B" w14:textId="77777777" w:rsidR="005E102D" w:rsidRPr="00701945" w:rsidRDefault="005E102D" w:rsidP="005E102D">
      <w:pPr>
        <w:jc w:val="both"/>
      </w:pPr>
      <w:r w:rsidRPr="00701945">
        <w:tab/>
        <w:t>This Commission is vested with jurisdiction over the subject matter by the provisions of Chapter</w:t>
      </w:r>
      <w:r w:rsidR="007F0FDA">
        <w:t xml:space="preserve"> 367</w:t>
      </w:r>
      <w:r w:rsidRPr="00701945">
        <w:t xml:space="preserve">, </w:t>
      </w:r>
      <w:r>
        <w:t>F.S</w:t>
      </w:r>
      <w:r w:rsidRPr="00701945">
        <w:t>.  This hearing will be governed by said Chapter and Chapters</w:t>
      </w:r>
      <w:r>
        <w:t xml:space="preserve"> </w:t>
      </w:r>
      <w:r w:rsidR="007F0FDA">
        <w:t>25-30,</w:t>
      </w:r>
      <w:r>
        <w:rPr>
          <w:color w:val="FF0000"/>
        </w:rPr>
        <w:t xml:space="preserve"> </w:t>
      </w:r>
      <w:r>
        <w:t>25-6</w:t>
      </w:r>
      <w:r w:rsidRPr="00701945">
        <w:t xml:space="preserve">, 25-22, and 28-106, </w:t>
      </w:r>
      <w:r>
        <w:t>F.A.C., as well as any other applicable provisions of law</w:t>
      </w:r>
      <w:r w:rsidRPr="00701945">
        <w:t>.</w:t>
      </w:r>
    </w:p>
    <w:p w14:paraId="5B166CDE" w14:textId="77777777" w:rsidR="005E102D" w:rsidRDefault="005E102D" w:rsidP="005E102D">
      <w:pPr>
        <w:jc w:val="both"/>
      </w:pPr>
    </w:p>
    <w:p w14:paraId="065B66DB" w14:textId="77777777" w:rsidR="005E102D" w:rsidRPr="00701945" w:rsidRDefault="005E102D" w:rsidP="005E102D">
      <w:pPr>
        <w:jc w:val="both"/>
      </w:pPr>
    </w:p>
    <w:p w14:paraId="7B8589BD" w14:textId="77777777" w:rsidR="005E102D" w:rsidRPr="00237584" w:rsidRDefault="005E102D" w:rsidP="005E102D">
      <w:pPr>
        <w:jc w:val="both"/>
        <w:rPr>
          <w:b/>
        </w:rPr>
      </w:pPr>
      <w:r w:rsidRPr="00237584">
        <w:rPr>
          <w:b/>
        </w:rPr>
        <w:t>IV.</w:t>
      </w:r>
      <w:r w:rsidRPr="00237584">
        <w:rPr>
          <w:b/>
        </w:rPr>
        <w:tab/>
      </w:r>
      <w:r w:rsidRPr="00237584">
        <w:rPr>
          <w:b/>
          <w:u w:val="single"/>
        </w:rPr>
        <w:t>PROCEDURE FOR HANDLING CONFIDENTIAL INFORMATION</w:t>
      </w:r>
    </w:p>
    <w:p w14:paraId="4D0221FA" w14:textId="77777777" w:rsidR="005E102D" w:rsidRPr="00237584" w:rsidRDefault="005E102D" w:rsidP="005E102D">
      <w:pPr>
        <w:jc w:val="both"/>
        <w:rPr>
          <w:b/>
        </w:rPr>
      </w:pPr>
    </w:p>
    <w:p w14:paraId="65DE59A5" w14:textId="77777777" w:rsidR="005E102D" w:rsidRDefault="005E102D" w:rsidP="005E102D">
      <w:pPr>
        <w:jc w:val="both"/>
      </w:pPr>
      <w:r w:rsidRPr="00701945">
        <w:tab/>
      </w:r>
      <w:r>
        <w:t>Information for which proprietary confidential business information status is requested</w:t>
      </w:r>
      <w:r w:rsidRPr="00A72918">
        <w:t xml:space="preserve"> pursuant to</w:t>
      </w:r>
      <w:r>
        <w:t xml:space="preserve"> Section </w:t>
      </w:r>
      <w:r w:rsidR="007F0FDA">
        <w:t>367.156</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w:t>
      </w:r>
      <w:r>
        <w:lastRenderedPageBreak/>
        <w:t xml:space="preserve">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rsidR="007F0FDA">
        <w:t xml:space="preserve"> 367.156</w:t>
      </w:r>
      <w:r>
        <w:t>, F.S.  T</w:t>
      </w:r>
      <w:r w:rsidRPr="00B2317F">
        <w:t>he Commission may determine that continued possession of the information is necessary for the Commission to conduct its business.</w:t>
      </w:r>
    </w:p>
    <w:p w14:paraId="1E220960" w14:textId="77777777" w:rsidR="005E102D" w:rsidRDefault="005E102D" w:rsidP="005E102D">
      <w:pPr>
        <w:jc w:val="both"/>
      </w:pPr>
    </w:p>
    <w:p w14:paraId="1ACE7A13" w14:textId="77777777" w:rsidR="005E102D" w:rsidRDefault="005E102D" w:rsidP="005E10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rsidR="007F0FDA">
        <w:t xml:space="preserve"> 367.156</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w:t>
      </w:r>
      <w:r w:rsidR="007F0FDA">
        <w:t>367.156</w:t>
      </w:r>
      <w:r>
        <w:t xml:space="preserve">, </w:t>
      </w:r>
      <w:smartTag w:uri="urn:schemas:contacts" w:element="GivenName">
        <w:r>
          <w:t>F.S.</w:t>
        </w:r>
      </w:smartTag>
      <w:r>
        <w:t>, at the hearing shall adhere to the following:</w:t>
      </w:r>
    </w:p>
    <w:p w14:paraId="7E2DE857" w14:textId="77777777" w:rsidR="005E102D" w:rsidRDefault="005E102D" w:rsidP="005E10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2374FB6" w14:textId="77777777" w:rsidR="005E102D" w:rsidRDefault="005E102D" w:rsidP="005E102D">
      <w:pPr>
        <w:spacing w:line="2" w:lineRule="exact"/>
        <w:jc w:val="both"/>
      </w:pPr>
    </w:p>
    <w:p w14:paraId="5EF9C791" w14:textId="77777777" w:rsidR="005E102D" w:rsidRDefault="005E102D" w:rsidP="005E102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2F69E656" w14:textId="77777777" w:rsidR="005E102D" w:rsidRDefault="005E102D" w:rsidP="005E10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CB630DC" w14:textId="77777777" w:rsidR="005E102D" w:rsidRDefault="005E102D" w:rsidP="005E102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447D2391" w14:textId="77777777" w:rsidR="005E102D" w:rsidRDefault="005E102D" w:rsidP="005E10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0FCA3BA2" w14:textId="77777777" w:rsidR="005E102D" w:rsidRDefault="005E102D" w:rsidP="005E10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5C5E740A" w14:textId="77777777" w:rsidR="005E102D" w:rsidRDefault="005E102D" w:rsidP="005E102D">
      <w:pPr>
        <w:jc w:val="both"/>
      </w:pPr>
    </w:p>
    <w:p w14:paraId="62B96A31" w14:textId="68DB5A31" w:rsidR="007F0FDA" w:rsidRDefault="007F0FDA">
      <w:pPr>
        <w:rPr>
          <w:b/>
        </w:rPr>
      </w:pPr>
    </w:p>
    <w:p w14:paraId="7E2BB73C" w14:textId="77777777" w:rsidR="005E102D" w:rsidRPr="00A32DC5" w:rsidRDefault="005E102D" w:rsidP="005E102D">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6E21660A" w14:textId="77777777" w:rsidR="005E102D" w:rsidRPr="00701945" w:rsidRDefault="005E102D" w:rsidP="005E102D">
      <w:pPr>
        <w:jc w:val="both"/>
      </w:pPr>
    </w:p>
    <w:p w14:paraId="1254878B" w14:textId="77777777" w:rsidR="005E102D" w:rsidRDefault="005E102D" w:rsidP="005E102D">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w:t>
      </w:r>
      <w:r w:rsidRPr="00701945">
        <w:lastRenderedPageBreak/>
        <w:t xml:space="preserve">testimony at the time he or she takes the stand.  Summaries of testimony shall be limited to </w:t>
      </w:r>
      <w:r>
        <w:t>three</w:t>
      </w:r>
      <w:r w:rsidRPr="00701945">
        <w:t xml:space="preserve"> minutes.</w:t>
      </w:r>
    </w:p>
    <w:p w14:paraId="4FE0A75A" w14:textId="77777777" w:rsidR="005E102D" w:rsidRDefault="005E102D" w:rsidP="005E102D">
      <w:pPr>
        <w:jc w:val="both"/>
      </w:pPr>
    </w:p>
    <w:p w14:paraId="788108F3" w14:textId="77777777" w:rsidR="005E102D" w:rsidRPr="00701945" w:rsidRDefault="005E102D" w:rsidP="005E102D">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094149A4" w14:textId="77777777" w:rsidR="005E102D" w:rsidRPr="00701945" w:rsidRDefault="005E102D" w:rsidP="005E102D">
      <w:pPr>
        <w:jc w:val="both"/>
      </w:pPr>
    </w:p>
    <w:p w14:paraId="28B2D9B1" w14:textId="77777777" w:rsidR="005E102D" w:rsidRPr="00701945" w:rsidRDefault="005E102D" w:rsidP="005E102D">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70562F38" w14:textId="77777777" w:rsidR="005E102D" w:rsidRPr="00B75F84" w:rsidRDefault="005E102D" w:rsidP="005E102D">
      <w:pPr>
        <w:jc w:val="both"/>
        <w:rPr>
          <w:color w:val="000000"/>
        </w:rPr>
      </w:pPr>
    </w:p>
    <w:p w14:paraId="355E61F8" w14:textId="77777777" w:rsidR="005E102D" w:rsidRPr="00B75F84" w:rsidRDefault="005E102D" w:rsidP="005E102D">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00E12CDB" w14:textId="77777777" w:rsidR="005E102D" w:rsidRDefault="005E102D" w:rsidP="005E102D">
      <w:pPr>
        <w:jc w:val="both"/>
      </w:pPr>
    </w:p>
    <w:p w14:paraId="59828527" w14:textId="77777777" w:rsidR="005E102D" w:rsidRPr="00701945" w:rsidRDefault="005E102D" w:rsidP="005E102D">
      <w:pPr>
        <w:jc w:val="both"/>
      </w:pPr>
    </w:p>
    <w:p w14:paraId="1A674D65" w14:textId="09FA0BAF" w:rsidR="005E102D" w:rsidRPr="003A1370" w:rsidRDefault="005E102D" w:rsidP="005E102D">
      <w:pPr>
        <w:jc w:val="both"/>
        <w:rPr>
          <w:b/>
        </w:rPr>
      </w:pPr>
      <w:r w:rsidRPr="00A32DC5">
        <w:rPr>
          <w:b/>
        </w:rPr>
        <w:t>VI.</w:t>
      </w:r>
      <w:r w:rsidRPr="00A32DC5">
        <w:rPr>
          <w:b/>
        </w:rPr>
        <w:tab/>
      </w:r>
      <w:r w:rsidRPr="00A32DC5">
        <w:rPr>
          <w:b/>
          <w:u w:val="single"/>
        </w:rPr>
        <w:t>ORDER OF WITNESSES</w:t>
      </w:r>
    </w:p>
    <w:p w14:paraId="0810D038" w14:textId="304AA613" w:rsidR="005E102D" w:rsidRDefault="005E102D" w:rsidP="005E102D">
      <w:pPr>
        <w:jc w:val="both"/>
      </w:pPr>
      <w:r>
        <w:tab/>
      </w:r>
    </w:p>
    <w:p w14:paraId="0810B47C" w14:textId="77777777" w:rsidR="005E102D" w:rsidRPr="00701945" w:rsidRDefault="005E102D" w:rsidP="005E102D">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5E102D" w:rsidRPr="00701945" w14:paraId="5CE0FC81" w14:textId="77777777" w:rsidTr="0076335E">
        <w:trPr>
          <w:cantSplit/>
          <w:trHeight w:val="362"/>
          <w:tblHeader/>
        </w:trPr>
        <w:tc>
          <w:tcPr>
            <w:tcW w:w="3507" w:type="dxa"/>
            <w:tcBorders>
              <w:top w:val="nil"/>
              <w:left w:val="nil"/>
              <w:bottom w:val="nil"/>
              <w:right w:val="nil"/>
            </w:tcBorders>
          </w:tcPr>
          <w:p w14:paraId="03E8BF1C" w14:textId="77777777" w:rsidR="005E102D" w:rsidRPr="00701945" w:rsidRDefault="005E102D" w:rsidP="0076335E">
            <w:pPr>
              <w:jc w:val="both"/>
            </w:pPr>
            <w:r w:rsidRPr="00701945">
              <w:rPr>
                <w:u w:val="single"/>
              </w:rPr>
              <w:t>Witness</w:t>
            </w:r>
          </w:p>
        </w:tc>
        <w:tc>
          <w:tcPr>
            <w:tcW w:w="2511" w:type="dxa"/>
            <w:tcBorders>
              <w:top w:val="nil"/>
              <w:left w:val="nil"/>
              <w:bottom w:val="nil"/>
              <w:right w:val="nil"/>
            </w:tcBorders>
          </w:tcPr>
          <w:p w14:paraId="12F84248" w14:textId="77777777" w:rsidR="005E102D" w:rsidRPr="00701945" w:rsidRDefault="005E102D" w:rsidP="0076335E">
            <w:pPr>
              <w:jc w:val="center"/>
            </w:pPr>
            <w:r w:rsidRPr="00701945">
              <w:rPr>
                <w:u w:val="single"/>
              </w:rPr>
              <w:t>Proffered By</w:t>
            </w:r>
          </w:p>
        </w:tc>
        <w:tc>
          <w:tcPr>
            <w:tcW w:w="3546" w:type="dxa"/>
            <w:tcBorders>
              <w:top w:val="nil"/>
              <w:left w:val="nil"/>
              <w:bottom w:val="nil"/>
              <w:right w:val="nil"/>
            </w:tcBorders>
          </w:tcPr>
          <w:p w14:paraId="591384F8" w14:textId="77777777" w:rsidR="005E102D" w:rsidRPr="00701945" w:rsidRDefault="005E102D" w:rsidP="0076335E">
            <w:pPr>
              <w:jc w:val="both"/>
            </w:pPr>
            <w:r w:rsidRPr="00701945">
              <w:rPr>
                <w:u w:val="single"/>
              </w:rPr>
              <w:t>Issues #</w:t>
            </w:r>
          </w:p>
        </w:tc>
      </w:tr>
      <w:tr w:rsidR="005E102D" w:rsidRPr="00701945" w14:paraId="69733353" w14:textId="77777777" w:rsidTr="0076335E">
        <w:trPr>
          <w:cantSplit/>
          <w:trHeight w:val="362"/>
        </w:trPr>
        <w:tc>
          <w:tcPr>
            <w:tcW w:w="3507" w:type="dxa"/>
            <w:tcBorders>
              <w:top w:val="nil"/>
              <w:left w:val="nil"/>
              <w:bottom w:val="nil"/>
              <w:right w:val="nil"/>
            </w:tcBorders>
          </w:tcPr>
          <w:p w14:paraId="3E43B59C" w14:textId="77777777" w:rsidR="005E102D" w:rsidRPr="00AC105C" w:rsidRDefault="005E102D" w:rsidP="0076335E">
            <w:pPr>
              <w:jc w:val="both"/>
              <w:rPr>
                <w:u w:val="single"/>
              </w:rPr>
            </w:pPr>
            <w:r w:rsidRPr="00AC105C">
              <w:tab/>
            </w:r>
            <w:r w:rsidRPr="00AC105C">
              <w:rPr>
                <w:u w:val="single"/>
              </w:rPr>
              <w:t>Direct</w:t>
            </w:r>
          </w:p>
        </w:tc>
        <w:tc>
          <w:tcPr>
            <w:tcW w:w="2511" w:type="dxa"/>
            <w:tcBorders>
              <w:top w:val="nil"/>
              <w:left w:val="nil"/>
              <w:bottom w:val="nil"/>
              <w:right w:val="nil"/>
            </w:tcBorders>
          </w:tcPr>
          <w:p w14:paraId="469AE5DB" w14:textId="77777777" w:rsidR="005E102D" w:rsidRPr="00701945" w:rsidRDefault="005E102D" w:rsidP="0076335E">
            <w:pPr>
              <w:jc w:val="center"/>
            </w:pPr>
          </w:p>
        </w:tc>
        <w:tc>
          <w:tcPr>
            <w:tcW w:w="3546" w:type="dxa"/>
            <w:tcBorders>
              <w:top w:val="nil"/>
              <w:left w:val="nil"/>
              <w:bottom w:val="nil"/>
              <w:right w:val="nil"/>
            </w:tcBorders>
          </w:tcPr>
          <w:p w14:paraId="3F70E7A3" w14:textId="77777777" w:rsidR="005E102D" w:rsidRPr="00701945" w:rsidRDefault="005E102D" w:rsidP="0076335E"/>
        </w:tc>
      </w:tr>
      <w:tr w:rsidR="005E102D" w:rsidRPr="00701945" w14:paraId="19F21B67" w14:textId="77777777" w:rsidTr="0076335E">
        <w:trPr>
          <w:cantSplit/>
          <w:trHeight w:val="362"/>
        </w:trPr>
        <w:tc>
          <w:tcPr>
            <w:tcW w:w="3507" w:type="dxa"/>
            <w:tcBorders>
              <w:top w:val="nil"/>
              <w:left w:val="nil"/>
              <w:bottom w:val="nil"/>
              <w:right w:val="nil"/>
            </w:tcBorders>
          </w:tcPr>
          <w:p w14:paraId="0384F290" w14:textId="77777777" w:rsidR="005E102D" w:rsidRPr="00701945" w:rsidRDefault="001B19FE" w:rsidP="0076335E">
            <w:pPr>
              <w:jc w:val="both"/>
            </w:pPr>
            <w:r>
              <w:t>John R. Boyer</w:t>
            </w:r>
          </w:p>
        </w:tc>
        <w:tc>
          <w:tcPr>
            <w:tcW w:w="2511" w:type="dxa"/>
            <w:tcBorders>
              <w:top w:val="nil"/>
              <w:left w:val="nil"/>
              <w:bottom w:val="nil"/>
              <w:right w:val="nil"/>
            </w:tcBorders>
          </w:tcPr>
          <w:p w14:paraId="1E5A3802" w14:textId="77777777" w:rsidR="005E102D" w:rsidRPr="00701945" w:rsidRDefault="001B19FE" w:rsidP="0076335E">
            <w:pPr>
              <w:jc w:val="center"/>
            </w:pPr>
            <w:r>
              <w:t>EU</w:t>
            </w:r>
          </w:p>
        </w:tc>
        <w:tc>
          <w:tcPr>
            <w:tcW w:w="3546" w:type="dxa"/>
            <w:tcBorders>
              <w:top w:val="nil"/>
              <w:left w:val="nil"/>
              <w:bottom w:val="nil"/>
              <w:right w:val="nil"/>
            </w:tcBorders>
          </w:tcPr>
          <w:p w14:paraId="06237953" w14:textId="77777777" w:rsidR="005E102D" w:rsidRPr="00E91E5A" w:rsidRDefault="00E91E5A" w:rsidP="0076335E">
            <w:pPr>
              <w:rPr>
                <w:color w:val="000000" w:themeColor="text1"/>
              </w:rPr>
            </w:pPr>
            <w:r>
              <w:rPr>
                <w:color w:val="000000" w:themeColor="text1"/>
              </w:rPr>
              <w:t>1 – 9</w:t>
            </w:r>
          </w:p>
        </w:tc>
      </w:tr>
      <w:tr w:rsidR="005E102D" w:rsidRPr="00701945" w14:paraId="28C81189" w14:textId="77777777" w:rsidTr="0076335E">
        <w:trPr>
          <w:cantSplit/>
          <w:trHeight w:val="362"/>
        </w:trPr>
        <w:tc>
          <w:tcPr>
            <w:tcW w:w="3507" w:type="dxa"/>
            <w:tcBorders>
              <w:top w:val="nil"/>
              <w:left w:val="nil"/>
              <w:bottom w:val="nil"/>
              <w:right w:val="nil"/>
            </w:tcBorders>
          </w:tcPr>
          <w:p w14:paraId="7812055F" w14:textId="77777777" w:rsidR="005E102D" w:rsidRPr="00701945" w:rsidRDefault="001B19FE" w:rsidP="0076335E">
            <w:pPr>
              <w:jc w:val="both"/>
            </w:pPr>
            <w:r>
              <w:t>Jonathan H. Cole</w:t>
            </w:r>
          </w:p>
        </w:tc>
        <w:tc>
          <w:tcPr>
            <w:tcW w:w="2511" w:type="dxa"/>
            <w:tcBorders>
              <w:top w:val="nil"/>
              <w:left w:val="nil"/>
              <w:bottom w:val="nil"/>
              <w:right w:val="nil"/>
            </w:tcBorders>
          </w:tcPr>
          <w:p w14:paraId="66650E3D" w14:textId="77777777" w:rsidR="005E102D" w:rsidRPr="00701945" w:rsidRDefault="001B19FE" w:rsidP="0076335E">
            <w:pPr>
              <w:jc w:val="center"/>
            </w:pPr>
            <w:r>
              <w:t>EU</w:t>
            </w:r>
          </w:p>
        </w:tc>
        <w:tc>
          <w:tcPr>
            <w:tcW w:w="3546" w:type="dxa"/>
            <w:tcBorders>
              <w:top w:val="nil"/>
              <w:left w:val="nil"/>
              <w:bottom w:val="nil"/>
              <w:right w:val="nil"/>
            </w:tcBorders>
          </w:tcPr>
          <w:p w14:paraId="4DE01665" w14:textId="77777777" w:rsidR="005E102D" w:rsidRPr="00E91E5A" w:rsidRDefault="00E91E5A" w:rsidP="0076335E">
            <w:r>
              <w:rPr>
                <w:color w:val="000000" w:themeColor="text1"/>
              </w:rPr>
              <w:t>2, and 11</w:t>
            </w:r>
          </w:p>
        </w:tc>
      </w:tr>
      <w:tr w:rsidR="005E102D" w:rsidRPr="00701945" w14:paraId="2946D603" w14:textId="77777777" w:rsidTr="0076335E">
        <w:trPr>
          <w:cantSplit/>
          <w:trHeight w:val="362"/>
        </w:trPr>
        <w:tc>
          <w:tcPr>
            <w:tcW w:w="3507" w:type="dxa"/>
            <w:tcBorders>
              <w:top w:val="nil"/>
              <w:left w:val="nil"/>
              <w:bottom w:val="nil"/>
              <w:right w:val="nil"/>
            </w:tcBorders>
          </w:tcPr>
          <w:p w14:paraId="1E557D61" w14:textId="77777777" w:rsidR="005E102D" w:rsidRPr="00701945" w:rsidRDefault="001B19FE" w:rsidP="0076335E">
            <w:pPr>
              <w:jc w:val="both"/>
            </w:pPr>
            <w:r>
              <w:t>Deborah D. Swain</w:t>
            </w:r>
          </w:p>
        </w:tc>
        <w:tc>
          <w:tcPr>
            <w:tcW w:w="2511" w:type="dxa"/>
            <w:tcBorders>
              <w:top w:val="nil"/>
              <w:left w:val="nil"/>
              <w:bottom w:val="nil"/>
              <w:right w:val="nil"/>
            </w:tcBorders>
          </w:tcPr>
          <w:p w14:paraId="50B7A617" w14:textId="77777777" w:rsidR="005E102D" w:rsidRPr="00701945" w:rsidRDefault="001B19FE" w:rsidP="0076335E">
            <w:pPr>
              <w:jc w:val="center"/>
            </w:pPr>
            <w:r>
              <w:t>EU</w:t>
            </w:r>
          </w:p>
        </w:tc>
        <w:tc>
          <w:tcPr>
            <w:tcW w:w="3546" w:type="dxa"/>
            <w:tcBorders>
              <w:top w:val="nil"/>
              <w:left w:val="nil"/>
              <w:bottom w:val="nil"/>
              <w:right w:val="nil"/>
            </w:tcBorders>
          </w:tcPr>
          <w:p w14:paraId="306B8E82" w14:textId="77777777" w:rsidR="005E102D" w:rsidRPr="00E91E5A" w:rsidRDefault="00E91E5A" w:rsidP="0076335E">
            <w:r>
              <w:rPr>
                <w:color w:val="000000" w:themeColor="text1"/>
              </w:rPr>
              <w:t>10 – 13</w:t>
            </w:r>
          </w:p>
        </w:tc>
      </w:tr>
      <w:tr w:rsidR="005E102D" w:rsidRPr="00701945" w14:paraId="2D542BA0" w14:textId="77777777" w:rsidTr="0076335E">
        <w:trPr>
          <w:cantSplit/>
          <w:trHeight w:val="362"/>
        </w:trPr>
        <w:tc>
          <w:tcPr>
            <w:tcW w:w="3507" w:type="dxa"/>
            <w:tcBorders>
              <w:top w:val="nil"/>
              <w:left w:val="nil"/>
              <w:bottom w:val="nil"/>
              <w:right w:val="nil"/>
            </w:tcBorders>
          </w:tcPr>
          <w:p w14:paraId="4715C05A" w14:textId="77777777" w:rsidR="005E102D" w:rsidRPr="00701945" w:rsidRDefault="001659A1" w:rsidP="0076335E">
            <w:pPr>
              <w:jc w:val="both"/>
            </w:pPr>
            <w:r>
              <w:t>Meryl Schaffer</w:t>
            </w:r>
          </w:p>
        </w:tc>
        <w:tc>
          <w:tcPr>
            <w:tcW w:w="2511" w:type="dxa"/>
            <w:tcBorders>
              <w:top w:val="nil"/>
              <w:left w:val="nil"/>
              <w:bottom w:val="nil"/>
              <w:right w:val="nil"/>
            </w:tcBorders>
          </w:tcPr>
          <w:p w14:paraId="28810B72" w14:textId="77777777" w:rsidR="005E102D" w:rsidRPr="00701945" w:rsidRDefault="001659A1" w:rsidP="0076335E">
            <w:pPr>
              <w:jc w:val="center"/>
            </w:pPr>
            <w:r>
              <w:t>PIE</w:t>
            </w:r>
          </w:p>
        </w:tc>
        <w:tc>
          <w:tcPr>
            <w:tcW w:w="3546" w:type="dxa"/>
            <w:tcBorders>
              <w:top w:val="nil"/>
              <w:left w:val="nil"/>
              <w:bottom w:val="nil"/>
              <w:right w:val="nil"/>
            </w:tcBorders>
          </w:tcPr>
          <w:p w14:paraId="79A0EA94" w14:textId="77777777" w:rsidR="005E102D" w:rsidRPr="00701945" w:rsidRDefault="001659A1" w:rsidP="0076335E">
            <w:r>
              <w:t>2, 3, 9 and 14</w:t>
            </w:r>
          </w:p>
        </w:tc>
      </w:tr>
      <w:tr w:rsidR="005E102D" w:rsidRPr="00701945" w14:paraId="3F37C4F8" w14:textId="77777777" w:rsidTr="0076335E">
        <w:trPr>
          <w:cantSplit/>
          <w:trHeight w:val="362"/>
        </w:trPr>
        <w:tc>
          <w:tcPr>
            <w:tcW w:w="3507" w:type="dxa"/>
            <w:tcBorders>
              <w:top w:val="nil"/>
              <w:left w:val="nil"/>
              <w:bottom w:val="nil"/>
              <w:right w:val="nil"/>
            </w:tcBorders>
          </w:tcPr>
          <w:p w14:paraId="111A5658" w14:textId="77777777" w:rsidR="005E102D" w:rsidRPr="00701945" w:rsidRDefault="001659A1" w:rsidP="0076335E">
            <w:pPr>
              <w:jc w:val="both"/>
            </w:pPr>
            <w:r>
              <w:t>Ellen Hardgrove</w:t>
            </w:r>
          </w:p>
        </w:tc>
        <w:tc>
          <w:tcPr>
            <w:tcW w:w="2511" w:type="dxa"/>
            <w:tcBorders>
              <w:top w:val="nil"/>
              <w:left w:val="nil"/>
              <w:bottom w:val="nil"/>
              <w:right w:val="nil"/>
            </w:tcBorders>
          </w:tcPr>
          <w:p w14:paraId="3A6F30CE" w14:textId="77777777" w:rsidR="005E102D" w:rsidRPr="00701945" w:rsidRDefault="001659A1" w:rsidP="0076335E">
            <w:pPr>
              <w:jc w:val="center"/>
            </w:pPr>
            <w:r>
              <w:t>PIE</w:t>
            </w:r>
          </w:p>
        </w:tc>
        <w:tc>
          <w:tcPr>
            <w:tcW w:w="3546" w:type="dxa"/>
            <w:tcBorders>
              <w:top w:val="nil"/>
              <w:left w:val="nil"/>
              <w:bottom w:val="nil"/>
              <w:right w:val="nil"/>
            </w:tcBorders>
          </w:tcPr>
          <w:p w14:paraId="56B02993" w14:textId="77777777" w:rsidR="005E102D" w:rsidRPr="00701945" w:rsidRDefault="001659A1" w:rsidP="0076335E">
            <w:r>
              <w:t>2, 3, 8, 9 and 14</w:t>
            </w:r>
          </w:p>
        </w:tc>
      </w:tr>
      <w:tr w:rsidR="005E102D" w:rsidRPr="00701945" w14:paraId="76E96FB1" w14:textId="77777777" w:rsidTr="0076335E">
        <w:trPr>
          <w:cantSplit/>
          <w:trHeight w:val="362"/>
        </w:trPr>
        <w:tc>
          <w:tcPr>
            <w:tcW w:w="3507" w:type="dxa"/>
            <w:tcBorders>
              <w:top w:val="nil"/>
              <w:left w:val="nil"/>
              <w:bottom w:val="nil"/>
              <w:right w:val="nil"/>
            </w:tcBorders>
          </w:tcPr>
          <w:p w14:paraId="598C2C65" w14:textId="77777777" w:rsidR="001659A1" w:rsidRDefault="001659A1" w:rsidP="0076335E">
            <w:pPr>
              <w:jc w:val="both"/>
            </w:pPr>
            <w:r>
              <w:t>Robert Weisberg</w:t>
            </w:r>
          </w:p>
          <w:p w14:paraId="718FF169" w14:textId="77777777" w:rsidR="001659A1" w:rsidRDefault="001659A1" w:rsidP="0076335E">
            <w:pPr>
              <w:jc w:val="both"/>
            </w:pPr>
          </w:p>
          <w:p w14:paraId="3A2D375D" w14:textId="77777777" w:rsidR="001659A1" w:rsidRDefault="001659A1" w:rsidP="0076335E">
            <w:pPr>
              <w:jc w:val="both"/>
            </w:pPr>
            <w:r>
              <w:t>Sheri Schultz</w:t>
            </w:r>
          </w:p>
          <w:p w14:paraId="73B1CC1D" w14:textId="77777777" w:rsidR="001659A1" w:rsidRDefault="001659A1" w:rsidP="0076335E">
            <w:pPr>
              <w:jc w:val="both"/>
            </w:pPr>
          </w:p>
          <w:p w14:paraId="06F072DE" w14:textId="77777777" w:rsidR="001659A1" w:rsidRDefault="001659A1" w:rsidP="0076335E">
            <w:pPr>
              <w:jc w:val="both"/>
            </w:pPr>
            <w:r>
              <w:t>Stephen J. Suggs</w:t>
            </w:r>
          </w:p>
          <w:p w14:paraId="51736BB7" w14:textId="77777777" w:rsidR="002367B9" w:rsidRDefault="002367B9" w:rsidP="0076335E">
            <w:pPr>
              <w:jc w:val="both"/>
            </w:pPr>
          </w:p>
          <w:p w14:paraId="53F826BE" w14:textId="77777777" w:rsidR="002367B9" w:rsidRDefault="002367B9" w:rsidP="0076335E">
            <w:pPr>
              <w:jc w:val="both"/>
            </w:pPr>
            <w:r>
              <w:t>Linda Cotherman</w:t>
            </w:r>
          </w:p>
          <w:p w14:paraId="71F32A00" w14:textId="77777777" w:rsidR="002367B9" w:rsidRPr="00701945" w:rsidRDefault="002367B9" w:rsidP="0076335E">
            <w:pPr>
              <w:jc w:val="both"/>
            </w:pPr>
          </w:p>
        </w:tc>
        <w:tc>
          <w:tcPr>
            <w:tcW w:w="2511" w:type="dxa"/>
            <w:tcBorders>
              <w:top w:val="nil"/>
              <w:left w:val="nil"/>
              <w:bottom w:val="nil"/>
              <w:right w:val="nil"/>
            </w:tcBorders>
          </w:tcPr>
          <w:p w14:paraId="189F402F" w14:textId="77777777" w:rsidR="005E102D" w:rsidRDefault="001659A1" w:rsidP="0076335E">
            <w:pPr>
              <w:jc w:val="center"/>
            </w:pPr>
            <w:r>
              <w:t>PIE</w:t>
            </w:r>
          </w:p>
          <w:p w14:paraId="306DFA0E" w14:textId="77777777" w:rsidR="001659A1" w:rsidRDefault="001659A1" w:rsidP="0076335E">
            <w:pPr>
              <w:jc w:val="center"/>
            </w:pPr>
          </w:p>
          <w:p w14:paraId="061EC0A8" w14:textId="77777777" w:rsidR="001659A1" w:rsidRDefault="001659A1" w:rsidP="0076335E">
            <w:pPr>
              <w:jc w:val="center"/>
            </w:pPr>
            <w:r>
              <w:t>PIE</w:t>
            </w:r>
          </w:p>
          <w:p w14:paraId="64D1B124" w14:textId="77777777" w:rsidR="001659A1" w:rsidRDefault="001659A1" w:rsidP="0076335E">
            <w:pPr>
              <w:jc w:val="center"/>
            </w:pPr>
          </w:p>
          <w:p w14:paraId="5B859030" w14:textId="77777777" w:rsidR="001659A1" w:rsidRDefault="001659A1" w:rsidP="0076335E">
            <w:pPr>
              <w:jc w:val="center"/>
            </w:pPr>
            <w:r>
              <w:t>PIE</w:t>
            </w:r>
          </w:p>
          <w:p w14:paraId="2DF960AC" w14:textId="77777777" w:rsidR="002367B9" w:rsidRDefault="002367B9" w:rsidP="0076335E">
            <w:pPr>
              <w:jc w:val="center"/>
            </w:pPr>
          </w:p>
          <w:p w14:paraId="52FE7B27" w14:textId="3ADD8A3E" w:rsidR="002367B9" w:rsidRDefault="008D6D8B" w:rsidP="0076335E">
            <w:pPr>
              <w:jc w:val="center"/>
            </w:pPr>
            <w:r>
              <w:t>LC</w:t>
            </w:r>
          </w:p>
          <w:p w14:paraId="07C76AC0" w14:textId="77777777" w:rsidR="002367B9" w:rsidRPr="00701945" w:rsidRDefault="002367B9" w:rsidP="0076335E">
            <w:pPr>
              <w:jc w:val="center"/>
            </w:pPr>
          </w:p>
        </w:tc>
        <w:tc>
          <w:tcPr>
            <w:tcW w:w="3546" w:type="dxa"/>
            <w:tcBorders>
              <w:top w:val="nil"/>
              <w:left w:val="nil"/>
              <w:bottom w:val="nil"/>
              <w:right w:val="nil"/>
            </w:tcBorders>
          </w:tcPr>
          <w:p w14:paraId="08570A97" w14:textId="77777777" w:rsidR="005E102D" w:rsidRDefault="001659A1" w:rsidP="0076335E">
            <w:r>
              <w:t>2, 3, 9, and 14</w:t>
            </w:r>
          </w:p>
          <w:p w14:paraId="0E3DF73C" w14:textId="77777777" w:rsidR="001659A1" w:rsidRDefault="001659A1" w:rsidP="0076335E"/>
          <w:p w14:paraId="7A426AFF" w14:textId="77777777" w:rsidR="001659A1" w:rsidRDefault="001659A1" w:rsidP="0076335E">
            <w:r>
              <w:t>5, 9 and 14</w:t>
            </w:r>
          </w:p>
          <w:p w14:paraId="610FAD4C" w14:textId="77777777" w:rsidR="001659A1" w:rsidRDefault="001659A1" w:rsidP="0076335E"/>
          <w:p w14:paraId="317835C5" w14:textId="77777777" w:rsidR="001659A1" w:rsidRDefault="001659A1" w:rsidP="0076335E">
            <w:r>
              <w:t>6, 7, 9 and 14</w:t>
            </w:r>
          </w:p>
          <w:p w14:paraId="6BB39563" w14:textId="77777777" w:rsidR="002367B9" w:rsidRDefault="002367B9" w:rsidP="0076335E"/>
          <w:p w14:paraId="6376FA76" w14:textId="77777777" w:rsidR="002367B9" w:rsidRDefault="002367B9" w:rsidP="0076335E">
            <w:r>
              <w:t xml:space="preserve">1 – 14 </w:t>
            </w:r>
          </w:p>
          <w:p w14:paraId="667378AD" w14:textId="77777777" w:rsidR="002367B9" w:rsidRPr="00701945" w:rsidRDefault="002367B9" w:rsidP="0076335E"/>
        </w:tc>
      </w:tr>
      <w:tr w:rsidR="005E102D" w:rsidRPr="00701945" w14:paraId="16DBAEE9" w14:textId="77777777" w:rsidTr="0076335E">
        <w:trPr>
          <w:cantSplit/>
          <w:trHeight w:val="382"/>
        </w:trPr>
        <w:tc>
          <w:tcPr>
            <w:tcW w:w="3507" w:type="dxa"/>
            <w:tcBorders>
              <w:top w:val="nil"/>
              <w:left w:val="nil"/>
              <w:bottom w:val="nil"/>
              <w:right w:val="nil"/>
            </w:tcBorders>
          </w:tcPr>
          <w:p w14:paraId="746EDA40" w14:textId="77777777" w:rsidR="005E102D" w:rsidRPr="00701945" w:rsidRDefault="005E102D" w:rsidP="0076335E">
            <w:pPr>
              <w:jc w:val="both"/>
            </w:pPr>
            <w:r w:rsidRPr="00701945">
              <w:lastRenderedPageBreak/>
              <w:tab/>
            </w:r>
            <w:r w:rsidRPr="00701945">
              <w:rPr>
                <w:u w:val="single"/>
              </w:rPr>
              <w:t>Rebuttal</w:t>
            </w:r>
          </w:p>
        </w:tc>
        <w:tc>
          <w:tcPr>
            <w:tcW w:w="2511" w:type="dxa"/>
            <w:tcBorders>
              <w:top w:val="nil"/>
              <w:left w:val="nil"/>
              <w:bottom w:val="nil"/>
              <w:right w:val="nil"/>
            </w:tcBorders>
          </w:tcPr>
          <w:p w14:paraId="5BB7BA51" w14:textId="77777777" w:rsidR="005E102D" w:rsidRPr="00701945" w:rsidRDefault="005E102D" w:rsidP="0076335E">
            <w:pPr>
              <w:jc w:val="center"/>
            </w:pPr>
          </w:p>
        </w:tc>
        <w:tc>
          <w:tcPr>
            <w:tcW w:w="3546" w:type="dxa"/>
            <w:tcBorders>
              <w:top w:val="nil"/>
              <w:left w:val="nil"/>
              <w:bottom w:val="nil"/>
              <w:right w:val="nil"/>
            </w:tcBorders>
          </w:tcPr>
          <w:p w14:paraId="32739303" w14:textId="77777777" w:rsidR="005E102D" w:rsidRPr="00701945" w:rsidRDefault="005E102D" w:rsidP="0076335E"/>
        </w:tc>
      </w:tr>
      <w:tr w:rsidR="002367B9" w:rsidRPr="00701945" w14:paraId="37BE9848" w14:textId="77777777" w:rsidTr="0076335E">
        <w:trPr>
          <w:cantSplit/>
          <w:trHeight w:val="362"/>
        </w:trPr>
        <w:tc>
          <w:tcPr>
            <w:tcW w:w="3507" w:type="dxa"/>
            <w:tcBorders>
              <w:top w:val="nil"/>
              <w:left w:val="nil"/>
              <w:bottom w:val="nil"/>
              <w:right w:val="nil"/>
            </w:tcBorders>
          </w:tcPr>
          <w:p w14:paraId="04D1EBCD" w14:textId="77777777" w:rsidR="002367B9" w:rsidRPr="00701945" w:rsidRDefault="002367B9" w:rsidP="002367B9">
            <w:pPr>
              <w:jc w:val="both"/>
            </w:pPr>
            <w:r>
              <w:t>John R. Boyer</w:t>
            </w:r>
          </w:p>
        </w:tc>
        <w:tc>
          <w:tcPr>
            <w:tcW w:w="2511" w:type="dxa"/>
            <w:tcBorders>
              <w:top w:val="nil"/>
              <w:left w:val="nil"/>
              <w:bottom w:val="nil"/>
              <w:right w:val="nil"/>
            </w:tcBorders>
          </w:tcPr>
          <w:p w14:paraId="044FD212" w14:textId="77777777" w:rsidR="002367B9" w:rsidRPr="00701945" w:rsidRDefault="002367B9" w:rsidP="002367B9">
            <w:pPr>
              <w:jc w:val="center"/>
            </w:pPr>
            <w:r>
              <w:t>EU</w:t>
            </w:r>
          </w:p>
        </w:tc>
        <w:tc>
          <w:tcPr>
            <w:tcW w:w="3546" w:type="dxa"/>
            <w:tcBorders>
              <w:top w:val="nil"/>
              <w:left w:val="nil"/>
              <w:bottom w:val="nil"/>
              <w:right w:val="nil"/>
            </w:tcBorders>
          </w:tcPr>
          <w:p w14:paraId="053AB1AB" w14:textId="77777777" w:rsidR="002367B9" w:rsidRPr="00E91E5A" w:rsidRDefault="00E91E5A" w:rsidP="002367B9">
            <w:r>
              <w:rPr>
                <w:color w:val="000000" w:themeColor="text1"/>
              </w:rPr>
              <w:t>1-9</w:t>
            </w:r>
          </w:p>
        </w:tc>
      </w:tr>
      <w:tr w:rsidR="002367B9" w:rsidRPr="00701945" w14:paraId="2D7598A7" w14:textId="77777777" w:rsidTr="0076335E">
        <w:trPr>
          <w:cantSplit/>
          <w:trHeight w:val="362"/>
        </w:trPr>
        <w:tc>
          <w:tcPr>
            <w:tcW w:w="3507" w:type="dxa"/>
            <w:tcBorders>
              <w:top w:val="nil"/>
              <w:left w:val="nil"/>
              <w:bottom w:val="nil"/>
              <w:right w:val="nil"/>
            </w:tcBorders>
          </w:tcPr>
          <w:p w14:paraId="25E4CD9C" w14:textId="77777777" w:rsidR="002367B9" w:rsidRPr="00701945" w:rsidRDefault="002367B9" w:rsidP="002367B9">
            <w:pPr>
              <w:jc w:val="both"/>
            </w:pPr>
            <w:r>
              <w:t>Jonathan H. Cole</w:t>
            </w:r>
          </w:p>
        </w:tc>
        <w:tc>
          <w:tcPr>
            <w:tcW w:w="2511" w:type="dxa"/>
            <w:tcBorders>
              <w:top w:val="nil"/>
              <w:left w:val="nil"/>
              <w:bottom w:val="nil"/>
              <w:right w:val="nil"/>
            </w:tcBorders>
          </w:tcPr>
          <w:p w14:paraId="55B0B023" w14:textId="77777777" w:rsidR="002367B9" w:rsidRPr="00701945" w:rsidRDefault="002367B9" w:rsidP="002367B9">
            <w:pPr>
              <w:jc w:val="center"/>
            </w:pPr>
            <w:r>
              <w:t>EU</w:t>
            </w:r>
          </w:p>
        </w:tc>
        <w:tc>
          <w:tcPr>
            <w:tcW w:w="3546" w:type="dxa"/>
            <w:tcBorders>
              <w:top w:val="nil"/>
              <w:left w:val="nil"/>
              <w:bottom w:val="nil"/>
              <w:right w:val="nil"/>
            </w:tcBorders>
          </w:tcPr>
          <w:p w14:paraId="76622014" w14:textId="77777777" w:rsidR="002367B9" w:rsidRPr="00E91E5A" w:rsidRDefault="00E91E5A" w:rsidP="002367B9">
            <w:r>
              <w:rPr>
                <w:color w:val="000000" w:themeColor="text1"/>
              </w:rPr>
              <w:t>2, and 11</w:t>
            </w:r>
          </w:p>
        </w:tc>
      </w:tr>
      <w:tr w:rsidR="002367B9" w:rsidRPr="00701945" w14:paraId="2058392A" w14:textId="77777777" w:rsidTr="0076335E">
        <w:trPr>
          <w:cantSplit/>
          <w:trHeight w:val="382"/>
        </w:trPr>
        <w:tc>
          <w:tcPr>
            <w:tcW w:w="3507" w:type="dxa"/>
            <w:tcBorders>
              <w:top w:val="nil"/>
              <w:left w:val="nil"/>
              <w:bottom w:val="nil"/>
              <w:right w:val="nil"/>
            </w:tcBorders>
          </w:tcPr>
          <w:p w14:paraId="136DFC0A" w14:textId="77777777" w:rsidR="002367B9" w:rsidRPr="00701945" w:rsidRDefault="002367B9" w:rsidP="002367B9">
            <w:pPr>
              <w:jc w:val="both"/>
            </w:pPr>
            <w:r>
              <w:t>Deborah D. Swain</w:t>
            </w:r>
          </w:p>
        </w:tc>
        <w:tc>
          <w:tcPr>
            <w:tcW w:w="2511" w:type="dxa"/>
            <w:tcBorders>
              <w:top w:val="nil"/>
              <w:left w:val="nil"/>
              <w:bottom w:val="nil"/>
              <w:right w:val="nil"/>
            </w:tcBorders>
          </w:tcPr>
          <w:p w14:paraId="7D6AB60A" w14:textId="77777777" w:rsidR="002367B9" w:rsidRPr="00701945" w:rsidRDefault="002367B9" w:rsidP="002367B9">
            <w:pPr>
              <w:jc w:val="center"/>
            </w:pPr>
            <w:r>
              <w:t>EU</w:t>
            </w:r>
          </w:p>
        </w:tc>
        <w:tc>
          <w:tcPr>
            <w:tcW w:w="3546" w:type="dxa"/>
            <w:tcBorders>
              <w:top w:val="nil"/>
              <w:left w:val="nil"/>
              <w:bottom w:val="nil"/>
              <w:right w:val="nil"/>
            </w:tcBorders>
          </w:tcPr>
          <w:p w14:paraId="01D6967F" w14:textId="77777777" w:rsidR="002367B9" w:rsidRPr="00701945" w:rsidRDefault="00E91E5A" w:rsidP="002367B9">
            <w:r>
              <w:t>10 – 13</w:t>
            </w:r>
          </w:p>
        </w:tc>
      </w:tr>
    </w:tbl>
    <w:p w14:paraId="22B5C330" w14:textId="60185454" w:rsidR="005E102D" w:rsidRDefault="005E102D" w:rsidP="005E102D">
      <w:pPr>
        <w:jc w:val="both"/>
      </w:pPr>
    </w:p>
    <w:p w14:paraId="4C29ABB6" w14:textId="3ED887D2" w:rsidR="00E76A8A" w:rsidRDefault="00E76A8A" w:rsidP="005E102D">
      <w:pPr>
        <w:jc w:val="both"/>
      </w:pPr>
    </w:p>
    <w:p w14:paraId="320DCAFA" w14:textId="77777777" w:rsidR="005E102D" w:rsidRPr="00A32DC5" w:rsidRDefault="005E102D" w:rsidP="005E102D">
      <w:pPr>
        <w:jc w:val="both"/>
        <w:rPr>
          <w:b/>
        </w:rPr>
      </w:pPr>
      <w:r w:rsidRPr="00A32DC5">
        <w:rPr>
          <w:b/>
        </w:rPr>
        <w:t>VII.</w:t>
      </w:r>
      <w:r w:rsidRPr="00A32DC5">
        <w:rPr>
          <w:b/>
        </w:rPr>
        <w:tab/>
      </w:r>
      <w:r w:rsidRPr="00A32DC5">
        <w:rPr>
          <w:b/>
          <w:u w:val="single"/>
        </w:rPr>
        <w:t>BASIC POSITIONS</w:t>
      </w:r>
    </w:p>
    <w:p w14:paraId="563097AF" w14:textId="77777777" w:rsidR="005E102D" w:rsidRPr="00701945" w:rsidRDefault="005E102D" w:rsidP="005E102D">
      <w:pPr>
        <w:jc w:val="both"/>
      </w:pPr>
    </w:p>
    <w:p w14:paraId="2137FDA0" w14:textId="77777777" w:rsidR="002367B9" w:rsidRDefault="002367B9" w:rsidP="005E102D">
      <w:pPr>
        <w:ind w:left="1440" w:hanging="1440"/>
        <w:jc w:val="both"/>
        <w:rPr>
          <w:b/>
          <w:bCs/>
        </w:rPr>
      </w:pPr>
      <w:r>
        <w:rPr>
          <w:b/>
          <w:bCs/>
        </w:rPr>
        <w:t>EU</w:t>
      </w:r>
      <w:r w:rsidR="005E102D" w:rsidRPr="00701945">
        <w:rPr>
          <w:b/>
          <w:bCs/>
        </w:rPr>
        <w:t>:</w:t>
      </w:r>
      <w:r w:rsidR="00436EAC">
        <w:rPr>
          <w:b/>
          <w:bCs/>
        </w:rPr>
        <w:tab/>
      </w:r>
      <w:r w:rsidR="00436EAC">
        <w:rPr>
          <w:bCs/>
        </w:rPr>
        <w:t>The removal of septic tanks from the bridgeless barrier islands and diverting the wastewater flows to a central wastewater treatment plant on the mainland is a priority of Charlotte County as articulated by the County in the Bulk Wastewater Service Agreement entered into with EU, the Sewer Master Plan adopted by the County, and of the State of Florida, and thus is in the public interest. EU has both the financial and technical ability to construct and operate the wastewater system and has otherwise met all Commission requirements for issuance of a wastewater certificate. The rates and charges proposed by EU and just, reasonable, compensatory and not unfairly discriminatory and are in accordance with Commission practice.</w:t>
      </w:r>
    </w:p>
    <w:p w14:paraId="7C09AFEC" w14:textId="77777777" w:rsidR="002367B9" w:rsidRDefault="002367B9" w:rsidP="005E102D">
      <w:pPr>
        <w:ind w:left="1440" w:hanging="1440"/>
        <w:jc w:val="both"/>
        <w:rPr>
          <w:b/>
          <w:bCs/>
        </w:rPr>
      </w:pPr>
    </w:p>
    <w:p w14:paraId="1AAEF7E8" w14:textId="77777777" w:rsidR="00436EAC" w:rsidRDefault="002367B9" w:rsidP="005E102D">
      <w:pPr>
        <w:ind w:left="1440" w:hanging="1440"/>
        <w:jc w:val="both"/>
        <w:rPr>
          <w:b/>
          <w:bCs/>
        </w:rPr>
      </w:pPr>
      <w:r>
        <w:rPr>
          <w:b/>
          <w:bCs/>
        </w:rPr>
        <w:t>PIE:</w:t>
      </w:r>
      <w:r w:rsidR="00436EAC">
        <w:rPr>
          <w:b/>
          <w:bCs/>
        </w:rPr>
        <w:tab/>
      </w:r>
      <w:r w:rsidR="00436EAC">
        <w:t>PIE contends that there is a lack of demonstrable need for sewer services to the Charlotte County bridgeless barrier islands and that the imposition of such service would be contrary to Charlotte County’s development scheme.  PIE further contends that the applicant, Environmental Utilities, LLC, lacks the financial wherewithal and technical ability to be able to operate the utility in accordance with the Florida Statutes and Florida Administrative Code.</w:t>
      </w:r>
    </w:p>
    <w:p w14:paraId="45694CD5" w14:textId="77777777" w:rsidR="00436EAC" w:rsidRDefault="00436EAC" w:rsidP="005E102D">
      <w:pPr>
        <w:ind w:left="1440" w:hanging="1440"/>
        <w:jc w:val="both"/>
        <w:rPr>
          <w:b/>
          <w:bCs/>
        </w:rPr>
      </w:pPr>
    </w:p>
    <w:p w14:paraId="73B56124" w14:textId="77777777" w:rsidR="005E102D" w:rsidRPr="00701945" w:rsidRDefault="00436EAC" w:rsidP="005E102D">
      <w:pPr>
        <w:ind w:left="1440" w:hanging="1440"/>
        <w:jc w:val="both"/>
      </w:pPr>
      <w:r>
        <w:rPr>
          <w:b/>
          <w:bCs/>
        </w:rPr>
        <w:t>OPC:</w:t>
      </w:r>
      <w:r w:rsidR="005E102D" w:rsidRPr="00701945">
        <w:tab/>
      </w:r>
      <w:r w:rsidRPr="00017BFC">
        <w:rPr>
          <w:bCs/>
        </w:rPr>
        <w:t>In considering whether to grant the certificate to provide wastewater service, the Commission should be provided an accurate understanding of the rates and charges that will be imposed. If the certificate is granted, rates imposed for wastewater service should be compensatory, supported by accurate estimates and calculations, and meet the Commission standards of being fair, just and reasonable</w:t>
      </w:r>
      <w:r>
        <w:rPr>
          <w:bCs/>
        </w:rPr>
        <w:t>.</w:t>
      </w:r>
    </w:p>
    <w:p w14:paraId="105C9326" w14:textId="77777777" w:rsidR="005E102D" w:rsidRPr="00701945" w:rsidRDefault="005E102D" w:rsidP="005E102D">
      <w:pPr>
        <w:jc w:val="both"/>
      </w:pPr>
    </w:p>
    <w:p w14:paraId="7EA5290F" w14:textId="2C3C64CC" w:rsidR="00E522CE" w:rsidRDefault="00436EAC" w:rsidP="00E522CE">
      <w:pPr>
        <w:ind w:left="2160" w:hanging="2160"/>
        <w:jc w:val="both"/>
        <w:rPr>
          <w:color w:val="000000" w:themeColor="text1"/>
        </w:rPr>
      </w:pPr>
      <w:r w:rsidRPr="007F0FDA">
        <w:rPr>
          <w:b/>
          <w:bCs/>
          <w:sz w:val="18"/>
          <w:szCs w:val="18"/>
        </w:rPr>
        <w:t>COTHERMAN</w:t>
      </w:r>
      <w:r w:rsidR="005E102D" w:rsidRPr="007F0FDA">
        <w:rPr>
          <w:b/>
          <w:bCs/>
          <w:sz w:val="18"/>
          <w:szCs w:val="18"/>
        </w:rPr>
        <w:t>:</w:t>
      </w:r>
      <w:r w:rsidR="00D71548">
        <w:t xml:space="preserve">   </w:t>
      </w:r>
      <w:r>
        <w:rPr>
          <w:color w:val="000000" w:themeColor="text1"/>
        </w:rPr>
        <w:t xml:space="preserve">Linda Cotherman’s position is that the application for certification of the service </w:t>
      </w:r>
    </w:p>
    <w:p w14:paraId="30E06032" w14:textId="77777777" w:rsidR="00D71548" w:rsidRDefault="00436EAC" w:rsidP="00E522CE">
      <w:pPr>
        <w:ind w:left="2160" w:hanging="720"/>
        <w:jc w:val="both"/>
        <w:rPr>
          <w:color w:val="000000" w:themeColor="text1"/>
        </w:rPr>
      </w:pPr>
      <w:r>
        <w:rPr>
          <w:color w:val="000000" w:themeColor="text1"/>
        </w:rPr>
        <w:t xml:space="preserve">area should be denied. The applicant has not demonstrated a need for service, nor </w:t>
      </w:r>
    </w:p>
    <w:p w14:paraId="6C096B7B" w14:textId="77777777" w:rsidR="00D71548" w:rsidRDefault="00436EAC" w:rsidP="00E522CE">
      <w:pPr>
        <w:ind w:left="2160" w:hanging="720"/>
        <w:jc w:val="both"/>
        <w:rPr>
          <w:color w:val="000000" w:themeColor="text1"/>
        </w:rPr>
      </w:pPr>
      <w:r>
        <w:rPr>
          <w:color w:val="000000" w:themeColor="text1"/>
        </w:rPr>
        <w:t xml:space="preserve">has he provided evidence of same. The applicant has not shown the financial or </w:t>
      </w:r>
    </w:p>
    <w:p w14:paraId="583DF175" w14:textId="77777777" w:rsidR="00D71548" w:rsidRDefault="00436EAC" w:rsidP="00E522CE">
      <w:pPr>
        <w:ind w:left="2160" w:hanging="720"/>
        <w:jc w:val="both"/>
        <w:rPr>
          <w:color w:val="000000" w:themeColor="text1"/>
        </w:rPr>
      </w:pPr>
      <w:r>
        <w:rPr>
          <w:color w:val="000000" w:themeColor="text1"/>
        </w:rPr>
        <w:t xml:space="preserve">technical ability to construct, operate and maintain a project of this scope. Since </w:t>
      </w:r>
    </w:p>
    <w:p w14:paraId="2B38ECAF" w14:textId="77777777" w:rsidR="00D71548" w:rsidRDefault="00436EAC" w:rsidP="00E522CE">
      <w:pPr>
        <w:ind w:left="2160" w:hanging="720"/>
        <w:jc w:val="both"/>
        <w:rPr>
          <w:color w:val="000000" w:themeColor="text1"/>
        </w:rPr>
      </w:pPr>
      <w:r>
        <w:rPr>
          <w:color w:val="000000" w:themeColor="text1"/>
        </w:rPr>
        <w:t xml:space="preserve">all costs have not yet been established by the applicant, the estimates of rates and </w:t>
      </w:r>
    </w:p>
    <w:p w14:paraId="4A85D007" w14:textId="7585DB3F" w:rsidR="005E102D" w:rsidRPr="005D4B47" w:rsidRDefault="00436EAC" w:rsidP="00E522CE">
      <w:pPr>
        <w:ind w:left="2160" w:hanging="720"/>
        <w:jc w:val="both"/>
      </w:pPr>
      <w:r>
        <w:rPr>
          <w:color w:val="000000" w:themeColor="text1"/>
        </w:rPr>
        <w:t>charges associated with the project may be grossly inaccurate.</w:t>
      </w:r>
    </w:p>
    <w:p w14:paraId="0A8A715E" w14:textId="77777777" w:rsidR="005E102D" w:rsidRPr="00701945" w:rsidRDefault="005E102D" w:rsidP="005E102D">
      <w:pPr>
        <w:jc w:val="both"/>
      </w:pPr>
    </w:p>
    <w:p w14:paraId="7C2BC7EF" w14:textId="77777777" w:rsidR="005E102D" w:rsidRDefault="005E102D" w:rsidP="005E102D">
      <w:pPr>
        <w:ind w:left="1440" w:hanging="1440"/>
        <w:jc w:val="both"/>
      </w:pPr>
      <w:r w:rsidRPr="005D4B47">
        <w:rPr>
          <w:b/>
          <w:bCs/>
        </w:rPr>
        <w:lastRenderedPageBreak/>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436EAC">
        <w:t xml:space="preserve"> stated herein.</w:t>
      </w:r>
      <w:r w:rsidRPr="00701945">
        <w:t xml:space="preserve">.  </w:t>
      </w:r>
    </w:p>
    <w:p w14:paraId="36A22325" w14:textId="77777777" w:rsidR="005E102D" w:rsidRDefault="005E102D" w:rsidP="005E102D">
      <w:pPr>
        <w:ind w:left="1440" w:hanging="1440"/>
        <w:jc w:val="both"/>
      </w:pPr>
    </w:p>
    <w:p w14:paraId="052B1E15" w14:textId="77777777" w:rsidR="005E102D" w:rsidRPr="00701945" w:rsidRDefault="005E102D" w:rsidP="005E102D">
      <w:pPr>
        <w:ind w:left="1440" w:hanging="1440"/>
        <w:jc w:val="both"/>
      </w:pPr>
    </w:p>
    <w:p w14:paraId="622DC4B9" w14:textId="77777777" w:rsidR="005E102D" w:rsidRPr="00A32DC5" w:rsidRDefault="005E102D" w:rsidP="005E102D">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10E0D6C9" w14:textId="77777777" w:rsidR="005E102D" w:rsidRDefault="005E102D" w:rsidP="005E102D">
      <w:pPr>
        <w:jc w:val="both"/>
      </w:pPr>
    </w:p>
    <w:p w14:paraId="1C9C8DE0" w14:textId="77777777" w:rsidR="005E102D" w:rsidRPr="00701945" w:rsidRDefault="005E102D" w:rsidP="00314E46">
      <w:pPr>
        <w:ind w:left="1440" w:hanging="1440"/>
        <w:jc w:val="both"/>
      </w:pPr>
      <w:r w:rsidRPr="00314E46">
        <w:rPr>
          <w:b/>
          <w:bCs/>
          <w:u w:val="single"/>
        </w:rPr>
        <w:t>ISSUE 1</w:t>
      </w:r>
      <w:r w:rsidRPr="00701945">
        <w:rPr>
          <w:b/>
          <w:bCs/>
        </w:rPr>
        <w:t>:</w:t>
      </w:r>
      <w:r w:rsidR="00314E46">
        <w:rPr>
          <w:b/>
          <w:bCs/>
        </w:rPr>
        <w:tab/>
      </w:r>
      <w:r w:rsidR="00314E46" w:rsidRPr="00314E46">
        <w:rPr>
          <w:b/>
        </w:rPr>
        <w:t>Has Environmental Utilities met the filing and noticing requirements pursuant to Rules 25-30.030 and 25-30.033, Florida Administrative Code?</w:t>
      </w:r>
      <w:r w:rsidRPr="00701945">
        <w:tab/>
      </w:r>
    </w:p>
    <w:p w14:paraId="3CFB8E56" w14:textId="77777777" w:rsidR="005E102D" w:rsidRPr="00701945" w:rsidRDefault="005E102D" w:rsidP="005E102D">
      <w:pPr>
        <w:jc w:val="both"/>
      </w:pPr>
    </w:p>
    <w:p w14:paraId="1990496B" w14:textId="77777777" w:rsidR="00314E46" w:rsidRDefault="00314E46" w:rsidP="005E102D">
      <w:pPr>
        <w:jc w:val="both"/>
        <w:rPr>
          <w:b/>
          <w:bCs/>
        </w:rPr>
      </w:pPr>
      <w:r>
        <w:rPr>
          <w:b/>
          <w:bCs/>
        </w:rPr>
        <w:t>EU</w:t>
      </w:r>
      <w:r w:rsidR="005E102D" w:rsidRPr="005D4B47">
        <w:rPr>
          <w:b/>
          <w:bCs/>
        </w:rPr>
        <w:t>:</w:t>
      </w:r>
      <w:r w:rsidR="00891BA4">
        <w:rPr>
          <w:b/>
          <w:bCs/>
        </w:rPr>
        <w:tab/>
      </w:r>
      <w:r w:rsidR="00891BA4">
        <w:rPr>
          <w:b/>
          <w:bCs/>
        </w:rPr>
        <w:tab/>
      </w:r>
      <w:r w:rsidR="00891BA4">
        <w:t>Yes.</w:t>
      </w:r>
    </w:p>
    <w:p w14:paraId="4F5D4EFC" w14:textId="77777777" w:rsidR="00314E46" w:rsidRDefault="00314E46" w:rsidP="005E102D">
      <w:pPr>
        <w:jc w:val="both"/>
        <w:rPr>
          <w:b/>
          <w:bCs/>
        </w:rPr>
      </w:pPr>
    </w:p>
    <w:p w14:paraId="49ABED77" w14:textId="77777777" w:rsidR="00314E46" w:rsidRDefault="00314E46" w:rsidP="00250FB8">
      <w:pPr>
        <w:ind w:left="1440" w:hanging="1440"/>
        <w:jc w:val="both"/>
        <w:rPr>
          <w:b/>
          <w:bCs/>
        </w:rPr>
      </w:pPr>
      <w:r>
        <w:rPr>
          <w:b/>
          <w:bCs/>
        </w:rPr>
        <w:t>PIE:</w:t>
      </w:r>
      <w:r w:rsidR="00250FB8">
        <w:rPr>
          <w:b/>
          <w:bCs/>
        </w:rPr>
        <w:tab/>
      </w:r>
      <w:r w:rsidR="00250FB8">
        <w:t>PIE has no position on this issue of compliance with F.A.C. 25-30.030 but believes the application is not in compliance with Section 25-30.033, Florida Administrative Code, as the application lacks mandatory information (e.g., no tariffs and rates included in the application).  It is expected that Jack Boyer and/or the Corporate Representative of Environmental Utilities, LLC will testify on this topic area.</w:t>
      </w:r>
    </w:p>
    <w:p w14:paraId="63C1D8DA" w14:textId="77777777" w:rsidR="00314E46" w:rsidRDefault="00314E46" w:rsidP="005E102D">
      <w:pPr>
        <w:jc w:val="both"/>
        <w:rPr>
          <w:b/>
          <w:bCs/>
        </w:rPr>
      </w:pPr>
    </w:p>
    <w:p w14:paraId="1EA90F3F" w14:textId="77777777" w:rsidR="00314E46" w:rsidRDefault="00314E46" w:rsidP="005E102D">
      <w:pPr>
        <w:jc w:val="both"/>
        <w:rPr>
          <w:b/>
          <w:bCs/>
        </w:rPr>
      </w:pPr>
      <w:r>
        <w:rPr>
          <w:b/>
          <w:bCs/>
        </w:rPr>
        <w:t>OPC:</w:t>
      </w:r>
      <w:r w:rsidR="006C5392">
        <w:rPr>
          <w:b/>
          <w:bCs/>
        </w:rPr>
        <w:tab/>
      </w:r>
      <w:r w:rsidR="006C5392">
        <w:rPr>
          <w:b/>
          <w:bCs/>
        </w:rPr>
        <w:tab/>
      </w:r>
      <w:r w:rsidR="006C5392">
        <w:t>No position.</w:t>
      </w:r>
    </w:p>
    <w:p w14:paraId="56BA9484" w14:textId="77777777" w:rsidR="00314E46" w:rsidRDefault="00314E46" w:rsidP="005E102D">
      <w:pPr>
        <w:jc w:val="both"/>
        <w:rPr>
          <w:b/>
          <w:bCs/>
        </w:rPr>
      </w:pPr>
    </w:p>
    <w:p w14:paraId="1A508560" w14:textId="199ABFED" w:rsidR="00D71548" w:rsidRDefault="00314E46" w:rsidP="006C5392">
      <w:pPr>
        <w:tabs>
          <w:tab w:val="left" w:pos="0"/>
        </w:tabs>
        <w:ind w:left="2160" w:hanging="2160"/>
        <w:jc w:val="both"/>
        <w:rPr>
          <w:color w:val="000000" w:themeColor="text1"/>
        </w:rPr>
      </w:pPr>
      <w:r w:rsidRPr="007F0FDA">
        <w:rPr>
          <w:b/>
          <w:bCs/>
          <w:sz w:val="18"/>
          <w:szCs w:val="18"/>
        </w:rPr>
        <w:t>COTHERMAN:</w:t>
      </w:r>
      <w:r w:rsidR="00D71548">
        <w:rPr>
          <w:b/>
          <w:bCs/>
        </w:rPr>
        <w:t xml:space="preserve">   </w:t>
      </w:r>
      <w:r w:rsidR="006C5392">
        <w:t xml:space="preserve">No. </w:t>
      </w:r>
      <w:r w:rsidR="006C5392">
        <w:rPr>
          <w:color w:val="000000" w:themeColor="text1"/>
        </w:rPr>
        <w:t xml:space="preserve">Linda Cotherman’s position is that EU has not met the filing and noticing </w:t>
      </w:r>
    </w:p>
    <w:p w14:paraId="4EE0615F" w14:textId="215772CD" w:rsidR="006C5392" w:rsidRDefault="00D71548" w:rsidP="006C5392">
      <w:pPr>
        <w:tabs>
          <w:tab w:val="left" w:pos="0"/>
        </w:tabs>
        <w:ind w:left="2160" w:hanging="2160"/>
        <w:jc w:val="both"/>
        <w:rPr>
          <w:color w:val="000000" w:themeColor="text1"/>
        </w:rPr>
      </w:pPr>
      <w:r>
        <w:rPr>
          <w:color w:val="000000" w:themeColor="text1"/>
        </w:rPr>
        <w:t xml:space="preserve">                        </w:t>
      </w:r>
      <w:r w:rsidR="006C5392">
        <w:rPr>
          <w:color w:val="000000" w:themeColor="text1"/>
        </w:rPr>
        <w:t xml:space="preserve">requirements based </w:t>
      </w:r>
      <w:r w:rsidR="006C5392">
        <w:t xml:space="preserve">in part </w:t>
      </w:r>
      <w:r w:rsidR="006C5392">
        <w:rPr>
          <w:color w:val="000000" w:themeColor="text1"/>
        </w:rPr>
        <w:t>on the following:</w:t>
      </w:r>
    </w:p>
    <w:p w14:paraId="1104560D" w14:textId="77777777" w:rsidR="006C5392" w:rsidRDefault="006C5392" w:rsidP="006C5392">
      <w:pPr>
        <w:tabs>
          <w:tab w:val="left" w:pos="0"/>
        </w:tabs>
        <w:jc w:val="both"/>
        <w:rPr>
          <w:color w:val="000000" w:themeColor="text1"/>
        </w:rPr>
      </w:pPr>
    </w:p>
    <w:p w14:paraId="6E65F0B5" w14:textId="77777777" w:rsidR="00314E46" w:rsidRPr="006C5392" w:rsidRDefault="006C5392" w:rsidP="006C5392">
      <w:pPr>
        <w:pStyle w:val="ListParagraph"/>
        <w:numPr>
          <w:ilvl w:val="0"/>
          <w:numId w:val="2"/>
        </w:numPr>
        <w:jc w:val="both"/>
        <w:rPr>
          <w:b/>
          <w:bCs/>
        </w:rPr>
      </w:pPr>
      <w:r w:rsidRPr="00C31FC7">
        <w:t>The notice of application and initial rates and charges for wastewater service that was published in the newspaper on December 18</w:t>
      </w:r>
      <w:r w:rsidRPr="006C5392">
        <w:rPr>
          <w:vertAlign w:val="superscript"/>
        </w:rPr>
        <w:t>th</w:t>
      </w:r>
      <w:r w:rsidRPr="00C31FC7">
        <w:t>, 2020, stated that the tariffs and rates were included in the application.</w:t>
      </w:r>
      <w:r>
        <w:t xml:space="preserve"> </w:t>
      </w:r>
      <w:r w:rsidRPr="00C31FC7">
        <w:t>However, they were not included and not available to the potential ratepayers until June 18</w:t>
      </w:r>
      <w:r w:rsidRPr="006C5392">
        <w:rPr>
          <w:vertAlign w:val="superscript"/>
        </w:rPr>
        <w:t>th</w:t>
      </w:r>
      <w:r w:rsidRPr="00C31FC7">
        <w:t>, 2020.</w:t>
      </w:r>
    </w:p>
    <w:p w14:paraId="57D0549A" w14:textId="77777777" w:rsidR="00314E46" w:rsidRDefault="00314E46" w:rsidP="005E102D">
      <w:pPr>
        <w:jc w:val="both"/>
        <w:rPr>
          <w:b/>
          <w:bCs/>
        </w:rPr>
      </w:pPr>
    </w:p>
    <w:p w14:paraId="6E4A73BB" w14:textId="77777777" w:rsidR="00314E46" w:rsidRDefault="00314E46" w:rsidP="005E102D">
      <w:pPr>
        <w:jc w:val="both"/>
        <w:rPr>
          <w:b/>
          <w:bCs/>
        </w:rPr>
      </w:pPr>
      <w:r>
        <w:rPr>
          <w:b/>
          <w:bCs/>
        </w:rPr>
        <w:t>STAFF:</w:t>
      </w:r>
      <w:r w:rsidR="0076335E">
        <w:rPr>
          <w:b/>
          <w:bCs/>
        </w:rPr>
        <w:tab/>
      </w:r>
      <w:r w:rsidR="0076335E" w:rsidRPr="00B54C4C">
        <w:t xml:space="preserve">Staff has no position </w:t>
      </w:r>
      <w:r w:rsidR="0076335E">
        <w:t>at this time.</w:t>
      </w:r>
    </w:p>
    <w:p w14:paraId="3946BA54" w14:textId="77777777" w:rsidR="00314E46" w:rsidRDefault="00314E46" w:rsidP="005E102D">
      <w:pPr>
        <w:jc w:val="both"/>
        <w:rPr>
          <w:b/>
          <w:bCs/>
        </w:rPr>
      </w:pPr>
    </w:p>
    <w:p w14:paraId="696709D8" w14:textId="77777777" w:rsidR="00314E46" w:rsidRDefault="00314E46" w:rsidP="005E102D">
      <w:pPr>
        <w:jc w:val="both"/>
        <w:rPr>
          <w:b/>
          <w:bCs/>
        </w:rPr>
      </w:pPr>
    </w:p>
    <w:p w14:paraId="30F1A1CD" w14:textId="77777777" w:rsidR="005E102D" w:rsidRPr="005D4B47" w:rsidRDefault="00314E46" w:rsidP="00314E46">
      <w:pPr>
        <w:ind w:left="1440" w:hanging="1440"/>
        <w:jc w:val="both"/>
      </w:pPr>
      <w:r w:rsidRPr="00314E46">
        <w:rPr>
          <w:b/>
          <w:bCs/>
          <w:u w:val="single"/>
        </w:rPr>
        <w:t xml:space="preserve">ISSUE </w:t>
      </w:r>
      <w:r>
        <w:rPr>
          <w:b/>
          <w:bCs/>
          <w:u w:val="single"/>
        </w:rPr>
        <w:t>2</w:t>
      </w:r>
      <w:r>
        <w:rPr>
          <w:b/>
          <w:bCs/>
        </w:rPr>
        <w:t>:</w:t>
      </w:r>
      <w:r>
        <w:rPr>
          <w:b/>
          <w:bCs/>
        </w:rPr>
        <w:tab/>
      </w:r>
      <w:r w:rsidRPr="00314E46">
        <w:rPr>
          <w:b/>
        </w:rPr>
        <w:t>Is there a need for service in Environmental Utilities’ proposed service territory and, if so, when will service be required?</w:t>
      </w:r>
      <w:r w:rsidR="005E102D" w:rsidRPr="005D4B47">
        <w:tab/>
      </w:r>
    </w:p>
    <w:p w14:paraId="40D8F264" w14:textId="77777777" w:rsidR="005E102D" w:rsidRPr="00701945" w:rsidRDefault="005E102D" w:rsidP="005E102D">
      <w:pPr>
        <w:jc w:val="both"/>
      </w:pPr>
    </w:p>
    <w:p w14:paraId="5DD7B3A7" w14:textId="77777777" w:rsidR="00314E46" w:rsidRDefault="00314E46" w:rsidP="00891BA4">
      <w:pPr>
        <w:ind w:left="1440" w:hanging="1440"/>
        <w:jc w:val="both"/>
        <w:rPr>
          <w:b/>
          <w:bCs/>
        </w:rPr>
      </w:pPr>
      <w:r>
        <w:rPr>
          <w:b/>
          <w:bCs/>
        </w:rPr>
        <w:t>EU</w:t>
      </w:r>
      <w:r w:rsidRPr="005D4B47">
        <w:rPr>
          <w:b/>
          <w:bCs/>
        </w:rPr>
        <w:t>:</w:t>
      </w:r>
      <w:r w:rsidR="00891BA4">
        <w:rPr>
          <w:b/>
          <w:bCs/>
        </w:rPr>
        <w:tab/>
      </w:r>
      <w:r w:rsidR="00891BA4">
        <w:rPr>
          <w:rFonts w:eastAsia="Calibri"/>
        </w:rPr>
        <w:t>Yes. Central wastewater service is needed at this time and the Charlotte County Master Sewer Plan identifies the islands as a priority for central wastewater service by 2022. EU expects to have the wastewater system operational by the end of 2023.</w:t>
      </w:r>
    </w:p>
    <w:p w14:paraId="3713F8E4" w14:textId="77777777" w:rsidR="00314E46" w:rsidRDefault="00314E46" w:rsidP="00314E46">
      <w:pPr>
        <w:jc w:val="both"/>
        <w:rPr>
          <w:b/>
          <w:bCs/>
        </w:rPr>
      </w:pPr>
    </w:p>
    <w:p w14:paraId="144019E6" w14:textId="72872C5F" w:rsidR="00314E46" w:rsidRDefault="00314E46" w:rsidP="00250FB8">
      <w:pPr>
        <w:ind w:left="1440" w:hanging="1440"/>
        <w:jc w:val="both"/>
        <w:rPr>
          <w:b/>
          <w:bCs/>
        </w:rPr>
      </w:pPr>
      <w:r>
        <w:rPr>
          <w:b/>
          <w:bCs/>
        </w:rPr>
        <w:t>PIE:</w:t>
      </w:r>
      <w:r w:rsidR="00250FB8">
        <w:rPr>
          <w:b/>
          <w:bCs/>
        </w:rPr>
        <w:tab/>
      </w:r>
      <w:r w:rsidR="00250FB8">
        <w:t xml:space="preserve">PIE’s position on this issue is that the applicant has not established a need for service on the bridgeless barrier islands of Charlotte County.  Ellen Hardgrove, AICP and Robert H. Weisberg, Ph.D., are expected to testify on this issue and </w:t>
      </w:r>
      <w:r w:rsidR="00250FB8">
        <w:lastRenderedPageBreak/>
        <w:t xml:space="preserve">have set forth, in their prefiled testimony and exhibits, that there is a lack of need (per the comprehensive plan and a lack of scientific data) to justify Environmental Utilities, LLC’s receipt of a Certificate of Authorization.  It is expected that Ms. Hardgrove will also testify that a comprehensive plan amendment will be needed to effectuate the Certificate of Authorization if approved. </w:t>
      </w:r>
      <w:r w:rsidR="0044313A">
        <w:t>PIE’s position is that t</w:t>
      </w:r>
      <w:r w:rsidR="00250FB8">
        <w:t>he proposed utility service is inconsistent with the Charlotte County Comprehensive Plan and that the Sewer Master Plan has been extrapolated to apply to the bridgeless barrier islands based upon inapplicable data.  Ellen Hardgrove, AICP and Robert Weisberg, Ph.D., are expected to testify on this issue.  It is expected that Ms. Hardgrove will also testify that a comprehensive plan amendment will be needed to effectuate the Certificate of Authorization if approved.</w:t>
      </w:r>
    </w:p>
    <w:p w14:paraId="7A2E4293" w14:textId="77777777" w:rsidR="00314E46" w:rsidRDefault="00314E46" w:rsidP="00314E46">
      <w:pPr>
        <w:jc w:val="both"/>
        <w:rPr>
          <w:b/>
          <w:bCs/>
        </w:rPr>
      </w:pPr>
    </w:p>
    <w:p w14:paraId="5BBD002E" w14:textId="77777777" w:rsidR="00314E46" w:rsidRDefault="00314E46" w:rsidP="00314E46">
      <w:pPr>
        <w:jc w:val="both"/>
        <w:rPr>
          <w:b/>
          <w:bCs/>
        </w:rPr>
      </w:pPr>
      <w:r>
        <w:rPr>
          <w:b/>
          <w:bCs/>
        </w:rPr>
        <w:t>OPC:</w:t>
      </w:r>
      <w:r w:rsidR="006C5392">
        <w:rPr>
          <w:b/>
          <w:bCs/>
        </w:rPr>
        <w:tab/>
      </w:r>
      <w:r w:rsidR="006C5392">
        <w:rPr>
          <w:b/>
          <w:bCs/>
        </w:rPr>
        <w:tab/>
      </w:r>
      <w:r w:rsidR="006C5392">
        <w:t>No position.</w:t>
      </w:r>
    </w:p>
    <w:p w14:paraId="7CBCCB6F" w14:textId="77777777" w:rsidR="00314E46" w:rsidRDefault="00314E46" w:rsidP="00314E46">
      <w:pPr>
        <w:jc w:val="both"/>
        <w:rPr>
          <w:b/>
          <w:bCs/>
        </w:rPr>
      </w:pPr>
    </w:p>
    <w:p w14:paraId="1AAE25CA" w14:textId="77777777" w:rsidR="00D71548" w:rsidRDefault="00314E46" w:rsidP="006C5392">
      <w:pPr>
        <w:ind w:left="2160" w:hanging="2160"/>
        <w:jc w:val="both"/>
        <w:rPr>
          <w:color w:val="000000" w:themeColor="text1"/>
        </w:rPr>
      </w:pPr>
      <w:r w:rsidRPr="007F0FDA">
        <w:rPr>
          <w:b/>
          <w:bCs/>
          <w:sz w:val="18"/>
          <w:szCs w:val="18"/>
        </w:rPr>
        <w:t>COTHERMAN:</w:t>
      </w:r>
      <w:r w:rsidR="00D71548">
        <w:rPr>
          <w:b/>
          <w:bCs/>
          <w:sz w:val="18"/>
          <w:szCs w:val="18"/>
        </w:rPr>
        <w:t xml:space="preserve">   </w:t>
      </w:r>
      <w:r w:rsidR="006C5392" w:rsidRPr="00732DCB">
        <w:rPr>
          <w:color w:val="000000" w:themeColor="text1"/>
        </w:rPr>
        <w:t xml:space="preserve">No. </w:t>
      </w:r>
      <w:r w:rsidR="006C5392">
        <w:rPr>
          <w:color w:val="000000" w:themeColor="text1"/>
        </w:rPr>
        <w:t xml:space="preserve">Linda Cotherman’s position is that there is no need for service in the proposed </w:t>
      </w:r>
    </w:p>
    <w:p w14:paraId="71D562A6" w14:textId="0F978F0C" w:rsidR="006C5392" w:rsidRDefault="006C5392" w:rsidP="00D71548">
      <w:pPr>
        <w:ind w:left="2160" w:hanging="720"/>
        <w:jc w:val="both"/>
        <w:rPr>
          <w:color w:val="000000" w:themeColor="text1"/>
        </w:rPr>
      </w:pPr>
      <w:r>
        <w:rPr>
          <w:color w:val="000000" w:themeColor="text1"/>
        </w:rPr>
        <w:t xml:space="preserve">service territory, based </w:t>
      </w:r>
      <w:r>
        <w:t xml:space="preserve">in part </w:t>
      </w:r>
      <w:r>
        <w:rPr>
          <w:color w:val="000000" w:themeColor="text1"/>
        </w:rPr>
        <w:t>on the following:</w:t>
      </w:r>
    </w:p>
    <w:p w14:paraId="223667ED" w14:textId="77777777" w:rsidR="006C5392" w:rsidRDefault="006C5392" w:rsidP="006C5392">
      <w:pPr>
        <w:jc w:val="both"/>
        <w:rPr>
          <w:color w:val="000000" w:themeColor="text1"/>
        </w:rPr>
      </w:pPr>
    </w:p>
    <w:p w14:paraId="1C3DBF0C" w14:textId="77777777" w:rsidR="006C5392" w:rsidRPr="000B0FD6" w:rsidRDefault="006C5392" w:rsidP="006C5392">
      <w:pPr>
        <w:pStyle w:val="ListParagraph"/>
        <w:numPr>
          <w:ilvl w:val="0"/>
          <w:numId w:val="3"/>
        </w:numPr>
        <w:jc w:val="both"/>
        <w:rPr>
          <w:color w:val="000000" w:themeColor="text1"/>
        </w:rPr>
      </w:pPr>
      <w:r w:rsidRPr="00C31FC7">
        <w:rPr>
          <w:color w:val="000000" w:themeColor="text1"/>
        </w:rPr>
        <w:t xml:space="preserve">The applicant’s reference to </w:t>
      </w:r>
      <w:r w:rsidRPr="00C31FC7">
        <w:t>need for service relies solely upon selective items from the Sewer Master Plan which are outdated, incorrect and misinterpreted.</w:t>
      </w:r>
    </w:p>
    <w:p w14:paraId="07D701EF" w14:textId="77777777" w:rsidR="000B0FD6" w:rsidRPr="000B0FD6" w:rsidRDefault="000B0FD6" w:rsidP="000B0FD6">
      <w:pPr>
        <w:jc w:val="both"/>
        <w:rPr>
          <w:color w:val="000000" w:themeColor="text1"/>
        </w:rPr>
      </w:pPr>
    </w:p>
    <w:p w14:paraId="5E71E7BE" w14:textId="77777777" w:rsidR="006C5392" w:rsidRDefault="006C5392" w:rsidP="006C5392">
      <w:pPr>
        <w:pStyle w:val="ListParagraph"/>
        <w:numPr>
          <w:ilvl w:val="0"/>
          <w:numId w:val="3"/>
        </w:numPr>
        <w:jc w:val="both"/>
        <w:rPr>
          <w:color w:val="000000" w:themeColor="text1"/>
        </w:rPr>
      </w:pPr>
      <w:r w:rsidRPr="001C3A42">
        <w:rPr>
          <w:color w:val="000000" w:themeColor="text1"/>
        </w:rPr>
        <w:t>The number of customers proposed to be served by customer class and meter size, including the types of customers needed to be served, has not been provided in the application as required.</w:t>
      </w:r>
    </w:p>
    <w:p w14:paraId="52D44D86" w14:textId="77777777" w:rsidR="000B0FD6" w:rsidRPr="000B0FD6" w:rsidRDefault="000B0FD6" w:rsidP="000B0FD6">
      <w:pPr>
        <w:pStyle w:val="ListParagraph"/>
        <w:rPr>
          <w:color w:val="000000" w:themeColor="text1"/>
        </w:rPr>
      </w:pPr>
    </w:p>
    <w:p w14:paraId="35AEDDEE" w14:textId="77777777" w:rsidR="006C5392" w:rsidRDefault="006C5392" w:rsidP="006C5392">
      <w:pPr>
        <w:pStyle w:val="ListParagraph"/>
        <w:numPr>
          <w:ilvl w:val="0"/>
          <w:numId w:val="3"/>
        </w:numPr>
        <w:jc w:val="both"/>
        <w:rPr>
          <w:color w:val="000000" w:themeColor="text1"/>
        </w:rPr>
      </w:pPr>
      <w:r w:rsidRPr="001C3A42">
        <w:rPr>
          <w:color w:val="000000" w:themeColor="text1"/>
        </w:rPr>
        <w:t>No letters of request for service from property owners or developers in the proposed service area have been produced</w:t>
      </w:r>
      <w:r>
        <w:rPr>
          <w:color w:val="000000" w:themeColor="text1"/>
        </w:rPr>
        <w:t>.</w:t>
      </w:r>
    </w:p>
    <w:p w14:paraId="1084BB8C" w14:textId="77777777" w:rsidR="000B0FD6" w:rsidRPr="000B0FD6" w:rsidRDefault="000B0FD6" w:rsidP="000B0FD6">
      <w:pPr>
        <w:pStyle w:val="ListParagraph"/>
        <w:rPr>
          <w:color w:val="000000" w:themeColor="text1"/>
        </w:rPr>
      </w:pPr>
    </w:p>
    <w:p w14:paraId="4F1B934B" w14:textId="77777777" w:rsidR="006C5392" w:rsidRDefault="006C5392" w:rsidP="006C5392">
      <w:pPr>
        <w:pStyle w:val="ListParagraph"/>
        <w:numPr>
          <w:ilvl w:val="0"/>
          <w:numId w:val="3"/>
        </w:numPr>
        <w:jc w:val="both"/>
        <w:rPr>
          <w:color w:val="000000" w:themeColor="text1"/>
        </w:rPr>
      </w:pPr>
      <w:r w:rsidRPr="001C3A42">
        <w:rPr>
          <w:color w:val="000000" w:themeColor="text1"/>
        </w:rPr>
        <w:t xml:space="preserve">The application is inconsistent with </w:t>
      </w:r>
      <w:r>
        <w:rPr>
          <w:color w:val="000000" w:themeColor="text1"/>
        </w:rPr>
        <w:t xml:space="preserve">several </w:t>
      </w:r>
      <w:r w:rsidRPr="001C3A42">
        <w:rPr>
          <w:color w:val="000000" w:themeColor="text1"/>
        </w:rPr>
        <w:t>government regulations</w:t>
      </w:r>
      <w:r>
        <w:rPr>
          <w:color w:val="000000" w:themeColor="text1"/>
        </w:rPr>
        <w:t xml:space="preserve">, including the </w:t>
      </w:r>
      <w:r w:rsidRPr="001C3A42">
        <w:rPr>
          <w:color w:val="000000" w:themeColor="text1"/>
        </w:rPr>
        <w:t>Charlotte County Comprehensive Plan and</w:t>
      </w:r>
      <w:r>
        <w:rPr>
          <w:color w:val="000000" w:themeColor="text1"/>
        </w:rPr>
        <w:t xml:space="preserve"> </w:t>
      </w:r>
      <w:r w:rsidRPr="001C3A42">
        <w:rPr>
          <w:color w:val="000000" w:themeColor="text1"/>
        </w:rPr>
        <w:t>Executive Order 81-105</w:t>
      </w:r>
      <w:r>
        <w:rPr>
          <w:color w:val="000000" w:themeColor="text1"/>
        </w:rPr>
        <w:t>. In addition, the application is inconsistent with Charlotte County’s Sewer Master Plan.</w:t>
      </w:r>
    </w:p>
    <w:p w14:paraId="6FEE8F3E" w14:textId="77777777" w:rsidR="000B0FD6" w:rsidRPr="000B0FD6" w:rsidRDefault="000B0FD6" w:rsidP="000B0FD6">
      <w:pPr>
        <w:pStyle w:val="ListParagraph"/>
        <w:rPr>
          <w:color w:val="000000" w:themeColor="text1"/>
        </w:rPr>
      </w:pPr>
    </w:p>
    <w:p w14:paraId="2DFA260D" w14:textId="77777777" w:rsidR="006C5392" w:rsidRDefault="006C5392" w:rsidP="006C5392">
      <w:pPr>
        <w:pStyle w:val="ListParagraph"/>
        <w:numPr>
          <w:ilvl w:val="0"/>
          <w:numId w:val="3"/>
        </w:numPr>
        <w:jc w:val="both"/>
        <w:rPr>
          <w:color w:val="000000" w:themeColor="text1"/>
        </w:rPr>
      </w:pPr>
      <w:r w:rsidRPr="001C3A42">
        <w:rPr>
          <w:color w:val="000000" w:themeColor="text1"/>
        </w:rPr>
        <w:t xml:space="preserve">Contrary to applicant’s statement that there are no </w:t>
      </w:r>
      <w:r>
        <w:rPr>
          <w:color w:val="000000" w:themeColor="text1"/>
        </w:rPr>
        <w:t xml:space="preserve">land </w:t>
      </w:r>
      <w:r w:rsidRPr="001C3A42">
        <w:rPr>
          <w:color w:val="000000" w:themeColor="text1"/>
        </w:rPr>
        <w:t>restrictions, there are in fact numerous land restrictions</w:t>
      </w:r>
      <w:r>
        <w:rPr>
          <w:color w:val="000000" w:themeColor="text1"/>
        </w:rPr>
        <w:t xml:space="preserve"> such as, </w:t>
      </w:r>
      <w:r w:rsidRPr="001C3A42">
        <w:rPr>
          <w:color w:val="000000" w:themeColor="text1"/>
        </w:rPr>
        <w:t>environmental zoning, land use, archaeological impacts, threatened species, etc. imposed by governmental authorities currently in place. None of these have been addressed.</w:t>
      </w:r>
    </w:p>
    <w:p w14:paraId="7092832E" w14:textId="77777777" w:rsidR="000261D5" w:rsidRDefault="000261D5" w:rsidP="00314E46">
      <w:pPr>
        <w:jc w:val="both"/>
        <w:rPr>
          <w:b/>
          <w:bCs/>
        </w:rPr>
      </w:pPr>
    </w:p>
    <w:p w14:paraId="3FBF8056" w14:textId="77777777" w:rsidR="00314E46" w:rsidRDefault="00314E46" w:rsidP="00314E46">
      <w:pPr>
        <w:jc w:val="both"/>
        <w:rPr>
          <w:b/>
          <w:bCs/>
        </w:rPr>
      </w:pPr>
      <w:r>
        <w:rPr>
          <w:b/>
          <w:bCs/>
        </w:rPr>
        <w:t>STAFF:</w:t>
      </w:r>
      <w:r w:rsidR="0076335E">
        <w:rPr>
          <w:b/>
          <w:bCs/>
        </w:rPr>
        <w:tab/>
      </w:r>
      <w:r w:rsidR="0076335E" w:rsidRPr="00B54C4C">
        <w:t xml:space="preserve">Staff has no position </w:t>
      </w:r>
      <w:r w:rsidR="0076335E">
        <w:t>at this time.</w:t>
      </w:r>
    </w:p>
    <w:p w14:paraId="30AB2A33" w14:textId="77777777" w:rsidR="00314E46" w:rsidRDefault="00314E46">
      <w:pPr>
        <w:jc w:val="both"/>
        <w:rPr>
          <w:b/>
          <w:bCs/>
        </w:rPr>
      </w:pPr>
    </w:p>
    <w:p w14:paraId="317EC0E4" w14:textId="77777777" w:rsidR="00314E46" w:rsidRDefault="00314E46">
      <w:pPr>
        <w:jc w:val="both"/>
        <w:rPr>
          <w:b/>
          <w:bCs/>
        </w:rPr>
      </w:pPr>
    </w:p>
    <w:p w14:paraId="66BAC6EA" w14:textId="77777777" w:rsidR="00314E46" w:rsidRPr="00314E46" w:rsidRDefault="00314E46" w:rsidP="00314E46">
      <w:pPr>
        <w:ind w:left="1440" w:hanging="1440"/>
        <w:jc w:val="both"/>
        <w:rPr>
          <w:b/>
          <w:bCs/>
        </w:rPr>
      </w:pPr>
      <w:r>
        <w:rPr>
          <w:b/>
          <w:bCs/>
          <w:u w:val="single"/>
        </w:rPr>
        <w:t>ISSUE 3</w:t>
      </w:r>
      <w:r>
        <w:rPr>
          <w:b/>
          <w:bCs/>
        </w:rPr>
        <w:t>:</w:t>
      </w:r>
      <w:r>
        <w:rPr>
          <w:b/>
          <w:bCs/>
        </w:rPr>
        <w:tab/>
      </w:r>
      <w:r w:rsidRPr="00314E46">
        <w:rPr>
          <w:b/>
        </w:rPr>
        <w:t>Is Environmental Utilities’ application consistent with Charlotte County’s Sewer Master Plan?</w:t>
      </w:r>
    </w:p>
    <w:p w14:paraId="266DE1EA" w14:textId="77777777" w:rsidR="005E102D" w:rsidRPr="005D4B47" w:rsidRDefault="005E102D" w:rsidP="005E102D">
      <w:pPr>
        <w:jc w:val="both"/>
        <w:rPr>
          <w:b/>
          <w:bCs/>
        </w:rPr>
      </w:pPr>
      <w:r w:rsidRPr="005D4B47">
        <w:rPr>
          <w:b/>
          <w:bCs/>
        </w:rPr>
        <w:tab/>
      </w:r>
      <w:r w:rsidRPr="005D4B47">
        <w:rPr>
          <w:b/>
          <w:bCs/>
        </w:rPr>
        <w:tab/>
      </w:r>
    </w:p>
    <w:p w14:paraId="60809EDB" w14:textId="77777777" w:rsidR="00314E46" w:rsidRDefault="00314E46" w:rsidP="00314E46">
      <w:pPr>
        <w:jc w:val="both"/>
        <w:rPr>
          <w:b/>
          <w:bCs/>
        </w:rPr>
      </w:pPr>
      <w:r>
        <w:rPr>
          <w:b/>
          <w:bCs/>
        </w:rPr>
        <w:lastRenderedPageBreak/>
        <w:t>EU</w:t>
      </w:r>
      <w:r w:rsidRPr="005D4B47">
        <w:rPr>
          <w:b/>
          <w:bCs/>
        </w:rPr>
        <w:t>:</w:t>
      </w:r>
      <w:r w:rsidR="00891BA4">
        <w:rPr>
          <w:b/>
          <w:bCs/>
        </w:rPr>
        <w:tab/>
      </w:r>
      <w:r w:rsidR="00891BA4">
        <w:rPr>
          <w:b/>
          <w:bCs/>
        </w:rPr>
        <w:tab/>
      </w:r>
      <w:r w:rsidR="00891BA4">
        <w:t>Yes.</w:t>
      </w:r>
    </w:p>
    <w:p w14:paraId="415B1106" w14:textId="77777777" w:rsidR="00314E46" w:rsidRDefault="00314E46" w:rsidP="00314E46">
      <w:pPr>
        <w:jc w:val="both"/>
        <w:rPr>
          <w:b/>
          <w:bCs/>
        </w:rPr>
      </w:pPr>
    </w:p>
    <w:p w14:paraId="5DA8E85F" w14:textId="77777777" w:rsidR="00314E46" w:rsidRDefault="00314E46" w:rsidP="0076335E">
      <w:pPr>
        <w:ind w:left="1440" w:hanging="1440"/>
        <w:jc w:val="both"/>
        <w:rPr>
          <w:b/>
          <w:bCs/>
        </w:rPr>
      </w:pPr>
      <w:r>
        <w:rPr>
          <w:b/>
          <w:bCs/>
        </w:rPr>
        <w:t>PIE:</w:t>
      </w:r>
      <w:r w:rsidR="00250FB8">
        <w:rPr>
          <w:b/>
          <w:bCs/>
        </w:rPr>
        <w:tab/>
      </w:r>
      <w:r w:rsidR="00250FB8">
        <w:t>PIE’s position on this issue is that the proposed utility service application is inconsistent with the Sewer Master Plan, that the Sewer Master Plan is inconsistent with the Charlotte County Comprehensive Plan and that, therefore, the Sewer Master Plan is not controlling and does not establish a need for service.  Ellen Hardgrove, AICP and Robert H. Weisberg, Ph.D., are expected to testify on this issue and their testimony has been prefiled along with the exhibits they intend to use.</w:t>
      </w:r>
    </w:p>
    <w:p w14:paraId="33E77282" w14:textId="77777777" w:rsidR="00314E46" w:rsidRDefault="00314E46" w:rsidP="00314E46">
      <w:pPr>
        <w:jc w:val="both"/>
        <w:rPr>
          <w:b/>
          <w:bCs/>
        </w:rPr>
      </w:pPr>
    </w:p>
    <w:p w14:paraId="5120B194" w14:textId="77777777" w:rsidR="00314E46" w:rsidRDefault="00314E46" w:rsidP="00314E46">
      <w:pPr>
        <w:jc w:val="both"/>
        <w:rPr>
          <w:b/>
          <w:bCs/>
        </w:rPr>
      </w:pPr>
      <w:r>
        <w:rPr>
          <w:b/>
          <w:bCs/>
        </w:rPr>
        <w:t>OPC:</w:t>
      </w:r>
      <w:r w:rsidR="006C5392">
        <w:rPr>
          <w:b/>
          <w:bCs/>
        </w:rPr>
        <w:tab/>
      </w:r>
      <w:r w:rsidR="006C5392">
        <w:rPr>
          <w:b/>
          <w:bCs/>
        </w:rPr>
        <w:tab/>
      </w:r>
      <w:r w:rsidR="006C5392">
        <w:t>No position.</w:t>
      </w:r>
    </w:p>
    <w:p w14:paraId="6E495820" w14:textId="77777777" w:rsidR="00314E46" w:rsidRDefault="00314E46" w:rsidP="00314E46">
      <w:pPr>
        <w:jc w:val="both"/>
        <w:rPr>
          <w:b/>
          <w:bCs/>
        </w:rPr>
      </w:pPr>
    </w:p>
    <w:p w14:paraId="2D40DF61" w14:textId="11795148" w:rsidR="00D71548" w:rsidRDefault="00314E46" w:rsidP="00D71548">
      <w:pPr>
        <w:ind w:left="2160" w:hanging="2160"/>
        <w:jc w:val="both"/>
      </w:pPr>
      <w:r w:rsidRPr="007F0FDA">
        <w:rPr>
          <w:b/>
          <w:bCs/>
          <w:sz w:val="18"/>
          <w:szCs w:val="18"/>
        </w:rPr>
        <w:t>COTHERMAN:</w:t>
      </w:r>
      <w:r w:rsidR="00D71548">
        <w:rPr>
          <w:bCs/>
        </w:rPr>
        <w:t xml:space="preserve">   </w:t>
      </w:r>
      <w:r w:rsidR="000261D5" w:rsidRPr="00CF3637">
        <w:t xml:space="preserve">No. </w:t>
      </w:r>
      <w:r w:rsidR="000261D5">
        <w:t xml:space="preserve">Linda Cotherman’s position is that the application is not consistent with </w:t>
      </w:r>
    </w:p>
    <w:p w14:paraId="0EC6A9E8" w14:textId="00508D14" w:rsidR="000261D5" w:rsidRPr="00D71548" w:rsidRDefault="000261D5" w:rsidP="00D71548">
      <w:pPr>
        <w:ind w:left="2160" w:hanging="720"/>
        <w:jc w:val="both"/>
        <w:rPr>
          <w:bCs/>
        </w:rPr>
      </w:pPr>
      <w:r>
        <w:t>Charlotte County’s Sewer Master Plan [SMP] based in part on the following:</w:t>
      </w:r>
    </w:p>
    <w:p w14:paraId="7670DA82" w14:textId="77777777" w:rsidR="000261D5" w:rsidRDefault="000261D5" w:rsidP="000261D5">
      <w:pPr>
        <w:jc w:val="both"/>
      </w:pPr>
    </w:p>
    <w:p w14:paraId="627B9407" w14:textId="77777777" w:rsidR="000261D5" w:rsidRDefault="000261D5" w:rsidP="00E522CE">
      <w:pPr>
        <w:pStyle w:val="ListParagraph"/>
        <w:numPr>
          <w:ilvl w:val="0"/>
          <w:numId w:val="4"/>
        </w:numPr>
        <w:spacing w:after="200"/>
        <w:jc w:val="both"/>
        <w:rPr>
          <w:color w:val="000000" w:themeColor="text1"/>
        </w:rPr>
      </w:pPr>
      <w:r w:rsidRPr="00C31FC7">
        <w:rPr>
          <w:color w:val="000000" w:themeColor="text1"/>
        </w:rPr>
        <w:t>The SMP did not address the bulk of the proposed service area, only the two existing wastewater treatment plants for whom compliance was voluntary.</w:t>
      </w:r>
    </w:p>
    <w:p w14:paraId="39EAB27A" w14:textId="77777777" w:rsidR="00937EE6" w:rsidRPr="00C31FC7" w:rsidRDefault="00937EE6" w:rsidP="00937EE6">
      <w:pPr>
        <w:pStyle w:val="ListParagraph"/>
        <w:spacing w:after="200"/>
        <w:ind w:left="2520"/>
        <w:rPr>
          <w:color w:val="000000" w:themeColor="text1"/>
        </w:rPr>
      </w:pPr>
    </w:p>
    <w:p w14:paraId="7BCDB54E" w14:textId="3E0AE8C1" w:rsidR="000261D5" w:rsidRDefault="000261D5" w:rsidP="000261D5">
      <w:pPr>
        <w:pStyle w:val="ListParagraph"/>
        <w:numPr>
          <w:ilvl w:val="0"/>
          <w:numId w:val="4"/>
        </w:numPr>
        <w:jc w:val="both"/>
      </w:pPr>
      <w:r w:rsidRPr="007348BF">
        <w:rPr>
          <w:color w:val="000000" w:themeColor="text1"/>
        </w:rPr>
        <w:t>The applicant</w:t>
      </w:r>
      <w:r>
        <w:rPr>
          <w:color w:val="000000" w:themeColor="text1"/>
        </w:rPr>
        <w:t xml:space="preserve"> cherry-picked items from the</w:t>
      </w:r>
      <w:r w:rsidRPr="007348BF">
        <w:rPr>
          <w:color w:val="000000" w:themeColor="text1"/>
        </w:rPr>
        <w:t xml:space="preserve"> SMP as the basis for need for service, </w:t>
      </w:r>
      <w:r>
        <w:rPr>
          <w:color w:val="000000" w:themeColor="text1"/>
        </w:rPr>
        <w:t>specifically</w:t>
      </w:r>
      <w:r w:rsidRPr="007348BF">
        <w:rPr>
          <w:color w:val="000000" w:themeColor="text1"/>
        </w:rPr>
        <w:t xml:space="preserve"> three</w:t>
      </w:r>
      <w:r>
        <w:rPr>
          <w:color w:val="000000" w:themeColor="text1"/>
        </w:rPr>
        <w:t xml:space="preserve"> </w:t>
      </w:r>
      <w:r>
        <w:t xml:space="preserve">criteria that were used to categorize </w:t>
      </w:r>
      <w:r w:rsidRPr="005732B3">
        <w:rPr>
          <w:color w:val="000000" w:themeColor="text1"/>
        </w:rPr>
        <w:t xml:space="preserve">high-priority </w:t>
      </w:r>
      <w:r>
        <w:rPr>
          <w:color w:val="000000" w:themeColor="text1"/>
        </w:rPr>
        <w:t>areas</w:t>
      </w:r>
      <w:r w:rsidRPr="005732B3">
        <w:rPr>
          <w:color w:val="000000" w:themeColor="text1"/>
        </w:rPr>
        <w:t xml:space="preserve"> for septic to sewer conversion</w:t>
      </w:r>
      <w:r>
        <w:rPr>
          <w:color w:val="000000" w:themeColor="text1"/>
        </w:rPr>
        <w:t>. While there is no denying proximity to water, the other two criteria</w:t>
      </w:r>
      <w:r w:rsidR="004B4612">
        <w:rPr>
          <w:color w:val="000000" w:themeColor="text1"/>
        </w:rPr>
        <w:t xml:space="preserve"> </w:t>
      </w:r>
      <w:r>
        <w:t>were inaccurate in relation to the proposed service area. Specifically:</w:t>
      </w:r>
    </w:p>
    <w:p w14:paraId="1DB15A03" w14:textId="77777777" w:rsidR="00937EE6" w:rsidRDefault="00937EE6" w:rsidP="00937EE6">
      <w:pPr>
        <w:pStyle w:val="ListParagraph"/>
      </w:pPr>
    </w:p>
    <w:p w14:paraId="37D6F57D" w14:textId="77777777" w:rsidR="000261D5" w:rsidRDefault="000261D5" w:rsidP="000261D5">
      <w:pPr>
        <w:pStyle w:val="ListParagraph"/>
        <w:numPr>
          <w:ilvl w:val="0"/>
          <w:numId w:val="5"/>
        </w:numPr>
        <w:jc w:val="both"/>
      </w:pPr>
      <w:r w:rsidRPr="00C31FC7">
        <w:t xml:space="preserve">the “age of septics” criterion was </w:t>
      </w:r>
      <w:r>
        <w:t>addressed only</w:t>
      </w:r>
      <w:r w:rsidRPr="00C31FC7">
        <w:t xml:space="preserve"> by estimates based on the age of homes</w:t>
      </w:r>
      <w:r>
        <w:t xml:space="preserve">. No </w:t>
      </w:r>
      <w:r w:rsidRPr="00C31FC7">
        <w:t>consider</w:t>
      </w:r>
      <w:r>
        <w:t>ation was given to</w:t>
      </w:r>
      <w:r w:rsidRPr="00C31FC7">
        <w:t xml:space="preserve"> replacements and repairs that have been done by homeowners in the proposed service area</w:t>
      </w:r>
      <w:r>
        <w:t>, nor to new home construction utilizing state-of-the-art septic systems.</w:t>
      </w:r>
    </w:p>
    <w:p w14:paraId="4C94926D" w14:textId="77777777" w:rsidR="00937EE6" w:rsidRPr="00C31FC7" w:rsidRDefault="00937EE6" w:rsidP="00937EE6">
      <w:pPr>
        <w:pStyle w:val="ListParagraph"/>
        <w:ind w:left="2880"/>
        <w:jc w:val="both"/>
      </w:pPr>
    </w:p>
    <w:p w14:paraId="7AC24D84" w14:textId="77777777" w:rsidR="000261D5" w:rsidRDefault="000261D5" w:rsidP="000261D5">
      <w:pPr>
        <w:pStyle w:val="ListParagraph"/>
        <w:numPr>
          <w:ilvl w:val="0"/>
          <w:numId w:val="5"/>
        </w:numPr>
        <w:jc w:val="both"/>
      </w:pPr>
      <w:r>
        <w:t>The “nitrogen loading” rating was extracted from general estimates of averages from other areas in the County and beyond. No water quality testing was done in proximity to the proposed service area.</w:t>
      </w:r>
    </w:p>
    <w:p w14:paraId="0B24ACB4" w14:textId="77777777" w:rsidR="00937EE6" w:rsidRDefault="00937EE6" w:rsidP="00937EE6">
      <w:pPr>
        <w:pStyle w:val="ListParagraph"/>
        <w:ind w:left="2880"/>
        <w:jc w:val="both"/>
      </w:pPr>
    </w:p>
    <w:p w14:paraId="190230A9" w14:textId="77777777" w:rsidR="000261D5" w:rsidRDefault="000261D5" w:rsidP="000261D5">
      <w:pPr>
        <w:pStyle w:val="ListParagraph"/>
        <w:numPr>
          <w:ilvl w:val="0"/>
          <w:numId w:val="4"/>
        </w:numPr>
        <w:jc w:val="both"/>
      </w:pPr>
      <w:r w:rsidRPr="00FC7C81">
        <w:t xml:space="preserve">The priority rating </w:t>
      </w:r>
      <w:r>
        <w:t>for the proposed service area designated in</w:t>
      </w:r>
      <w:r w:rsidRPr="00FC7C81">
        <w:t xml:space="preserve"> the SMP </w:t>
      </w:r>
      <w:r>
        <w:t>is</w:t>
      </w:r>
      <w:r w:rsidRPr="00FC7C81">
        <w:t xml:space="preserve"> just part of a</w:t>
      </w:r>
      <w:r>
        <w:t xml:space="preserve"> large</w:t>
      </w:r>
      <w:r w:rsidRPr="00FC7C81">
        <w:t xml:space="preserve"> overall study </w:t>
      </w:r>
      <w:r>
        <w:t xml:space="preserve">of the County, </w:t>
      </w:r>
      <w:r w:rsidRPr="00FC7C81">
        <w:t xml:space="preserve">and a small consideration of </w:t>
      </w:r>
      <w:r>
        <w:t xml:space="preserve">the general </w:t>
      </w:r>
      <w:r w:rsidRPr="00FC7C81">
        <w:t xml:space="preserve">need for service </w:t>
      </w:r>
      <w:r>
        <w:t>in</w:t>
      </w:r>
      <w:r w:rsidRPr="00FC7C81">
        <w:t xml:space="preserve"> C</w:t>
      </w:r>
      <w:r>
        <w:t xml:space="preserve">harlotte </w:t>
      </w:r>
      <w:r w:rsidRPr="00FC7C81">
        <w:t>C</w:t>
      </w:r>
      <w:r>
        <w:t>ounty. Charlotte County has created their own priority list subsequent to the SMP, and the proposed service area is not included in the 5- 10- or 15-year plan</w:t>
      </w:r>
      <w:r w:rsidRPr="00FC7C81">
        <w:rPr>
          <w:color w:val="FF0000"/>
        </w:rPr>
        <w:t>.</w:t>
      </w:r>
    </w:p>
    <w:p w14:paraId="041190E0" w14:textId="77777777" w:rsidR="00937EE6" w:rsidRDefault="00937EE6" w:rsidP="005E102D">
      <w:pPr>
        <w:jc w:val="both"/>
        <w:rPr>
          <w:b/>
          <w:bCs/>
        </w:rPr>
      </w:pPr>
    </w:p>
    <w:p w14:paraId="30EF8DCF" w14:textId="77777777" w:rsidR="00314E46" w:rsidRDefault="00314E46" w:rsidP="005E102D">
      <w:pPr>
        <w:jc w:val="both"/>
        <w:rPr>
          <w:b/>
          <w:bCs/>
        </w:rPr>
      </w:pPr>
      <w:r>
        <w:rPr>
          <w:b/>
          <w:bCs/>
        </w:rPr>
        <w:t>STAFF:</w:t>
      </w:r>
      <w:r w:rsidR="0076335E">
        <w:rPr>
          <w:b/>
          <w:bCs/>
        </w:rPr>
        <w:tab/>
      </w:r>
      <w:r w:rsidR="0076335E" w:rsidRPr="00B54C4C">
        <w:t xml:space="preserve">Staff has no position </w:t>
      </w:r>
      <w:r w:rsidR="0076335E">
        <w:t>at this time.</w:t>
      </w:r>
    </w:p>
    <w:p w14:paraId="71200D05" w14:textId="77777777" w:rsidR="00314E46" w:rsidRDefault="00314E46" w:rsidP="005E102D">
      <w:pPr>
        <w:jc w:val="both"/>
        <w:rPr>
          <w:b/>
          <w:bCs/>
        </w:rPr>
      </w:pPr>
    </w:p>
    <w:p w14:paraId="75A07C50" w14:textId="77777777" w:rsidR="00314E46" w:rsidRDefault="00314E46" w:rsidP="005E102D">
      <w:pPr>
        <w:jc w:val="both"/>
        <w:rPr>
          <w:b/>
          <w:bCs/>
        </w:rPr>
      </w:pPr>
    </w:p>
    <w:p w14:paraId="28CE00E0" w14:textId="77777777" w:rsidR="00314E46" w:rsidRPr="00314E46" w:rsidRDefault="00314E46" w:rsidP="00314E46">
      <w:pPr>
        <w:ind w:left="1440" w:hanging="1440"/>
        <w:jc w:val="both"/>
        <w:rPr>
          <w:b/>
          <w:bCs/>
        </w:rPr>
      </w:pPr>
      <w:r>
        <w:rPr>
          <w:b/>
          <w:bCs/>
          <w:u w:val="single"/>
        </w:rPr>
        <w:lastRenderedPageBreak/>
        <w:t>ISSUE 4</w:t>
      </w:r>
      <w:r>
        <w:rPr>
          <w:b/>
          <w:bCs/>
        </w:rPr>
        <w:t>:</w:t>
      </w:r>
      <w:r>
        <w:rPr>
          <w:b/>
          <w:bCs/>
        </w:rPr>
        <w:tab/>
      </w:r>
      <w:r w:rsidRPr="00314E46">
        <w:rPr>
          <w:b/>
        </w:rPr>
        <w:t>Will the certification of Environmental Utilities result in the creation of a utility which will be in competition with, or duplication of, any other system?</w:t>
      </w:r>
    </w:p>
    <w:p w14:paraId="7B619361" w14:textId="683B6874" w:rsidR="00B859A2" w:rsidRDefault="00314E46" w:rsidP="005E102D">
      <w:pPr>
        <w:jc w:val="both"/>
      </w:pPr>
      <w:r w:rsidRPr="00701945">
        <w:t xml:space="preserve"> </w:t>
      </w:r>
    </w:p>
    <w:p w14:paraId="695FDD1C" w14:textId="77777777" w:rsidR="00B859A2" w:rsidRDefault="00B859A2" w:rsidP="00B859A2">
      <w:pPr>
        <w:jc w:val="both"/>
        <w:rPr>
          <w:b/>
          <w:bCs/>
        </w:rPr>
      </w:pPr>
      <w:r>
        <w:rPr>
          <w:b/>
          <w:bCs/>
        </w:rPr>
        <w:t>EU</w:t>
      </w:r>
      <w:r w:rsidRPr="005D4B47">
        <w:rPr>
          <w:b/>
          <w:bCs/>
        </w:rPr>
        <w:t>:</w:t>
      </w:r>
      <w:r w:rsidR="00891BA4">
        <w:rPr>
          <w:b/>
          <w:bCs/>
        </w:rPr>
        <w:tab/>
      </w:r>
      <w:r w:rsidR="00891BA4">
        <w:rPr>
          <w:b/>
          <w:bCs/>
        </w:rPr>
        <w:tab/>
      </w:r>
      <w:r w:rsidR="00891BA4">
        <w:t>No.</w:t>
      </w:r>
    </w:p>
    <w:p w14:paraId="1DB26918" w14:textId="77777777" w:rsidR="00B859A2" w:rsidRDefault="00B859A2" w:rsidP="00B859A2">
      <w:pPr>
        <w:jc w:val="both"/>
        <w:rPr>
          <w:b/>
          <w:bCs/>
        </w:rPr>
      </w:pPr>
    </w:p>
    <w:p w14:paraId="6076831A" w14:textId="3AD1FA39" w:rsidR="00B859A2" w:rsidRDefault="00B859A2" w:rsidP="00B859A2">
      <w:pPr>
        <w:jc w:val="both"/>
        <w:rPr>
          <w:b/>
          <w:bCs/>
        </w:rPr>
      </w:pPr>
      <w:r>
        <w:rPr>
          <w:b/>
          <w:bCs/>
        </w:rPr>
        <w:t>PIE:</w:t>
      </w:r>
      <w:r w:rsidR="0076335E">
        <w:rPr>
          <w:b/>
          <w:bCs/>
        </w:rPr>
        <w:tab/>
      </w:r>
      <w:r w:rsidR="0076335E">
        <w:rPr>
          <w:b/>
          <w:bCs/>
        </w:rPr>
        <w:tab/>
      </w:r>
      <w:r w:rsidR="003A1370">
        <w:t>No position.</w:t>
      </w:r>
    </w:p>
    <w:p w14:paraId="3D905DED" w14:textId="77777777" w:rsidR="00B859A2" w:rsidRDefault="00B859A2" w:rsidP="00B859A2">
      <w:pPr>
        <w:jc w:val="both"/>
        <w:rPr>
          <w:b/>
          <w:bCs/>
        </w:rPr>
      </w:pPr>
    </w:p>
    <w:p w14:paraId="66703300" w14:textId="77777777" w:rsidR="00B859A2" w:rsidRDefault="00B859A2" w:rsidP="00B859A2">
      <w:pPr>
        <w:jc w:val="both"/>
        <w:rPr>
          <w:b/>
          <w:bCs/>
        </w:rPr>
      </w:pPr>
      <w:r>
        <w:rPr>
          <w:b/>
          <w:bCs/>
        </w:rPr>
        <w:t>OPC:</w:t>
      </w:r>
      <w:r w:rsidR="006C5392">
        <w:rPr>
          <w:b/>
          <w:bCs/>
        </w:rPr>
        <w:tab/>
      </w:r>
      <w:r w:rsidR="006C5392">
        <w:rPr>
          <w:b/>
          <w:bCs/>
        </w:rPr>
        <w:tab/>
      </w:r>
      <w:r w:rsidR="006C5392">
        <w:t>No position.</w:t>
      </w:r>
    </w:p>
    <w:p w14:paraId="79616209" w14:textId="77777777" w:rsidR="00B859A2" w:rsidRDefault="00B859A2" w:rsidP="00B859A2">
      <w:pPr>
        <w:jc w:val="both"/>
        <w:rPr>
          <w:b/>
          <w:bCs/>
        </w:rPr>
      </w:pPr>
    </w:p>
    <w:p w14:paraId="45F07A10" w14:textId="12E2F893" w:rsidR="00D71548" w:rsidRDefault="00B859A2" w:rsidP="000261D5">
      <w:pPr>
        <w:ind w:left="2160" w:hanging="2160"/>
        <w:jc w:val="both"/>
      </w:pPr>
      <w:r w:rsidRPr="007F0FDA">
        <w:rPr>
          <w:b/>
          <w:bCs/>
          <w:sz w:val="18"/>
          <w:szCs w:val="18"/>
        </w:rPr>
        <w:t>COTHERMAN:</w:t>
      </w:r>
      <w:r w:rsidR="00D71548">
        <w:rPr>
          <w:b/>
          <w:bCs/>
        </w:rPr>
        <w:t xml:space="preserve">   </w:t>
      </w:r>
      <w:r w:rsidR="000261D5">
        <w:t xml:space="preserve">Yes. Linda Cotherman’s position is that the proposed service area falls within the </w:t>
      </w:r>
    </w:p>
    <w:p w14:paraId="0FD3D28A" w14:textId="77777777" w:rsidR="00D71548" w:rsidRDefault="000261D5" w:rsidP="00D71548">
      <w:pPr>
        <w:ind w:left="2160" w:hanging="720"/>
        <w:jc w:val="both"/>
      </w:pPr>
      <w:r>
        <w:t xml:space="preserve">Charlotte County Utilities’ [CCU] certificated area for water and wastewater </w:t>
      </w:r>
    </w:p>
    <w:p w14:paraId="27FAE7B6" w14:textId="1D38319B" w:rsidR="000261D5" w:rsidRDefault="000261D5" w:rsidP="00D71548">
      <w:pPr>
        <w:ind w:left="2160" w:hanging="720"/>
        <w:jc w:val="both"/>
      </w:pPr>
      <w:r>
        <w:t>services based in part on the following:</w:t>
      </w:r>
    </w:p>
    <w:p w14:paraId="5F97EF15" w14:textId="77777777" w:rsidR="000261D5" w:rsidRDefault="000261D5" w:rsidP="000261D5">
      <w:pPr>
        <w:jc w:val="both"/>
      </w:pPr>
    </w:p>
    <w:p w14:paraId="62BBDAC8" w14:textId="77777777" w:rsidR="00B859A2" w:rsidRPr="000B0FD6" w:rsidRDefault="000261D5" w:rsidP="000B0FD6">
      <w:pPr>
        <w:pStyle w:val="ListParagraph"/>
        <w:numPr>
          <w:ilvl w:val="0"/>
          <w:numId w:val="6"/>
        </w:numPr>
        <w:jc w:val="both"/>
        <w:rPr>
          <w:b/>
          <w:bCs/>
        </w:rPr>
      </w:pPr>
      <w:r w:rsidRPr="00A443B1">
        <w:t>According to the CCU’s</w:t>
      </w:r>
      <w:r>
        <w:t xml:space="preserve"> </w:t>
      </w:r>
      <w:r w:rsidRPr="00A443B1">
        <w:t xml:space="preserve">utility availability website, Bocilla Utility, Inc. provides water to Knight/Don Pedro Islands and CCU is the utility designated to provide wastewater service. The exception on Knight Island is the wastewater provider “Knight Island Utilities Inc.” [KIU] which serves the Palm Island Resort and the Rum Cove and Sabal Palm Point developments. KIU is also currently serving residents on Lemon Bay Lane that are designated properties in the </w:t>
      </w:r>
      <w:r>
        <w:t>proposed service area</w:t>
      </w:r>
      <w:r w:rsidRPr="00A443B1">
        <w:t>. On Little Gasparilla Island, according to the same website, the water provider is designated as Little Gasparilla Water Utility and CCU is designated to provide wastewater service.</w:t>
      </w:r>
    </w:p>
    <w:p w14:paraId="5BC528E9" w14:textId="77777777" w:rsidR="00B859A2" w:rsidRDefault="00B859A2" w:rsidP="00B859A2">
      <w:pPr>
        <w:jc w:val="both"/>
        <w:rPr>
          <w:b/>
          <w:bCs/>
        </w:rPr>
      </w:pPr>
    </w:p>
    <w:p w14:paraId="35BF4EF5" w14:textId="5509B5E6" w:rsidR="00B859A2" w:rsidRDefault="00B859A2" w:rsidP="00B859A2">
      <w:pPr>
        <w:jc w:val="both"/>
      </w:pPr>
      <w:r>
        <w:rPr>
          <w:b/>
          <w:bCs/>
        </w:rPr>
        <w:t>STAFF:</w:t>
      </w:r>
      <w:r w:rsidR="0076335E">
        <w:rPr>
          <w:b/>
          <w:bCs/>
        </w:rPr>
        <w:tab/>
      </w:r>
      <w:r w:rsidR="0076335E" w:rsidRPr="00B54C4C">
        <w:t xml:space="preserve">Staff has no position </w:t>
      </w:r>
      <w:r w:rsidR="0076335E">
        <w:t>at this time.</w:t>
      </w:r>
    </w:p>
    <w:p w14:paraId="709409B3" w14:textId="017820F8" w:rsidR="005D6D65" w:rsidRDefault="005D6D65" w:rsidP="00B859A2">
      <w:pPr>
        <w:jc w:val="both"/>
      </w:pPr>
    </w:p>
    <w:p w14:paraId="78956F41" w14:textId="77777777" w:rsidR="005D6D65" w:rsidRDefault="005D6D65" w:rsidP="00B859A2">
      <w:pPr>
        <w:jc w:val="both"/>
        <w:rPr>
          <w:b/>
          <w:bCs/>
        </w:rPr>
      </w:pPr>
    </w:p>
    <w:p w14:paraId="1DB4F0B7" w14:textId="77777777" w:rsidR="00B859A2" w:rsidRDefault="00B859A2" w:rsidP="00B859A2">
      <w:pPr>
        <w:ind w:left="1440" w:hanging="1440"/>
        <w:jc w:val="both"/>
        <w:rPr>
          <w:b/>
        </w:rPr>
      </w:pPr>
      <w:r>
        <w:rPr>
          <w:b/>
          <w:u w:val="single"/>
        </w:rPr>
        <w:t>ISSUE 5</w:t>
      </w:r>
      <w:r>
        <w:rPr>
          <w:b/>
        </w:rPr>
        <w:t>:</w:t>
      </w:r>
      <w:r>
        <w:rPr>
          <w:b/>
        </w:rPr>
        <w:tab/>
      </w:r>
      <w:r w:rsidRPr="00B859A2">
        <w:rPr>
          <w:b/>
        </w:rPr>
        <w:t>Does Environmental Utilities have the financial ability to serve the requested territory?</w:t>
      </w:r>
    </w:p>
    <w:p w14:paraId="4183672F" w14:textId="77777777" w:rsidR="00B859A2" w:rsidRDefault="00B859A2" w:rsidP="00B859A2">
      <w:pPr>
        <w:ind w:left="1440" w:hanging="1440"/>
        <w:jc w:val="both"/>
        <w:rPr>
          <w:b/>
        </w:rPr>
      </w:pPr>
    </w:p>
    <w:p w14:paraId="691A5395" w14:textId="77777777" w:rsidR="00B859A2" w:rsidRPr="00891BA4" w:rsidRDefault="00B859A2" w:rsidP="00B859A2">
      <w:pPr>
        <w:jc w:val="both"/>
        <w:rPr>
          <w:bCs/>
        </w:rPr>
      </w:pPr>
      <w:r>
        <w:rPr>
          <w:b/>
          <w:bCs/>
        </w:rPr>
        <w:t>EU</w:t>
      </w:r>
      <w:r w:rsidRPr="005D4B47">
        <w:rPr>
          <w:b/>
          <w:bCs/>
        </w:rPr>
        <w:t>:</w:t>
      </w:r>
      <w:r w:rsidR="00891BA4">
        <w:rPr>
          <w:b/>
          <w:bCs/>
        </w:rPr>
        <w:tab/>
      </w:r>
      <w:r w:rsidR="00891BA4">
        <w:rPr>
          <w:b/>
          <w:bCs/>
        </w:rPr>
        <w:tab/>
      </w:r>
      <w:r w:rsidR="00891BA4">
        <w:rPr>
          <w:bCs/>
        </w:rPr>
        <w:t>Yes.</w:t>
      </w:r>
    </w:p>
    <w:p w14:paraId="32056F58" w14:textId="77777777" w:rsidR="00B859A2" w:rsidRDefault="00B859A2" w:rsidP="00B859A2">
      <w:pPr>
        <w:jc w:val="both"/>
        <w:rPr>
          <w:b/>
          <w:bCs/>
        </w:rPr>
      </w:pPr>
    </w:p>
    <w:p w14:paraId="158D523F" w14:textId="77777777" w:rsidR="00B859A2" w:rsidRDefault="00B859A2" w:rsidP="0076335E">
      <w:pPr>
        <w:ind w:left="1440" w:hanging="1440"/>
        <w:jc w:val="both"/>
        <w:rPr>
          <w:b/>
          <w:bCs/>
        </w:rPr>
      </w:pPr>
      <w:r>
        <w:rPr>
          <w:b/>
          <w:bCs/>
        </w:rPr>
        <w:t>PIE:</w:t>
      </w:r>
      <w:r w:rsidR="0076335E">
        <w:rPr>
          <w:b/>
          <w:bCs/>
        </w:rPr>
        <w:tab/>
      </w:r>
      <w:r w:rsidR="0076335E">
        <w:t>PIE’s position on this issue is that, no, Environmental Utilities does not have the financial wherewithal to ably serve the requested territory.  Sheri Schultz, CPA/ABV/CFF is expected to testify as to this issue and has submitted prefiled testimony and a memorandum in support of this position.</w:t>
      </w:r>
    </w:p>
    <w:p w14:paraId="6998F51B" w14:textId="77777777" w:rsidR="00B859A2" w:rsidRDefault="00B859A2" w:rsidP="00B859A2">
      <w:pPr>
        <w:jc w:val="both"/>
        <w:rPr>
          <w:b/>
          <w:bCs/>
        </w:rPr>
      </w:pPr>
    </w:p>
    <w:p w14:paraId="2BFFEBD2" w14:textId="77777777" w:rsidR="00B859A2" w:rsidRDefault="00B859A2" w:rsidP="00B859A2">
      <w:pPr>
        <w:jc w:val="both"/>
        <w:rPr>
          <w:b/>
          <w:bCs/>
        </w:rPr>
      </w:pPr>
      <w:r>
        <w:rPr>
          <w:b/>
          <w:bCs/>
        </w:rPr>
        <w:t>OPC:</w:t>
      </w:r>
      <w:r w:rsidR="006C5392">
        <w:rPr>
          <w:b/>
          <w:bCs/>
        </w:rPr>
        <w:tab/>
      </w:r>
      <w:r w:rsidR="006C5392">
        <w:rPr>
          <w:b/>
          <w:bCs/>
        </w:rPr>
        <w:tab/>
      </w:r>
      <w:r w:rsidR="006C5392">
        <w:t>No position.</w:t>
      </w:r>
    </w:p>
    <w:p w14:paraId="1406970E" w14:textId="77777777" w:rsidR="00B859A2" w:rsidRDefault="00B859A2" w:rsidP="00B859A2">
      <w:pPr>
        <w:jc w:val="both"/>
        <w:rPr>
          <w:b/>
          <w:bCs/>
        </w:rPr>
      </w:pPr>
    </w:p>
    <w:p w14:paraId="7CE8D683" w14:textId="37F7FE79" w:rsidR="00D71548" w:rsidRDefault="00B859A2" w:rsidP="000B0FD6">
      <w:pPr>
        <w:ind w:left="2160" w:hanging="2160"/>
        <w:jc w:val="both"/>
      </w:pPr>
      <w:r w:rsidRPr="00D71548">
        <w:rPr>
          <w:b/>
          <w:bCs/>
          <w:sz w:val="18"/>
          <w:szCs w:val="18"/>
        </w:rPr>
        <w:t>COTHERMAN:</w:t>
      </w:r>
      <w:r w:rsidR="00D71548">
        <w:t xml:space="preserve">   </w:t>
      </w:r>
      <w:r w:rsidR="000B0FD6" w:rsidRPr="00E35A55">
        <w:t xml:space="preserve">No. </w:t>
      </w:r>
      <w:r w:rsidR="000B0FD6">
        <w:t>Linda Cotherman’s position is that the a</w:t>
      </w:r>
      <w:r w:rsidR="000B0FD6" w:rsidRPr="00E35A55">
        <w:t xml:space="preserve">pplicant has not demonstrated or </w:t>
      </w:r>
    </w:p>
    <w:p w14:paraId="64C20AD5" w14:textId="19FF944C" w:rsidR="00B859A2" w:rsidRDefault="000B0FD6" w:rsidP="00D71548">
      <w:pPr>
        <w:ind w:left="2160" w:hanging="720"/>
        <w:jc w:val="both"/>
        <w:rPr>
          <w:b/>
          <w:bCs/>
        </w:rPr>
      </w:pPr>
      <w:r w:rsidRPr="00E35A55">
        <w:t>substantiated the</w:t>
      </w:r>
      <w:r>
        <w:t>ir</w:t>
      </w:r>
      <w:r w:rsidRPr="00E35A55">
        <w:t xml:space="preserve"> financial ability to serve the requested territory</w:t>
      </w:r>
      <w:r>
        <w:t>.</w:t>
      </w:r>
    </w:p>
    <w:p w14:paraId="032672B0" w14:textId="77777777" w:rsidR="00B859A2" w:rsidRDefault="00B859A2" w:rsidP="00B859A2">
      <w:pPr>
        <w:jc w:val="both"/>
        <w:rPr>
          <w:b/>
          <w:bCs/>
        </w:rPr>
      </w:pPr>
    </w:p>
    <w:p w14:paraId="750A6D3A" w14:textId="44DAA5FB"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2C0D391E" w14:textId="77777777" w:rsidR="00B859A2" w:rsidRDefault="00B859A2" w:rsidP="00B859A2">
      <w:pPr>
        <w:ind w:left="1440" w:hanging="1440"/>
        <w:jc w:val="both"/>
        <w:rPr>
          <w:b/>
          <w:bCs/>
        </w:rPr>
      </w:pPr>
    </w:p>
    <w:p w14:paraId="125505CC" w14:textId="77777777" w:rsidR="00B859A2" w:rsidRDefault="00B859A2" w:rsidP="00B859A2">
      <w:pPr>
        <w:ind w:left="1440" w:hanging="1440"/>
        <w:jc w:val="both"/>
        <w:rPr>
          <w:b/>
          <w:bCs/>
        </w:rPr>
      </w:pPr>
    </w:p>
    <w:p w14:paraId="62CC2B0A" w14:textId="77777777" w:rsidR="00B859A2" w:rsidRDefault="00B859A2" w:rsidP="00B859A2">
      <w:pPr>
        <w:ind w:left="1440" w:hanging="1440"/>
        <w:jc w:val="both"/>
        <w:rPr>
          <w:b/>
        </w:rPr>
      </w:pPr>
      <w:r>
        <w:rPr>
          <w:b/>
          <w:bCs/>
          <w:u w:val="single"/>
        </w:rPr>
        <w:lastRenderedPageBreak/>
        <w:t>ISSUE 6</w:t>
      </w:r>
      <w:r>
        <w:rPr>
          <w:b/>
          <w:bCs/>
        </w:rPr>
        <w:t>:</w:t>
      </w:r>
      <w:r>
        <w:rPr>
          <w:b/>
          <w:bCs/>
        </w:rPr>
        <w:tab/>
      </w:r>
      <w:r w:rsidRPr="00B859A2">
        <w:rPr>
          <w:b/>
        </w:rPr>
        <w:t>Does Environmental Utilities have the technical ability to serve the requested territory?</w:t>
      </w:r>
    </w:p>
    <w:p w14:paraId="4D9C06DC" w14:textId="77777777" w:rsidR="00B859A2" w:rsidRDefault="00B859A2" w:rsidP="00B859A2">
      <w:pPr>
        <w:ind w:left="1440" w:hanging="1440"/>
        <w:jc w:val="both"/>
        <w:rPr>
          <w:b/>
        </w:rPr>
      </w:pPr>
    </w:p>
    <w:p w14:paraId="75BFF2CC" w14:textId="77777777" w:rsidR="00B859A2" w:rsidRPr="00891BA4" w:rsidRDefault="00B859A2" w:rsidP="00B859A2">
      <w:pPr>
        <w:jc w:val="both"/>
        <w:rPr>
          <w:bCs/>
        </w:rPr>
      </w:pPr>
      <w:r>
        <w:rPr>
          <w:b/>
          <w:bCs/>
        </w:rPr>
        <w:t>EU</w:t>
      </w:r>
      <w:r w:rsidRPr="005D4B47">
        <w:rPr>
          <w:b/>
          <w:bCs/>
        </w:rPr>
        <w:t>:</w:t>
      </w:r>
      <w:r w:rsidR="00891BA4">
        <w:rPr>
          <w:b/>
          <w:bCs/>
        </w:rPr>
        <w:tab/>
      </w:r>
      <w:r w:rsidR="00891BA4">
        <w:rPr>
          <w:b/>
          <w:bCs/>
        </w:rPr>
        <w:tab/>
      </w:r>
      <w:r w:rsidR="00891BA4">
        <w:rPr>
          <w:bCs/>
        </w:rPr>
        <w:t>Yes.</w:t>
      </w:r>
    </w:p>
    <w:p w14:paraId="5FD263E2" w14:textId="77777777" w:rsidR="00B859A2" w:rsidRDefault="00B859A2" w:rsidP="00B859A2">
      <w:pPr>
        <w:jc w:val="both"/>
        <w:rPr>
          <w:b/>
          <w:bCs/>
        </w:rPr>
      </w:pPr>
    </w:p>
    <w:p w14:paraId="254EC4F9" w14:textId="77777777" w:rsidR="00B859A2" w:rsidRDefault="00B859A2" w:rsidP="0076335E">
      <w:pPr>
        <w:ind w:left="1440" w:hanging="1440"/>
        <w:jc w:val="both"/>
        <w:rPr>
          <w:b/>
          <w:bCs/>
        </w:rPr>
      </w:pPr>
      <w:r>
        <w:rPr>
          <w:b/>
          <w:bCs/>
        </w:rPr>
        <w:t>PIE:</w:t>
      </w:r>
      <w:r w:rsidR="0076335E">
        <w:rPr>
          <w:b/>
          <w:bCs/>
        </w:rPr>
        <w:tab/>
      </w:r>
      <w:r w:rsidR="0076335E">
        <w:t>PIE’s position on this issue is that the applicant does not have the technical ability to serve the requested territory.  It is expected that Stephen Suggs, P.E., will testify on this issue.</w:t>
      </w:r>
    </w:p>
    <w:p w14:paraId="59E73F33" w14:textId="77777777" w:rsidR="00B859A2" w:rsidRDefault="00B859A2" w:rsidP="00B859A2">
      <w:pPr>
        <w:jc w:val="both"/>
        <w:rPr>
          <w:b/>
          <w:bCs/>
        </w:rPr>
      </w:pPr>
    </w:p>
    <w:p w14:paraId="177070F4" w14:textId="77777777" w:rsidR="00B859A2" w:rsidRDefault="00B859A2" w:rsidP="00B859A2">
      <w:pPr>
        <w:jc w:val="both"/>
        <w:rPr>
          <w:b/>
          <w:bCs/>
        </w:rPr>
      </w:pPr>
      <w:r>
        <w:rPr>
          <w:b/>
          <w:bCs/>
        </w:rPr>
        <w:t>OPC:</w:t>
      </w:r>
      <w:r w:rsidR="006C5392">
        <w:rPr>
          <w:b/>
          <w:bCs/>
        </w:rPr>
        <w:tab/>
      </w:r>
      <w:r w:rsidR="006C5392">
        <w:rPr>
          <w:b/>
          <w:bCs/>
        </w:rPr>
        <w:tab/>
      </w:r>
      <w:r w:rsidR="006C5392">
        <w:t>No position.</w:t>
      </w:r>
    </w:p>
    <w:p w14:paraId="4FAA09EB" w14:textId="77777777" w:rsidR="00B859A2" w:rsidRDefault="00B859A2" w:rsidP="00B859A2">
      <w:pPr>
        <w:jc w:val="both"/>
        <w:rPr>
          <w:b/>
          <w:bCs/>
        </w:rPr>
      </w:pPr>
    </w:p>
    <w:p w14:paraId="4D8573C7" w14:textId="0BD15DDA" w:rsidR="00D71548" w:rsidRDefault="00B859A2" w:rsidP="000B0FD6">
      <w:pPr>
        <w:ind w:left="2160" w:hanging="2160"/>
        <w:jc w:val="both"/>
      </w:pPr>
      <w:r w:rsidRPr="007F0FDA">
        <w:rPr>
          <w:b/>
          <w:bCs/>
          <w:sz w:val="18"/>
          <w:szCs w:val="18"/>
        </w:rPr>
        <w:t>COTHERMAN:</w:t>
      </w:r>
      <w:r w:rsidR="00D71548">
        <w:rPr>
          <w:b/>
          <w:bCs/>
        </w:rPr>
        <w:t xml:space="preserve">   </w:t>
      </w:r>
      <w:r w:rsidR="000B0FD6">
        <w:t xml:space="preserve">No. Linda Cotherman’s position is that the applicant has not demonstrated any </w:t>
      </w:r>
    </w:p>
    <w:p w14:paraId="17F1E815" w14:textId="77777777" w:rsidR="00D71548" w:rsidRDefault="000B0FD6" w:rsidP="00D71548">
      <w:pPr>
        <w:ind w:left="2160" w:hanging="720"/>
        <w:jc w:val="both"/>
      </w:pPr>
      <w:r>
        <w:t xml:space="preserve">technical ability nor any experience with wastewater utilities based in part on the </w:t>
      </w:r>
    </w:p>
    <w:p w14:paraId="494B6EF0" w14:textId="299A1A5B" w:rsidR="000B0FD6" w:rsidRDefault="000B0FD6" w:rsidP="00D71548">
      <w:pPr>
        <w:ind w:left="2160" w:hanging="720"/>
        <w:jc w:val="both"/>
      </w:pPr>
      <w:r>
        <w:t>following:</w:t>
      </w:r>
    </w:p>
    <w:p w14:paraId="6DEBBC9C" w14:textId="77777777" w:rsidR="000B0FD6" w:rsidRDefault="000B0FD6" w:rsidP="000B0FD6">
      <w:pPr>
        <w:jc w:val="both"/>
      </w:pPr>
    </w:p>
    <w:p w14:paraId="07AF9B32" w14:textId="77777777" w:rsidR="00937EE6" w:rsidRDefault="000B0FD6" w:rsidP="000B0FD6">
      <w:pPr>
        <w:pStyle w:val="ListParagraph"/>
        <w:numPr>
          <w:ilvl w:val="0"/>
          <w:numId w:val="7"/>
        </w:numPr>
        <w:jc w:val="both"/>
      </w:pPr>
      <w:r w:rsidRPr="00D83D00">
        <w:t>The applicant has never substantiated his claim to have experience with installing and maintaining a wastewater utility.</w:t>
      </w:r>
    </w:p>
    <w:p w14:paraId="76E17DA4" w14:textId="77777777" w:rsidR="000B0FD6" w:rsidRPr="00D83D00" w:rsidRDefault="000B0FD6" w:rsidP="00937EE6">
      <w:pPr>
        <w:pStyle w:val="ListParagraph"/>
        <w:ind w:left="2520"/>
        <w:jc w:val="both"/>
      </w:pPr>
      <w:r w:rsidRPr="00D83D00">
        <w:t xml:space="preserve"> </w:t>
      </w:r>
    </w:p>
    <w:p w14:paraId="439DEA6C" w14:textId="77777777" w:rsidR="000B0FD6" w:rsidRDefault="000B0FD6" w:rsidP="000B0FD6">
      <w:pPr>
        <w:pStyle w:val="ListParagraph"/>
        <w:numPr>
          <w:ilvl w:val="0"/>
          <w:numId w:val="7"/>
        </w:numPr>
        <w:jc w:val="both"/>
      </w:pPr>
      <w:r w:rsidRPr="00777CA4">
        <w:t xml:space="preserve">The applicant has no </w:t>
      </w:r>
      <w:r w:rsidRPr="00777CA4">
        <w:rPr>
          <w:color w:val="000000" w:themeColor="text1"/>
        </w:rPr>
        <w:t xml:space="preserve">ability to guarantee it can maintain its facilities and respond in a timely manner to malfunctions on a bridgeless barrier island. </w:t>
      </w:r>
      <w:r>
        <w:t>EU has not produced documentation of how the facilities can be serviced in the event of a breakdown.</w:t>
      </w:r>
    </w:p>
    <w:p w14:paraId="1C37162A" w14:textId="77777777" w:rsidR="00937EE6" w:rsidRDefault="00937EE6" w:rsidP="00937EE6">
      <w:pPr>
        <w:pStyle w:val="ListParagraph"/>
      </w:pPr>
    </w:p>
    <w:p w14:paraId="085A1670" w14:textId="77777777" w:rsidR="000B0FD6" w:rsidRPr="00937EE6" w:rsidRDefault="000B0FD6" w:rsidP="000B0FD6">
      <w:pPr>
        <w:pStyle w:val="ListParagraph"/>
        <w:numPr>
          <w:ilvl w:val="0"/>
          <w:numId w:val="7"/>
        </w:numPr>
        <w:jc w:val="both"/>
      </w:pPr>
      <w:r>
        <w:t xml:space="preserve">There is no evidence of the due diligence involved </w:t>
      </w:r>
      <w:r w:rsidRPr="00777CA4">
        <w:rPr>
          <w:color w:val="000000" w:themeColor="text1"/>
        </w:rPr>
        <w:t>with identifying and contacting all permitting agencies that will be involved to ascertain their process, fees, requirements, concerns and time frame for approval if required</w:t>
      </w:r>
      <w:r>
        <w:rPr>
          <w:color w:val="000000" w:themeColor="text1"/>
        </w:rPr>
        <w:t xml:space="preserve">. </w:t>
      </w:r>
    </w:p>
    <w:p w14:paraId="031B7D9D" w14:textId="77777777" w:rsidR="00937EE6" w:rsidRPr="000B0FD6" w:rsidRDefault="00937EE6" w:rsidP="00937EE6">
      <w:pPr>
        <w:pStyle w:val="ListParagraph"/>
        <w:ind w:left="2520"/>
        <w:jc w:val="both"/>
      </w:pPr>
    </w:p>
    <w:p w14:paraId="50AEA8FB" w14:textId="77777777" w:rsidR="000B0FD6" w:rsidRPr="00F31D22" w:rsidRDefault="000B0FD6" w:rsidP="000B0FD6">
      <w:pPr>
        <w:pStyle w:val="ListParagraph"/>
        <w:numPr>
          <w:ilvl w:val="0"/>
          <w:numId w:val="7"/>
        </w:numPr>
        <w:jc w:val="both"/>
      </w:pPr>
      <w:r w:rsidRPr="00BF42BE">
        <w:t>In the past L</w:t>
      </w:r>
      <w:r>
        <w:t xml:space="preserve">ittle </w:t>
      </w:r>
      <w:r w:rsidRPr="00BF42BE">
        <w:t>G</w:t>
      </w:r>
      <w:r>
        <w:t xml:space="preserve">asparilla </w:t>
      </w:r>
      <w:r w:rsidRPr="00BF42BE">
        <w:t>W</w:t>
      </w:r>
      <w:r>
        <w:t xml:space="preserve">ater </w:t>
      </w:r>
      <w:r w:rsidRPr="00BF42BE">
        <w:t>U</w:t>
      </w:r>
      <w:r>
        <w:t>tility</w:t>
      </w:r>
      <w:r w:rsidRPr="00BF42BE">
        <w:t xml:space="preserve"> has had many DEP violations, some of which took up to 3 years to rectify. </w:t>
      </w:r>
      <w:r>
        <w:t>The owner</w:t>
      </w:r>
      <w:r w:rsidRPr="00BF42BE">
        <w:t xml:space="preserve"> was arrested for </w:t>
      </w:r>
      <w:r>
        <w:t>redirecting</w:t>
      </w:r>
      <w:r w:rsidRPr="00BF42BE">
        <w:t xml:space="preserve"> water from Don Pedro State Park</w:t>
      </w:r>
      <w:r>
        <w:t xml:space="preserve"> to Little Gasparilla Island</w:t>
      </w:r>
      <w:r w:rsidRPr="00BF42BE">
        <w:t xml:space="preserve">. </w:t>
      </w:r>
      <w:r>
        <w:t>The owner</w:t>
      </w:r>
      <w:r w:rsidRPr="00BF42BE">
        <w:t xml:space="preserve"> was fined and cited by Charlotte</w:t>
      </w:r>
      <w:r>
        <w:t xml:space="preserve"> County</w:t>
      </w:r>
      <w:r w:rsidRPr="00BF42BE">
        <w:t xml:space="preserve"> for doing water connections without a permit. </w:t>
      </w:r>
      <w:r>
        <w:t xml:space="preserve">The owner was </w:t>
      </w:r>
      <w:r w:rsidRPr="00BF42BE">
        <w:t>fined and cited by Charlotte County for doing plumbing without a permit or license as part of the same water connections incident. In the past</w:t>
      </w:r>
      <w:r>
        <w:t>, the owner</w:t>
      </w:r>
      <w:r w:rsidRPr="00BF42BE">
        <w:t xml:space="preserve"> collected money for water hook-ups without paying the </w:t>
      </w:r>
      <w:r>
        <w:t>T</w:t>
      </w:r>
      <w:r w:rsidRPr="00BF42BE">
        <w:t>AP fee</w:t>
      </w:r>
      <w:r>
        <w:t>s</w:t>
      </w:r>
      <w:r w:rsidRPr="00BF42BE">
        <w:t xml:space="preserve"> that the County requires as each hook-up was done.</w:t>
      </w:r>
    </w:p>
    <w:p w14:paraId="579580D2" w14:textId="77777777" w:rsidR="00B859A2" w:rsidRDefault="00B859A2" w:rsidP="00B859A2">
      <w:pPr>
        <w:jc w:val="both"/>
        <w:rPr>
          <w:b/>
          <w:bCs/>
        </w:rPr>
      </w:pPr>
    </w:p>
    <w:p w14:paraId="1D7BEEC1"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36831C42" w14:textId="77777777" w:rsidR="00B859A2" w:rsidRDefault="00B859A2" w:rsidP="00B859A2">
      <w:pPr>
        <w:ind w:left="1440" w:hanging="1440"/>
        <w:jc w:val="both"/>
        <w:rPr>
          <w:b/>
          <w:bCs/>
        </w:rPr>
      </w:pPr>
    </w:p>
    <w:p w14:paraId="5EDFE804" w14:textId="77777777" w:rsidR="00B859A2" w:rsidRDefault="00B859A2" w:rsidP="00B859A2">
      <w:pPr>
        <w:ind w:left="1440" w:hanging="1440"/>
        <w:jc w:val="both"/>
        <w:rPr>
          <w:b/>
          <w:bCs/>
        </w:rPr>
      </w:pPr>
    </w:p>
    <w:p w14:paraId="4ED4CBB3" w14:textId="77777777" w:rsidR="00B859A2" w:rsidRDefault="00B859A2" w:rsidP="00B859A2">
      <w:pPr>
        <w:ind w:left="1440" w:hanging="1440"/>
        <w:jc w:val="both"/>
        <w:rPr>
          <w:b/>
        </w:rPr>
      </w:pPr>
      <w:r>
        <w:rPr>
          <w:b/>
          <w:bCs/>
          <w:u w:val="single"/>
        </w:rPr>
        <w:t>ISSUE 7</w:t>
      </w:r>
      <w:r>
        <w:rPr>
          <w:b/>
          <w:bCs/>
        </w:rPr>
        <w:t>:</w:t>
      </w:r>
      <w:r>
        <w:rPr>
          <w:b/>
          <w:bCs/>
        </w:rPr>
        <w:tab/>
      </w:r>
      <w:r w:rsidRPr="00B859A2">
        <w:rPr>
          <w:b/>
        </w:rPr>
        <w:t>Will Environmental Utilities have sufficient plant capacity to serve the requested territory?</w:t>
      </w:r>
    </w:p>
    <w:p w14:paraId="54978198" w14:textId="77777777" w:rsidR="00B859A2" w:rsidRDefault="00B859A2" w:rsidP="00B859A2">
      <w:pPr>
        <w:ind w:left="1440" w:hanging="1440"/>
        <w:jc w:val="both"/>
        <w:rPr>
          <w:b/>
        </w:rPr>
      </w:pPr>
    </w:p>
    <w:p w14:paraId="53538FD1" w14:textId="77777777" w:rsidR="00B859A2" w:rsidRDefault="00B859A2" w:rsidP="00891BA4">
      <w:pPr>
        <w:ind w:left="1440" w:hanging="1440"/>
        <w:jc w:val="both"/>
        <w:rPr>
          <w:b/>
          <w:bCs/>
        </w:rPr>
      </w:pPr>
      <w:r>
        <w:rPr>
          <w:b/>
          <w:bCs/>
        </w:rPr>
        <w:lastRenderedPageBreak/>
        <w:t>EU</w:t>
      </w:r>
      <w:r w:rsidRPr="005D4B47">
        <w:rPr>
          <w:b/>
          <w:bCs/>
        </w:rPr>
        <w:t>:</w:t>
      </w:r>
      <w:r w:rsidR="00891BA4">
        <w:rPr>
          <w:b/>
          <w:bCs/>
        </w:rPr>
        <w:tab/>
      </w:r>
      <w:r w:rsidR="00891BA4">
        <w:rPr>
          <w:rFonts w:eastAsia="Calibri"/>
        </w:rPr>
        <w:t>Yes, by virtue of the Bulk Sewer Treatment Agreement entered into with Charlotte County.</w:t>
      </w:r>
    </w:p>
    <w:p w14:paraId="47C11878" w14:textId="77777777" w:rsidR="00B859A2" w:rsidRDefault="00B859A2" w:rsidP="00B859A2">
      <w:pPr>
        <w:jc w:val="both"/>
        <w:rPr>
          <w:b/>
          <w:bCs/>
        </w:rPr>
      </w:pPr>
    </w:p>
    <w:p w14:paraId="55D4A1BD" w14:textId="77777777" w:rsidR="00B859A2" w:rsidRDefault="00B859A2" w:rsidP="0076335E">
      <w:pPr>
        <w:ind w:left="1440" w:hanging="1440"/>
        <w:jc w:val="both"/>
        <w:rPr>
          <w:b/>
          <w:bCs/>
        </w:rPr>
      </w:pPr>
      <w:r>
        <w:rPr>
          <w:b/>
          <w:bCs/>
        </w:rPr>
        <w:t>PIE:</w:t>
      </w:r>
      <w:r w:rsidR="0076335E">
        <w:rPr>
          <w:b/>
          <w:bCs/>
        </w:rPr>
        <w:tab/>
      </w:r>
      <w:r w:rsidR="0076335E">
        <w:t>PIE’s position is that Environmental Utilities does not have sufficient plant capacity to serve the requested territory.  It s anticipated that Stephen Suggs, P.E., will testify as to this issue.</w:t>
      </w:r>
    </w:p>
    <w:p w14:paraId="594DA9F3" w14:textId="77777777" w:rsidR="00B859A2" w:rsidRDefault="00B859A2" w:rsidP="00B859A2">
      <w:pPr>
        <w:jc w:val="both"/>
        <w:rPr>
          <w:b/>
          <w:bCs/>
        </w:rPr>
      </w:pPr>
    </w:p>
    <w:p w14:paraId="137DA466" w14:textId="77777777" w:rsidR="00B859A2" w:rsidRDefault="00B859A2" w:rsidP="00B859A2">
      <w:pPr>
        <w:jc w:val="both"/>
        <w:rPr>
          <w:b/>
          <w:bCs/>
        </w:rPr>
      </w:pPr>
      <w:r>
        <w:rPr>
          <w:b/>
          <w:bCs/>
        </w:rPr>
        <w:t>OPC:</w:t>
      </w:r>
      <w:r w:rsidR="006C5392">
        <w:rPr>
          <w:b/>
          <w:bCs/>
        </w:rPr>
        <w:tab/>
      </w:r>
      <w:r w:rsidR="006C5392">
        <w:rPr>
          <w:b/>
          <w:bCs/>
        </w:rPr>
        <w:tab/>
      </w:r>
      <w:r w:rsidR="006C5392">
        <w:t>No position.</w:t>
      </w:r>
    </w:p>
    <w:p w14:paraId="56189DB7" w14:textId="77777777" w:rsidR="00B859A2" w:rsidRDefault="00B859A2" w:rsidP="00B859A2">
      <w:pPr>
        <w:jc w:val="both"/>
        <w:rPr>
          <w:b/>
          <w:bCs/>
        </w:rPr>
      </w:pPr>
    </w:p>
    <w:p w14:paraId="20D6C236" w14:textId="7915FC7E" w:rsidR="00D71548" w:rsidRDefault="00B859A2" w:rsidP="000B0FD6">
      <w:pPr>
        <w:ind w:left="2160" w:hanging="2160"/>
        <w:jc w:val="both"/>
      </w:pPr>
      <w:r w:rsidRPr="007F0FDA">
        <w:rPr>
          <w:b/>
          <w:bCs/>
          <w:sz w:val="18"/>
          <w:szCs w:val="18"/>
        </w:rPr>
        <w:t>COTHERMAN:</w:t>
      </w:r>
      <w:r w:rsidR="00D71548">
        <w:rPr>
          <w:b/>
          <w:bCs/>
        </w:rPr>
        <w:t xml:space="preserve">   </w:t>
      </w:r>
      <w:r w:rsidR="000B0FD6">
        <w:t xml:space="preserve">Linda Cotherman’s position is that this is not known at this time because there are </w:t>
      </w:r>
    </w:p>
    <w:p w14:paraId="7EB42EA5" w14:textId="77777777" w:rsidR="00D71548" w:rsidRDefault="000B0FD6" w:rsidP="00D71548">
      <w:pPr>
        <w:ind w:left="2160" w:hanging="720"/>
        <w:jc w:val="both"/>
      </w:pPr>
      <w:r>
        <w:t xml:space="preserve">discrepancies in the submittals from EU pertaining to the GPD flow and the </w:t>
      </w:r>
    </w:p>
    <w:p w14:paraId="09676C52" w14:textId="17F0748E" w:rsidR="00B859A2" w:rsidRDefault="000B0FD6" w:rsidP="00D71548">
      <w:pPr>
        <w:ind w:left="2160" w:hanging="720"/>
        <w:jc w:val="both"/>
        <w:rPr>
          <w:b/>
          <w:bCs/>
        </w:rPr>
      </w:pPr>
      <w:r>
        <w:t>number, locations and classifications of ERCs within the proposed service area.</w:t>
      </w:r>
    </w:p>
    <w:p w14:paraId="5FB33C69" w14:textId="77777777" w:rsidR="00B859A2" w:rsidRDefault="00B859A2" w:rsidP="00B859A2">
      <w:pPr>
        <w:jc w:val="both"/>
        <w:rPr>
          <w:b/>
          <w:bCs/>
        </w:rPr>
      </w:pPr>
    </w:p>
    <w:p w14:paraId="7A2171F1"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701D16AB" w14:textId="77777777" w:rsidR="00B859A2" w:rsidRDefault="00B859A2" w:rsidP="00B859A2">
      <w:pPr>
        <w:ind w:left="1440" w:hanging="1440"/>
        <w:jc w:val="both"/>
        <w:rPr>
          <w:b/>
          <w:bCs/>
        </w:rPr>
      </w:pPr>
    </w:p>
    <w:p w14:paraId="26FBA285" w14:textId="77777777" w:rsidR="00B859A2" w:rsidRDefault="00B859A2" w:rsidP="00B859A2">
      <w:pPr>
        <w:ind w:left="1440" w:hanging="1440"/>
        <w:jc w:val="both"/>
        <w:rPr>
          <w:b/>
          <w:bCs/>
        </w:rPr>
      </w:pPr>
    </w:p>
    <w:p w14:paraId="1E96A0A9" w14:textId="77777777" w:rsidR="00B859A2" w:rsidRDefault="00B859A2" w:rsidP="00B859A2">
      <w:pPr>
        <w:ind w:left="1440" w:hanging="1440"/>
        <w:jc w:val="both"/>
        <w:rPr>
          <w:b/>
        </w:rPr>
      </w:pPr>
      <w:r>
        <w:rPr>
          <w:b/>
          <w:bCs/>
          <w:u w:val="single"/>
        </w:rPr>
        <w:t>ISSUE 8</w:t>
      </w:r>
      <w:r>
        <w:rPr>
          <w:b/>
          <w:bCs/>
        </w:rPr>
        <w:t>:</w:t>
      </w:r>
      <w:r>
        <w:rPr>
          <w:b/>
          <w:bCs/>
        </w:rPr>
        <w:tab/>
      </w:r>
      <w:r w:rsidRPr="00B859A2">
        <w:rPr>
          <w:b/>
        </w:rPr>
        <w:t>Has Environmental Utilities provided evidence that it has continued use of the land upon which the utility treatment facilities are or will be located?</w:t>
      </w:r>
    </w:p>
    <w:p w14:paraId="139E2CCB" w14:textId="77777777" w:rsidR="00B859A2" w:rsidRDefault="00B859A2" w:rsidP="00B859A2">
      <w:pPr>
        <w:ind w:left="1440" w:hanging="1440"/>
        <w:jc w:val="both"/>
        <w:rPr>
          <w:b/>
        </w:rPr>
      </w:pPr>
    </w:p>
    <w:p w14:paraId="36292078" w14:textId="77777777" w:rsidR="00B859A2" w:rsidRDefault="00B859A2" w:rsidP="00891BA4">
      <w:pPr>
        <w:ind w:left="1440" w:hanging="1440"/>
        <w:jc w:val="both"/>
        <w:rPr>
          <w:b/>
          <w:bCs/>
        </w:rPr>
      </w:pPr>
      <w:r>
        <w:rPr>
          <w:b/>
          <w:bCs/>
        </w:rPr>
        <w:t>EU</w:t>
      </w:r>
      <w:r w:rsidRPr="005D4B47">
        <w:rPr>
          <w:b/>
          <w:bCs/>
        </w:rPr>
        <w:t>:</w:t>
      </w:r>
      <w:r w:rsidR="00891BA4">
        <w:rPr>
          <w:b/>
          <w:bCs/>
        </w:rPr>
        <w:tab/>
      </w:r>
      <w:r w:rsidR="00891BA4">
        <w:rPr>
          <w:rFonts w:eastAsia="Calibri"/>
        </w:rPr>
        <w:t>This requirement is effectively satisfied through the Bulk Sewer Treatment Agreement entered into between EU and Charlotte County.</w:t>
      </w:r>
    </w:p>
    <w:p w14:paraId="62CF6253" w14:textId="77777777" w:rsidR="00B859A2" w:rsidRDefault="00B859A2" w:rsidP="00B859A2">
      <w:pPr>
        <w:jc w:val="both"/>
        <w:rPr>
          <w:b/>
          <w:bCs/>
        </w:rPr>
      </w:pPr>
    </w:p>
    <w:p w14:paraId="48FBF5F9" w14:textId="77777777" w:rsidR="00B859A2" w:rsidRDefault="00B859A2" w:rsidP="0076335E">
      <w:pPr>
        <w:ind w:left="1440" w:hanging="1440"/>
        <w:jc w:val="both"/>
        <w:rPr>
          <w:b/>
          <w:bCs/>
        </w:rPr>
      </w:pPr>
      <w:r>
        <w:rPr>
          <w:b/>
          <w:bCs/>
        </w:rPr>
        <w:t>PIE:</w:t>
      </w:r>
      <w:r w:rsidR="0076335E">
        <w:rPr>
          <w:b/>
          <w:bCs/>
        </w:rPr>
        <w:tab/>
      </w:r>
      <w:r w:rsidR="0076335E">
        <w:t>PIE’s position is that the applicant does not have continued use of the land upon which the utility treatment facilities are or will be located.  For example, the applicant does not have or maintain the necessary easements to allow for construction.  Jack Boyer and/or the Corporate Representative of Environmental Utilities, LLC, are expected to give testimony on this issue.</w:t>
      </w:r>
    </w:p>
    <w:p w14:paraId="051839E9" w14:textId="77777777" w:rsidR="00B859A2" w:rsidRDefault="00B859A2" w:rsidP="00B859A2">
      <w:pPr>
        <w:jc w:val="both"/>
        <w:rPr>
          <w:b/>
          <w:bCs/>
        </w:rPr>
      </w:pPr>
    </w:p>
    <w:p w14:paraId="0D725B11" w14:textId="77777777" w:rsidR="00B859A2" w:rsidRDefault="00B859A2" w:rsidP="00B859A2">
      <w:pPr>
        <w:jc w:val="both"/>
        <w:rPr>
          <w:b/>
          <w:bCs/>
        </w:rPr>
      </w:pPr>
      <w:r>
        <w:rPr>
          <w:b/>
          <w:bCs/>
        </w:rPr>
        <w:t>OPC:</w:t>
      </w:r>
      <w:r w:rsidR="006C5392">
        <w:rPr>
          <w:b/>
          <w:bCs/>
        </w:rPr>
        <w:tab/>
      </w:r>
      <w:r w:rsidR="006C5392">
        <w:rPr>
          <w:b/>
          <w:bCs/>
        </w:rPr>
        <w:tab/>
      </w:r>
      <w:r w:rsidR="006C5392">
        <w:t>No position.</w:t>
      </w:r>
    </w:p>
    <w:p w14:paraId="771C5039" w14:textId="77777777" w:rsidR="00B859A2" w:rsidRDefault="00B859A2" w:rsidP="00B859A2">
      <w:pPr>
        <w:jc w:val="both"/>
        <w:rPr>
          <w:b/>
          <w:bCs/>
        </w:rPr>
      </w:pPr>
    </w:p>
    <w:p w14:paraId="0926A706" w14:textId="1779C643" w:rsidR="00D71548" w:rsidRDefault="00B859A2" w:rsidP="000B0FD6">
      <w:pPr>
        <w:ind w:left="2160" w:hanging="2160"/>
        <w:jc w:val="both"/>
      </w:pPr>
      <w:r w:rsidRPr="005B101C">
        <w:rPr>
          <w:b/>
          <w:bCs/>
          <w:sz w:val="18"/>
          <w:szCs w:val="18"/>
        </w:rPr>
        <w:t>COTHERMAN:</w:t>
      </w:r>
      <w:r w:rsidR="00D71548">
        <w:rPr>
          <w:b/>
          <w:bCs/>
        </w:rPr>
        <w:t xml:space="preserve">   </w:t>
      </w:r>
      <w:r w:rsidR="000B0FD6">
        <w:t xml:space="preserve">No. Linda Cotherman’s position is that there is no evidence of continued use of </w:t>
      </w:r>
    </w:p>
    <w:p w14:paraId="143E8BA1" w14:textId="2938F548" w:rsidR="000B0FD6" w:rsidRDefault="000B0FD6" w:rsidP="00D71548">
      <w:pPr>
        <w:ind w:left="2160" w:hanging="720"/>
        <w:jc w:val="both"/>
      </w:pPr>
      <w:r>
        <w:t>the land for the facilities, based in part on the following:</w:t>
      </w:r>
    </w:p>
    <w:p w14:paraId="3E7F48C6" w14:textId="77777777" w:rsidR="000B0FD6" w:rsidRDefault="000B0FD6" w:rsidP="000B0FD6">
      <w:pPr>
        <w:jc w:val="both"/>
      </w:pPr>
    </w:p>
    <w:p w14:paraId="3417B0FE" w14:textId="77777777" w:rsidR="00B859A2" w:rsidRPr="000B0FD6" w:rsidRDefault="000B0FD6" w:rsidP="000B0FD6">
      <w:pPr>
        <w:pStyle w:val="ListParagraph"/>
        <w:numPr>
          <w:ilvl w:val="0"/>
          <w:numId w:val="8"/>
        </w:numPr>
        <w:jc w:val="both"/>
        <w:rPr>
          <w:b/>
          <w:bCs/>
        </w:rPr>
      </w:pPr>
      <w:r w:rsidRPr="00E4690F">
        <w:t>While the wastewater treatment plant is located on the mainland, owned by Charlotte County, there has been no agreement or documents that EU has the guaranteed continued use of land where the tanks, lines and pumping stations will be located. This would include rights-of-way, privately owned lands, Don Pedro Island State Park lands and easements and approval from WCIND, the Army Corps of Engineers and the Board of Trustees of Submerged Land for the subaqueous crossing required for this project</w:t>
      </w:r>
      <w:r>
        <w:t>.</w:t>
      </w:r>
    </w:p>
    <w:p w14:paraId="0BEDCAAE" w14:textId="77777777" w:rsidR="00B859A2" w:rsidRDefault="00B859A2" w:rsidP="00B859A2">
      <w:pPr>
        <w:jc w:val="both"/>
        <w:rPr>
          <w:b/>
          <w:bCs/>
        </w:rPr>
      </w:pPr>
    </w:p>
    <w:p w14:paraId="3C8536D9"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5D96012A" w14:textId="77777777" w:rsidR="00B859A2" w:rsidRDefault="00B859A2" w:rsidP="00B859A2">
      <w:pPr>
        <w:ind w:left="1440" w:hanging="1440"/>
        <w:jc w:val="both"/>
        <w:rPr>
          <w:b/>
          <w:bCs/>
        </w:rPr>
      </w:pPr>
    </w:p>
    <w:p w14:paraId="5EB79C65" w14:textId="77777777" w:rsidR="00B859A2" w:rsidRDefault="00B859A2" w:rsidP="00B859A2">
      <w:pPr>
        <w:ind w:left="1440" w:hanging="1440"/>
        <w:jc w:val="both"/>
        <w:rPr>
          <w:b/>
          <w:bCs/>
        </w:rPr>
      </w:pPr>
    </w:p>
    <w:p w14:paraId="44F7BD5C" w14:textId="77777777" w:rsidR="00B859A2" w:rsidRDefault="00B859A2" w:rsidP="00B859A2">
      <w:pPr>
        <w:ind w:left="1440" w:hanging="1440"/>
        <w:jc w:val="both"/>
        <w:rPr>
          <w:b/>
          <w:bCs/>
        </w:rPr>
      </w:pPr>
      <w:r>
        <w:rPr>
          <w:b/>
          <w:bCs/>
          <w:u w:val="single"/>
        </w:rPr>
        <w:lastRenderedPageBreak/>
        <w:t>ISSUE 9</w:t>
      </w:r>
      <w:r>
        <w:rPr>
          <w:b/>
          <w:bCs/>
        </w:rPr>
        <w:t>:</w:t>
      </w:r>
      <w:r>
        <w:rPr>
          <w:b/>
          <w:bCs/>
        </w:rPr>
        <w:tab/>
      </w:r>
      <w:r w:rsidRPr="00B859A2">
        <w:rPr>
          <w:b/>
          <w:bCs/>
        </w:rPr>
        <w:t>Is it in the public interest for Environmental Utilities to be granted a wastewater certificate for the territory proposed in its application?</w:t>
      </w:r>
    </w:p>
    <w:p w14:paraId="6F28571F" w14:textId="77777777" w:rsidR="00B859A2" w:rsidRDefault="00B859A2" w:rsidP="00B859A2">
      <w:pPr>
        <w:ind w:left="1440" w:hanging="1440"/>
        <w:jc w:val="both"/>
        <w:rPr>
          <w:b/>
          <w:bCs/>
        </w:rPr>
      </w:pPr>
    </w:p>
    <w:p w14:paraId="79A34542" w14:textId="77777777" w:rsidR="00B859A2" w:rsidRDefault="00B859A2" w:rsidP="00891BA4">
      <w:pPr>
        <w:ind w:left="1440" w:hanging="1440"/>
        <w:jc w:val="both"/>
        <w:rPr>
          <w:b/>
          <w:bCs/>
        </w:rPr>
      </w:pPr>
      <w:r>
        <w:rPr>
          <w:b/>
          <w:bCs/>
        </w:rPr>
        <w:t>EU</w:t>
      </w:r>
      <w:r w:rsidRPr="005D4B47">
        <w:rPr>
          <w:b/>
          <w:bCs/>
        </w:rPr>
        <w:t>:</w:t>
      </w:r>
      <w:r w:rsidR="00891BA4">
        <w:rPr>
          <w:b/>
          <w:bCs/>
        </w:rPr>
        <w:tab/>
      </w:r>
      <w:r w:rsidR="00891BA4">
        <w:rPr>
          <w:rFonts w:eastAsia="Calibri"/>
        </w:rPr>
        <w:t>Yes. The County has identified these islands as a priority for the removal of septic tanks which the Charlotte County Master Sewer Plan identifies as a major contributor to the degradation of water quality in the waters adjacent to the County.</w:t>
      </w:r>
    </w:p>
    <w:p w14:paraId="07A4DEB4" w14:textId="77777777" w:rsidR="00B859A2" w:rsidRDefault="00B859A2" w:rsidP="00B859A2">
      <w:pPr>
        <w:jc w:val="both"/>
        <w:rPr>
          <w:b/>
          <w:bCs/>
        </w:rPr>
      </w:pPr>
    </w:p>
    <w:p w14:paraId="5B005E41" w14:textId="77777777" w:rsidR="00B859A2" w:rsidRDefault="00B859A2" w:rsidP="0076335E">
      <w:pPr>
        <w:ind w:left="1440" w:hanging="1440"/>
        <w:jc w:val="both"/>
        <w:rPr>
          <w:b/>
          <w:bCs/>
        </w:rPr>
      </w:pPr>
      <w:r>
        <w:rPr>
          <w:b/>
          <w:bCs/>
        </w:rPr>
        <w:t>PIE:</w:t>
      </w:r>
      <w:r w:rsidR="0076335E">
        <w:rPr>
          <w:b/>
          <w:bCs/>
        </w:rPr>
        <w:tab/>
      </w:r>
      <w:r w:rsidR="0076335E">
        <w:rPr>
          <w:bCs/>
        </w:rPr>
        <w:t>PIE’s position on this issue is that the public interest will not be served if Environmental Utilities is granted a wastewater certificate for the territory proposed in the application.  It is expected that Ellen Hardgrove, AICP, Robert H. Weisberg, Ph.D., Sheri Schultz, CPA/ABV/CFF and Meryl Schaffer will give testimony on this topic to establish that the proposed application is inconsistent with the comprehensive plan, that there is no scientific evidence to establish degraded water quality on the bridgeless barrier islands, that the applicant lacks the financial and technical wherewithal to operate the utility and that service has not been requested by the residents on the bridgeless barrier islands.</w:t>
      </w:r>
    </w:p>
    <w:p w14:paraId="382CCCAA" w14:textId="77777777" w:rsidR="00B859A2" w:rsidRDefault="00B859A2" w:rsidP="00B859A2">
      <w:pPr>
        <w:jc w:val="both"/>
        <w:rPr>
          <w:b/>
          <w:bCs/>
        </w:rPr>
      </w:pPr>
    </w:p>
    <w:p w14:paraId="29B46290" w14:textId="77777777" w:rsidR="00B859A2" w:rsidRDefault="00B859A2" w:rsidP="00B859A2">
      <w:pPr>
        <w:jc w:val="both"/>
        <w:rPr>
          <w:b/>
          <w:bCs/>
        </w:rPr>
      </w:pPr>
      <w:r>
        <w:rPr>
          <w:b/>
          <w:bCs/>
        </w:rPr>
        <w:t>OPC:</w:t>
      </w:r>
      <w:r w:rsidR="006C5392">
        <w:rPr>
          <w:b/>
          <w:bCs/>
        </w:rPr>
        <w:tab/>
      </w:r>
      <w:r w:rsidR="006C5392">
        <w:rPr>
          <w:b/>
          <w:bCs/>
        </w:rPr>
        <w:tab/>
      </w:r>
      <w:r w:rsidR="006C5392">
        <w:t>No position.</w:t>
      </w:r>
    </w:p>
    <w:p w14:paraId="0835E8C3" w14:textId="77777777" w:rsidR="00B859A2" w:rsidRDefault="00B859A2" w:rsidP="00B859A2">
      <w:pPr>
        <w:jc w:val="both"/>
        <w:rPr>
          <w:b/>
          <w:bCs/>
        </w:rPr>
      </w:pPr>
    </w:p>
    <w:p w14:paraId="6E71507F" w14:textId="0FA4476D" w:rsidR="00D71548" w:rsidRDefault="00B859A2" w:rsidP="00E522CE">
      <w:pPr>
        <w:ind w:left="2160" w:hanging="2160"/>
        <w:jc w:val="both"/>
      </w:pPr>
      <w:r w:rsidRPr="005B101C">
        <w:rPr>
          <w:b/>
          <w:bCs/>
          <w:sz w:val="18"/>
          <w:szCs w:val="18"/>
        </w:rPr>
        <w:t>COTHERMAN:</w:t>
      </w:r>
      <w:r w:rsidR="00D71548">
        <w:rPr>
          <w:b/>
          <w:bCs/>
        </w:rPr>
        <w:t xml:space="preserve">   </w:t>
      </w:r>
      <w:r w:rsidR="000B0FD6">
        <w:t xml:space="preserve">No. Linda Cotherman’s position is that it is not in the public interest for EU to be </w:t>
      </w:r>
    </w:p>
    <w:p w14:paraId="22E799FA" w14:textId="77777777" w:rsidR="00D71548" w:rsidRDefault="000B0FD6" w:rsidP="00E522CE">
      <w:pPr>
        <w:ind w:left="2160" w:hanging="720"/>
        <w:jc w:val="both"/>
      </w:pPr>
      <w:r>
        <w:t xml:space="preserve">granted a wastewater certificate for the proposed service area based in part on the </w:t>
      </w:r>
    </w:p>
    <w:p w14:paraId="172F2808" w14:textId="456DDDED" w:rsidR="000B0FD6" w:rsidRDefault="000B0FD6" w:rsidP="00E522CE">
      <w:pPr>
        <w:ind w:left="2160" w:hanging="720"/>
        <w:jc w:val="both"/>
      </w:pPr>
      <w:r>
        <w:t xml:space="preserve">following: </w:t>
      </w:r>
    </w:p>
    <w:p w14:paraId="071F6E50" w14:textId="77777777" w:rsidR="00937EE6" w:rsidRDefault="00937EE6" w:rsidP="000B0FD6">
      <w:pPr>
        <w:ind w:left="2160" w:hanging="2160"/>
      </w:pPr>
    </w:p>
    <w:p w14:paraId="5BD79767" w14:textId="77777777" w:rsidR="000B0FD6" w:rsidRDefault="000B0FD6" w:rsidP="00E522CE">
      <w:pPr>
        <w:pStyle w:val="ListParagraph"/>
        <w:numPr>
          <w:ilvl w:val="0"/>
          <w:numId w:val="9"/>
        </w:numPr>
        <w:spacing w:after="200" w:line="276" w:lineRule="auto"/>
        <w:jc w:val="both"/>
      </w:pPr>
      <w:r>
        <w:t>There is no demonstrable benefit to the granting of this certification, and the burdens to the stakeholders far outweigh any potential benefit.</w:t>
      </w:r>
    </w:p>
    <w:p w14:paraId="78D827ED" w14:textId="77777777" w:rsidR="00937EE6" w:rsidRDefault="00937EE6" w:rsidP="00937EE6">
      <w:pPr>
        <w:pStyle w:val="ListParagraph"/>
        <w:spacing w:after="200" w:line="276" w:lineRule="auto"/>
        <w:ind w:left="2520"/>
      </w:pPr>
    </w:p>
    <w:p w14:paraId="1780A350" w14:textId="77777777" w:rsidR="000B0FD6" w:rsidRDefault="000B0FD6" w:rsidP="00E522CE">
      <w:pPr>
        <w:pStyle w:val="ListParagraph"/>
        <w:numPr>
          <w:ilvl w:val="0"/>
          <w:numId w:val="10"/>
        </w:numPr>
        <w:spacing w:after="200" w:line="276" w:lineRule="auto"/>
        <w:jc w:val="both"/>
      </w:pPr>
      <w:r>
        <w:t>We see no evidence of the due diligence required to provide accurate cost estimates for a project of this scope inclusive of a subaqueous crossing, which indicates likely cost overruns.</w:t>
      </w:r>
    </w:p>
    <w:p w14:paraId="3D060369" w14:textId="77777777" w:rsidR="00937EE6" w:rsidRDefault="00937EE6" w:rsidP="00937EE6">
      <w:pPr>
        <w:pStyle w:val="ListParagraph"/>
        <w:spacing w:after="200" w:line="276" w:lineRule="auto"/>
        <w:ind w:left="2520"/>
      </w:pPr>
    </w:p>
    <w:p w14:paraId="2ABDBAB2" w14:textId="77777777" w:rsidR="000B0FD6" w:rsidRDefault="000B0FD6" w:rsidP="00E522CE">
      <w:pPr>
        <w:pStyle w:val="ListParagraph"/>
        <w:numPr>
          <w:ilvl w:val="0"/>
          <w:numId w:val="10"/>
        </w:numPr>
        <w:spacing w:after="200" w:line="276" w:lineRule="auto"/>
        <w:jc w:val="both"/>
      </w:pPr>
      <w:r>
        <w:t>There are unique challenges of building a centralized sewage collection system on a bridgeless barrier island in a hurricane-prone flood zone which will incur “soft costs” related to environmental and other issues (i.e. wetlands crossing, gopher tortoise identification and relocation costs) ultimately increasing the cost to the stakeholders.</w:t>
      </w:r>
    </w:p>
    <w:p w14:paraId="4BB0198D" w14:textId="77777777" w:rsidR="00937EE6" w:rsidRDefault="00937EE6" w:rsidP="00937EE6">
      <w:pPr>
        <w:pStyle w:val="ListParagraph"/>
      </w:pPr>
    </w:p>
    <w:p w14:paraId="3DD11CBA" w14:textId="77777777" w:rsidR="000B0FD6" w:rsidRDefault="000B0FD6" w:rsidP="00E522CE">
      <w:pPr>
        <w:pStyle w:val="ListParagraph"/>
        <w:numPr>
          <w:ilvl w:val="0"/>
          <w:numId w:val="10"/>
        </w:numPr>
        <w:spacing w:after="200" w:line="276" w:lineRule="auto"/>
        <w:jc w:val="both"/>
      </w:pPr>
      <w:r>
        <w:t>The applicant has not addressed the potential impact to stakeholders if the construction costs are substantially higher than the estimated costs.</w:t>
      </w:r>
    </w:p>
    <w:p w14:paraId="1A47D1A2" w14:textId="77777777" w:rsidR="00937EE6" w:rsidRDefault="00937EE6" w:rsidP="00937EE6">
      <w:pPr>
        <w:pStyle w:val="ListParagraph"/>
      </w:pPr>
    </w:p>
    <w:p w14:paraId="5041E0F5" w14:textId="77777777" w:rsidR="000B0FD6" w:rsidRDefault="000B0FD6" w:rsidP="00E522CE">
      <w:pPr>
        <w:pStyle w:val="ListParagraph"/>
        <w:numPr>
          <w:ilvl w:val="0"/>
          <w:numId w:val="10"/>
        </w:numPr>
        <w:spacing w:after="200" w:line="276" w:lineRule="auto"/>
        <w:jc w:val="both"/>
      </w:pPr>
      <w:r>
        <w:t>T</w:t>
      </w:r>
      <w:r w:rsidRPr="00CE4A5A">
        <w:t>here are</w:t>
      </w:r>
      <w:r>
        <w:t xml:space="preserve"> additional</w:t>
      </w:r>
      <w:r w:rsidRPr="00CE4A5A">
        <w:t xml:space="preserve"> expenses that will fall to the homeowner that are not included in the connection charges, such as the installation of a discreet electric panel for the system, clearing of trees, landscaping </w:t>
      </w:r>
      <w:r w:rsidRPr="00CE4A5A">
        <w:lastRenderedPageBreak/>
        <w:t>and hardscaping, and back-up generators in the event of a power outage</w:t>
      </w:r>
      <w:r>
        <w:t>, which are frequent on these islands.</w:t>
      </w:r>
    </w:p>
    <w:p w14:paraId="0A5FFE2F" w14:textId="77777777" w:rsidR="00937EE6" w:rsidRDefault="00937EE6" w:rsidP="00937EE6">
      <w:pPr>
        <w:pStyle w:val="ListParagraph"/>
      </w:pPr>
    </w:p>
    <w:p w14:paraId="1FA7091F" w14:textId="77777777" w:rsidR="000B0FD6" w:rsidRDefault="000B0FD6" w:rsidP="00E522CE">
      <w:pPr>
        <w:pStyle w:val="ListParagraph"/>
        <w:numPr>
          <w:ilvl w:val="0"/>
          <w:numId w:val="10"/>
        </w:numPr>
        <w:spacing w:after="200" w:line="276" w:lineRule="auto"/>
        <w:jc w:val="both"/>
      </w:pPr>
      <w:r>
        <w:t>There is no pay-over-time provision available to the homeowners relative to the connection fee.</w:t>
      </w:r>
    </w:p>
    <w:p w14:paraId="6615BF01" w14:textId="77777777" w:rsidR="00937EE6" w:rsidRDefault="00937EE6" w:rsidP="00937EE6">
      <w:pPr>
        <w:pStyle w:val="ListParagraph"/>
      </w:pPr>
    </w:p>
    <w:p w14:paraId="6B4D73E9" w14:textId="77777777" w:rsidR="000B0FD6" w:rsidRPr="00937EE6" w:rsidRDefault="000B0FD6" w:rsidP="00E522CE">
      <w:pPr>
        <w:pStyle w:val="ListParagraph"/>
        <w:numPr>
          <w:ilvl w:val="0"/>
          <w:numId w:val="9"/>
        </w:numPr>
        <w:spacing w:after="200" w:line="276" w:lineRule="auto"/>
        <w:jc w:val="both"/>
      </w:pPr>
      <w:r>
        <w:t>Vehicle traffic to t</w:t>
      </w:r>
      <w:r w:rsidRPr="00F64441">
        <w:t>hese island</w:t>
      </w:r>
      <w:r>
        <w:t>s</w:t>
      </w:r>
      <w:r w:rsidRPr="00F64441">
        <w:t xml:space="preserve"> </w:t>
      </w:r>
      <w:r>
        <w:t>is</w:t>
      </w:r>
      <w:r w:rsidRPr="00F64441">
        <w:t xml:space="preserve"> served by privately-owned boats and a privately-owned</w:t>
      </w:r>
      <w:r>
        <w:t xml:space="preserve"> 6-8 passenger </w:t>
      </w:r>
      <w:r w:rsidRPr="00F64441">
        <w:t>car ferry service</w:t>
      </w:r>
      <w:r>
        <w:t xml:space="preserve"> which also carries equipment from the mainland</w:t>
      </w:r>
      <w:r w:rsidRPr="00F64441">
        <w:t xml:space="preserve">. </w:t>
      </w:r>
      <w:r>
        <w:t xml:space="preserve">The car ferry has limited hours and service limitations based on weather, tides, staffing and mechanical issues. </w:t>
      </w:r>
      <w:r w:rsidRPr="00FF5EE3">
        <w:rPr>
          <w:bCs/>
        </w:rPr>
        <w:t>The applicant has</w:t>
      </w:r>
      <w:r>
        <w:rPr>
          <w:bCs/>
        </w:rPr>
        <w:t xml:space="preserve"> not provided a plan for </w:t>
      </w:r>
      <w:r w:rsidRPr="00FF5EE3">
        <w:rPr>
          <w:bCs/>
        </w:rPr>
        <w:t xml:space="preserve">the logistics of </w:t>
      </w:r>
      <w:r>
        <w:rPr>
          <w:bCs/>
        </w:rPr>
        <w:t>working with an unpredictable ferry service, its impact on cost-effective scheduling and mitigating the disruption to local traffic. These</w:t>
      </w:r>
      <w:r w:rsidRPr="00FF5EE3">
        <w:rPr>
          <w:bCs/>
        </w:rPr>
        <w:t xml:space="preserve"> factors may impact the final costs. </w:t>
      </w:r>
    </w:p>
    <w:p w14:paraId="156496BA" w14:textId="77777777" w:rsidR="00937EE6" w:rsidRDefault="00937EE6" w:rsidP="00937EE6">
      <w:pPr>
        <w:pStyle w:val="ListParagraph"/>
        <w:spacing w:after="200" w:line="276" w:lineRule="auto"/>
        <w:ind w:left="2520"/>
      </w:pPr>
    </w:p>
    <w:p w14:paraId="4EF71265" w14:textId="77777777" w:rsidR="000B0FD6" w:rsidRDefault="000B0FD6" w:rsidP="00E522CE">
      <w:pPr>
        <w:pStyle w:val="ListParagraph"/>
        <w:numPr>
          <w:ilvl w:val="0"/>
          <w:numId w:val="9"/>
        </w:numPr>
        <w:spacing w:after="200" w:line="276" w:lineRule="auto"/>
        <w:jc w:val="both"/>
      </w:pPr>
      <w:r>
        <w:t>If the utility fails in the installation or operation of its proposed facility the County or another entity would assume the expense and responsibility for the service, the cost of which will be borne by the property owners.</w:t>
      </w:r>
    </w:p>
    <w:p w14:paraId="778988B3" w14:textId="77777777" w:rsidR="00937EE6" w:rsidRDefault="00937EE6" w:rsidP="00937EE6">
      <w:pPr>
        <w:pStyle w:val="ListParagraph"/>
      </w:pPr>
    </w:p>
    <w:p w14:paraId="724E3D53" w14:textId="77777777" w:rsidR="000B0FD6" w:rsidRDefault="000B0FD6" w:rsidP="00E522CE">
      <w:pPr>
        <w:pStyle w:val="ListParagraph"/>
        <w:numPr>
          <w:ilvl w:val="0"/>
          <w:numId w:val="9"/>
        </w:numPr>
        <w:spacing w:after="200" w:line="276" w:lineRule="auto"/>
        <w:jc w:val="both"/>
        <w:rPr>
          <w:color w:val="000000" w:themeColor="text1"/>
        </w:rPr>
      </w:pPr>
      <w:r>
        <w:t xml:space="preserve">The applicant hasn’t </w:t>
      </w:r>
      <w:r w:rsidRPr="001968B1">
        <w:rPr>
          <w:color w:val="000000" w:themeColor="text1"/>
        </w:rPr>
        <w:t xml:space="preserve">addressed the potential </w:t>
      </w:r>
      <w:r>
        <w:rPr>
          <w:color w:val="000000" w:themeColor="text1"/>
        </w:rPr>
        <w:t xml:space="preserve">consequences, and how they would be addressed, </w:t>
      </w:r>
      <w:r w:rsidRPr="001968B1">
        <w:rPr>
          <w:color w:val="000000" w:themeColor="text1"/>
        </w:rPr>
        <w:t xml:space="preserve">of a hurricane or other adverse conditions </w:t>
      </w:r>
      <w:r>
        <w:rPr>
          <w:color w:val="000000" w:themeColor="text1"/>
        </w:rPr>
        <w:t xml:space="preserve">that could impact </w:t>
      </w:r>
      <w:r w:rsidRPr="001968B1">
        <w:rPr>
          <w:color w:val="000000" w:themeColor="text1"/>
        </w:rPr>
        <w:t xml:space="preserve">the </w:t>
      </w:r>
      <w:r>
        <w:rPr>
          <w:color w:val="000000" w:themeColor="text1"/>
        </w:rPr>
        <w:t xml:space="preserve">maintenance of the system, such as </w:t>
      </w:r>
      <w:r w:rsidRPr="001968B1">
        <w:rPr>
          <w:color w:val="000000" w:themeColor="text1"/>
        </w:rPr>
        <w:t xml:space="preserve">power outages, </w:t>
      </w:r>
      <w:r>
        <w:rPr>
          <w:color w:val="000000" w:themeColor="text1"/>
        </w:rPr>
        <w:t xml:space="preserve">line </w:t>
      </w:r>
      <w:r w:rsidRPr="001968B1">
        <w:rPr>
          <w:color w:val="000000" w:themeColor="text1"/>
        </w:rPr>
        <w:t>rupture</w:t>
      </w:r>
      <w:r>
        <w:rPr>
          <w:color w:val="000000" w:themeColor="text1"/>
        </w:rPr>
        <w:t>s, etc.</w:t>
      </w:r>
    </w:p>
    <w:p w14:paraId="3E93948F" w14:textId="77777777" w:rsidR="00937EE6" w:rsidRPr="00937EE6" w:rsidRDefault="00937EE6" w:rsidP="00937EE6">
      <w:pPr>
        <w:pStyle w:val="ListParagraph"/>
        <w:rPr>
          <w:color w:val="000000" w:themeColor="text1"/>
        </w:rPr>
      </w:pPr>
    </w:p>
    <w:p w14:paraId="3EB71215" w14:textId="77777777" w:rsidR="000B0FD6" w:rsidRDefault="000B0FD6" w:rsidP="000B0FD6">
      <w:pPr>
        <w:pStyle w:val="ListParagraph"/>
        <w:numPr>
          <w:ilvl w:val="0"/>
          <w:numId w:val="9"/>
        </w:numPr>
        <w:jc w:val="both"/>
      </w:pPr>
      <w:r>
        <w:t>EU has not produced an emergency response plan for a sewer spill, which would take on great significance</w:t>
      </w:r>
      <w:r>
        <w:rPr>
          <w:color w:val="000000" w:themeColor="text1"/>
        </w:rPr>
        <w:t xml:space="preserve"> </w:t>
      </w:r>
      <w:r>
        <w:t>due to the islands’ proximity to water.</w:t>
      </w:r>
    </w:p>
    <w:p w14:paraId="103D8B32" w14:textId="77777777" w:rsidR="00937EE6" w:rsidRDefault="00937EE6" w:rsidP="00937EE6">
      <w:pPr>
        <w:pStyle w:val="ListParagraph"/>
      </w:pPr>
    </w:p>
    <w:p w14:paraId="2411AF4B" w14:textId="1E6B4FAF" w:rsidR="000B0FD6" w:rsidRPr="00937EE6" w:rsidRDefault="000B0FD6" w:rsidP="000B0FD6">
      <w:pPr>
        <w:pStyle w:val="ListParagraph"/>
        <w:numPr>
          <w:ilvl w:val="0"/>
          <w:numId w:val="9"/>
        </w:numPr>
        <w:jc w:val="both"/>
      </w:pPr>
      <w:r w:rsidRPr="0047704A">
        <w:rPr>
          <w:color w:val="000000" w:themeColor="text1"/>
        </w:rPr>
        <w:t>The proposed utility is in conflict with the County’s Comprehensive Plan, which is put in place to direct growth to areas that are desirable for development, and to limit it</w:t>
      </w:r>
      <w:r w:rsidR="00227492">
        <w:rPr>
          <w:color w:val="000000" w:themeColor="text1"/>
        </w:rPr>
        <w:t xml:space="preserve"> </w:t>
      </w:r>
      <w:r w:rsidRPr="0047704A">
        <w:rPr>
          <w:color w:val="000000" w:themeColor="text1"/>
        </w:rPr>
        <w:t>in areas that are not.</w:t>
      </w:r>
    </w:p>
    <w:p w14:paraId="557E9794" w14:textId="77777777" w:rsidR="00937EE6" w:rsidRDefault="00937EE6" w:rsidP="00937EE6">
      <w:pPr>
        <w:pStyle w:val="ListParagraph"/>
      </w:pPr>
    </w:p>
    <w:p w14:paraId="7489DF9B" w14:textId="77777777" w:rsidR="000B0FD6" w:rsidRDefault="000B0FD6" w:rsidP="00E522CE">
      <w:pPr>
        <w:pStyle w:val="ListParagraph"/>
        <w:numPr>
          <w:ilvl w:val="0"/>
          <w:numId w:val="9"/>
        </w:numPr>
        <w:spacing w:after="200" w:line="276" w:lineRule="auto"/>
        <w:jc w:val="both"/>
        <w:rPr>
          <w:color w:val="000000" w:themeColor="text1"/>
        </w:rPr>
      </w:pPr>
      <w:r>
        <w:t xml:space="preserve">The introduction of central sewer to an </w:t>
      </w:r>
      <w:r w:rsidRPr="0047704A">
        <w:rPr>
          <w:color w:val="000000" w:themeColor="text1"/>
        </w:rPr>
        <w:t>environmentally sensitive area in a hurricane and flood zone will open the door to more intense development and excessive density and greater safety concerns.</w:t>
      </w:r>
    </w:p>
    <w:p w14:paraId="68542B27"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00085C1A" w14:textId="77777777" w:rsidR="00B859A2" w:rsidRDefault="00B859A2" w:rsidP="00B859A2">
      <w:pPr>
        <w:ind w:left="1440" w:hanging="1440"/>
        <w:jc w:val="both"/>
        <w:rPr>
          <w:b/>
          <w:bCs/>
        </w:rPr>
      </w:pPr>
    </w:p>
    <w:p w14:paraId="5BC1F842" w14:textId="77777777" w:rsidR="00B859A2" w:rsidRDefault="00B859A2" w:rsidP="00B859A2">
      <w:pPr>
        <w:ind w:left="1440" w:hanging="1440"/>
        <w:jc w:val="both"/>
        <w:rPr>
          <w:b/>
          <w:bCs/>
        </w:rPr>
      </w:pPr>
    </w:p>
    <w:p w14:paraId="3B5DD944" w14:textId="77777777" w:rsidR="00B859A2" w:rsidRDefault="00B859A2" w:rsidP="00B859A2">
      <w:pPr>
        <w:ind w:left="1440" w:hanging="1440"/>
        <w:jc w:val="both"/>
        <w:rPr>
          <w:b/>
          <w:bCs/>
        </w:rPr>
      </w:pPr>
      <w:r>
        <w:rPr>
          <w:b/>
          <w:bCs/>
          <w:u w:val="single"/>
        </w:rPr>
        <w:t>ISSUE 10</w:t>
      </w:r>
      <w:r>
        <w:rPr>
          <w:b/>
          <w:bCs/>
        </w:rPr>
        <w:t>:</w:t>
      </w:r>
      <w:r>
        <w:rPr>
          <w:b/>
          <w:bCs/>
        </w:rPr>
        <w:tab/>
      </w:r>
      <w:r w:rsidRPr="00B859A2">
        <w:rPr>
          <w:b/>
          <w:bCs/>
        </w:rPr>
        <w:t>What are the appropriate rate structures and rates for the wastewater system for Environmental Utilities?</w:t>
      </w:r>
    </w:p>
    <w:p w14:paraId="1A64CC4A" w14:textId="77777777" w:rsidR="00B859A2" w:rsidRDefault="00B859A2" w:rsidP="00B859A2">
      <w:pPr>
        <w:ind w:left="1440" w:hanging="1440"/>
        <w:jc w:val="both"/>
        <w:rPr>
          <w:b/>
          <w:bCs/>
        </w:rPr>
      </w:pPr>
    </w:p>
    <w:p w14:paraId="27FDEA68" w14:textId="14FC0F9A" w:rsidR="00891BA4" w:rsidRDefault="00B859A2" w:rsidP="00891BA4">
      <w:pPr>
        <w:spacing w:after="200" w:line="276" w:lineRule="auto"/>
        <w:contextualSpacing/>
        <w:jc w:val="both"/>
        <w:outlineLvl w:val="2"/>
        <w:rPr>
          <w:rFonts w:eastAsia="Calibri"/>
        </w:rPr>
      </w:pPr>
      <w:r>
        <w:rPr>
          <w:b/>
          <w:bCs/>
        </w:rPr>
        <w:t>EU</w:t>
      </w:r>
      <w:r w:rsidRPr="005D4B47">
        <w:rPr>
          <w:b/>
          <w:bCs/>
        </w:rPr>
        <w:t>:</w:t>
      </w:r>
      <w:r w:rsidR="00891BA4">
        <w:rPr>
          <w:b/>
          <w:bCs/>
        </w:rPr>
        <w:tab/>
      </w:r>
      <w:r w:rsidR="00891BA4">
        <w:rPr>
          <w:b/>
          <w:bCs/>
        </w:rPr>
        <w:tab/>
      </w:r>
      <w:r w:rsidR="00891BA4">
        <w:rPr>
          <w:rFonts w:eastAsia="Calibri"/>
        </w:rPr>
        <w:t xml:space="preserve">Base Facility Charge: </w:t>
      </w:r>
      <w:r w:rsidR="00891BA4" w:rsidRPr="00E2381A">
        <w:rPr>
          <w:rFonts w:eastAsia="Calibri"/>
        </w:rPr>
        <w:t>5/8” x 3/4"</w:t>
      </w:r>
      <w:r w:rsidR="00891BA4">
        <w:rPr>
          <w:rFonts w:eastAsia="Calibri"/>
        </w:rPr>
        <w:t xml:space="preserve"> ……………  $ 112.78</w:t>
      </w:r>
    </w:p>
    <w:p w14:paraId="5316621C" w14:textId="77777777" w:rsidR="00891BA4" w:rsidRDefault="00891BA4" w:rsidP="00891BA4">
      <w:pPr>
        <w:spacing w:after="200" w:line="276" w:lineRule="auto"/>
        <w:ind w:left="1440"/>
        <w:contextualSpacing/>
        <w:jc w:val="both"/>
        <w:outlineLvl w:val="2"/>
        <w:rPr>
          <w:rFonts w:eastAsia="Calibri"/>
        </w:rPr>
      </w:pPr>
      <w:r>
        <w:rPr>
          <w:rFonts w:eastAsia="Calibri"/>
        </w:rPr>
        <w:t>[all other meter sizes to be increased pursuant to Rule 25-30.055(1)(b), F.A.C.]</w:t>
      </w:r>
    </w:p>
    <w:p w14:paraId="1CBEAD35" w14:textId="77777777" w:rsidR="00891BA4" w:rsidRDefault="00891BA4" w:rsidP="00891BA4">
      <w:pPr>
        <w:spacing w:after="200" w:line="276" w:lineRule="auto"/>
        <w:ind w:left="1440"/>
        <w:contextualSpacing/>
        <w:jc w:val="both"/>
        <w:outlineLvl w:val="2"/>
        <w:rPr>
          <w:rFonts w:eastAsia="Calibri"/>
        </w:rPr>
      </w:pPr>
      <w:r>
        <w:rPr>
          <w:rFonts w:eastAsia="Calibri"/>
        </w:rPr>
        <w:t>Residential Gallonage Charge (10,000 cap) …… $   35.97</w:t>
      </w:r>
    </w:p>
    <w:p w14:paraId="5A078658" w14:textId="77777777" w:rsidR="00B859A2" w:rsidRDefault="00891BA4" w:rsidP="00891BA4">
      <w:pPr>
        <w:ind w:left="720" w:firstLine="720"/>
        <w:jc w:val="both"/>
        <w:rPr>
          <w:b/>
          <w:bCs/>
        </w:rPr>
      </w:pPr>
      <w:r>
        <w:rPr>
          <w:rFonts w:eastAsia="Calibri"/>
        </w:rPr>
        <w:t>General Service Gallonage Charge …………….. $   43.16</w:t>
      </w:r>
    </w:p>
    <w:p w14:paraId="6DB9D1BB" w14:textId="77777777" w:rsidR="00B859A2" w:rsidRDefault="00B859A2" w:rsidP="00B859A2">
      <w:pPr>
        <w:jc w:val="both"/>
        <w:rPr>
          <w:b/>
          <w:bCs/>
        </w:rPr>
      </w:pPr>
    </w:p>
    <w:p w14:paraId="0CAFE521" w14:textId="247935F3" w:rsidR="00B859A2" w:rsidRDefault="00B859A2" w:rsidP="00B859A2">
      <w:pPr>
        <w:jc w:val="both"/>
        <w:rPr>
          <w:b/>
          <w:bCs/>
        </w:rPr>
      </w:pPr>
      <w:r>
        <w:rPr>
          <w:b/>
          <w:bCs/>
        </w:rPr>
        <w:t>PIE:</w:t>
      </w:r>
      <w:r w:rsidR="0076335E">
        <w:rPr>
          <w:b/>
          <w:bCs/>
        </w:rPr>
        <w:tab/>
      </w:r>
      <w:r w:rsidR="0076335E">
        <w:rPr>
          <w:b/>
          <w:bCs/>
        </w:rPr>
        <w:tab/>
      </w:r>
      <w:r w:rsidR="003A1370">
        <w:t>No position.</w:t>
      </w:r>
    </w:p>
    <w:p w14:paraId="52F5CF92" w14:textId="77777777" w:rsidR="00B859A2" w:rsidRDefault="00B859A2" w:rsidP="00B859A2">
      <w:pPr>
        <w:jc w:val="both"/>
        <w:rPr>
          <w:b/>
          <w:bCs/>
        </w:rPr>
      </w:pPr>
    </w:p>
    <w:p w14:paraId="3B28F0CD" w14:textId="77777777" w:rsidR="00B859A2" w:rsidRDefault="00B859A2" w:rsidP="006C5392">
      <w:pPr>
        <w:ind w:left="1440" w:hanging="1440"/>
        <w:jc w:val="both"/>
        <w:rPr>
          <w:b/>
          <w:bCs/>
        </w:rPr>
      </w:pPr>
      <w:r>
        <w:rPr>
          <w:b/>
          <w:bCs/>
        </w:rPr>
        <w:t>OPC:</w:t>
      </w:r>
      <w:r w:rsidR="006C5392">
        <w:rPr>
          <w:b/>
          <w:bCs/>
        </w:rPr>
        <w:tab/>
      </w:r>
      <w:r w:rsidR="006C5392">
        <w:t>Any calculation of rates should be based on a revenue requirement that includes the appropriate calculation of Accumulated Deferred Income Taxes as a component of the capital structure related to the tax timing differences between book and tax depreciation.  At this time, it appears that the proposed rates do not reflect known and measurable costs.</w:t>
      </w:r>
    </w:p>
    <w:p w14:paraId="2CAABD5E" w14:textId="77777777" w:rsidR="00B859A2" w:rsidRDefault="00B859A2" w:rsidP="00B859A2">
      <w:pPr>
        <w:jc w:val="both"/>
        <w:rPr>
          <w:b/>
          <w:bCs/>
        </w:rPr>
      </w:pPr>
    </w:p>
    <w:p w14:paraId="6A3EC803" w14:textId="1FE36C40" w:rsidR="008D6D8B" w:rsidRPr="008D6D8B" w:rsidRDefault="00B859A2" w:rsidP="00E522CE">
      <w:pPr>
        <w:ind w:left="2160" w:hanging="2160"/>
        <w:jc w:val="both"/>
        <w:rPr>
          <w:b/>
          <w:bCs/>
        </w:rPr>
      </w:pPr>
      <w:r w:rsidRPr="005B101C">
        <w:rPr>
          <w:b/>
          <w:bCs/>
          <w:sz w:val="18"/>
          <w:szCs w:val="18"/>
        </w:rPr>
        <w:t>COTHERMAN:</w:t>
      </w:r>
      <w:r w:rsidR="008D6D8B">
        <w:rPr>
          <w:b/>
          <w:bCs/>
        </w:rPr>
        <w:t xml:space="preserve">  </w:t>
      </w:r>
      <w:r w:rsidR="00937EE6" w:rsidRPr="003534D0">
        <w:t xml:space="preserve">Linda Cotherman’s position is that the rate structures and rates cannot be analyzed </w:t>
      </w:r>
    </w:p>
    <w:p w14:paraId="4ED4B659" w14:textId="77777777" w:rsidR="008D6D8B" w:rsidRDefault="00937EE6" w:rsidP="00E522CE">
      <w:pPr>
        <w:ind w:left="2160" w:hanging="720"/>
        <w:jc w:val="both"/>
      </w:pPr>
      <w:r w:rsidRPr="003534D0">
        <w:t xml:space="preserve">accurately because all </w:t>
      </w:r>
      <w:r>
        <w:t xml:space="preserve">of the </w:t>
      </w:r>
      <w:r w:rsidRPr="003534D0">
        <w:t>costs</w:t>
      </w:r>
      <w:r>
        <w:t xml:space="preserve"> related to the construction and installation</w:t>
      </w:r>
      <w:r w:rsidRPr="003534D0">
        <w:t xml:space="preserve"> have </w:t>
      </w:r>
    </w:p>
    <w:p w14:paraId="0B94220B" w14:textId="77777777" w:rsidR="008D6D8B" w:rsidRDefault="00937EE6" w:rsidP="00E522CE">
      <w:pPr>
        <w:ind w:left="2160" w:hanging="720"/>
        <w:jc w:val="both"/>
      </w:pPr>
      <w:r w:rsidRPr="003534D0">
        <w:t xml:space="preserve">not </w:t>
      </w:r>
      <w:r>
        <w:t xml:space="preserve">yet </w:t>
      </w:r>
      <w:r w:rsidRPr="003534D0">
        <w:t>been</w:t>
      </w:r>
      <w:r>
        <w:t xml:space="preserve"> provided and</w:t>
      </w:r>
      <w:r w:rsidR="00227492">
        <w:t xml:space="preserve"> </w:t>
      </w:r>
      <w:r>
        <w:t xml:space="preserve">documented. Knight and Don Pedro Islands are served </w:t>
      </w:r>
    </w:p>
    <w:p w14:paraId="3C206A1C" w14:textId="77777777" w:rsidR="008D6D8B" w:rsidRDefault="00937EE6" w:rsidP="00E522CE">
      <w:pPr>
        <w:ind w:left="2160" w:hanging="720"/>
        <w:jc w:val="both"/>
      </w:pPr>
      <w:r>
        <w:t xml:space="preserve">by a private water utility, and the owner has not yet explained how EU is going to </w:t>
      </w:r>
    </w:p>
    <w:p w14:paraId="31D0CA6E" w14:textId="77777777" w:rsidR="008D6D8B" w:rsidRDefault="00937EE6" w:rsidP="00E522CE">
      <w:pPr>
        <w:ind w:left="2160" w:hanging="720"/>
        <w:jc w:val="both"/>
      </w:pPr>
      <w:r>
        <w:t xml:space="preserve">bill the rates and charges once established. In addition, the $178.78 in estimated </w:t>
      </w:r>
    </w:p>
    <w:p w14:paraId="7B3781B3" w14:textId="77777777" w:rsidR="008D6D8B" w:rsidRDefault="00937EE6" w:rsidP="00E522CE">
      <w:pPr>
        <w:ind w:left="2160" w:hanging="720"/>
        <w:jc w:val="both"/>
      </w:pPr>
      <w:r>
        <w:t xml:space="preserve">monthly billing is nearly double the average monthly </w:t>
      </w:r>
      <w:r w:rsidRPr="008D5EA6">
        <w:rPr>
          <w:i/>
          <w:iCs/>
        </w:rPr>
        <w:t>combined</w:t>
      </w:r>
      <w:r>
        <w:t xml:space="preserve"> water and sewer </w:t>
      </w:r>
    </w:p>
    <w:p w14:paraId="780BCB44" w14:textId="77777777" w:rsidR="008D6D8B" w:rsidRDefault="00937EE6" w:rsidP="00E522CE">
      <w:pPr>
        <w:ind w:left="2160" w:hanging="720"/>
        <w:jc w:val="both"/>
      </w:pPr>
      <w:r>
        <w:t xml:space="preserve">charges billed by CCUD (the County) to residents directly across the water on the </w:t>
      </w:r>
    </w:p>
    <w:p w14:paraId="2D2F9145" w14:textId="67989A05" w:rsidR="00B859A2" w:rsidRDefault="00937EE6" w:rsidP="00E522CE">
      <w:pPr>
        <w:ind w:left="2160" w:hanging="720"/>
        <w:jc w:val="both"/>
        <w:rPr>
          <w:b/>
          <w:bCs/>
        </w:rPr>
      </w:pPr>
      <w:r>
        <w:t>mainland i</w:t>
      </w:r>
      <w:r w:rsidR="00E522CE">
        <w:t>n Rotonda West.</w:t>
      </w:r>
    </w:p>
    <w:p w14:paraId="14E4E0E8" w14:textId="77777777" w:rsidR="00B859A2" w:rsidRDefault="00B859A2" w:rsidP="00B859A2">
      <w:pPr>
        <w:jc w:val="both"/>
        <w:rPr>
          <w:b/>
          <w:bCs/>
        </w:rPr>
      </w:pPr>
    </w:p>
    <w:p w14:paraId="2B94D9C8"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08739BA9" w14:textId="77777777" w:rsidR="00B859A2" w:rsidRDefault="00B859A2" w:rsidP="00B859A2">
      <w:pPr>
        <w:ind w:left="1440" w:hanging="1440"/>
        <w:jc w:val="both"/>
        <w:rPr>
          <w:b/>
          <w:bCs/>
        </w:rPr>
      </w:pPr>
    </w:p>
    <w:p w14:paraId="5627593E" w14:textId="77777777" w:rsidR="00B859A2" w:rsidRDefault="00B859A2" w:rsidP="00B859A2">
      <w:pPr>
        <w:ind w:left="1440" w:hanging="1440"/>
        <w:jc w:val="both"/>
        <w:rPr>
          <w:b/>
          <w:bCs/>
        </w:rPr>
      </w:pPr>
    </w:p>
    <w:p w14:paraId="3E9777DD" w14:textId="77777777" w:rsidR="00B859A2" w:rsidRDefault="00B859A2" w:rsidP="00B859A2">
      <w:pPr>
        <w:ind w:left="1440" w:hanging="1440"/>
        <w:jc w:val="both"/>
        <w:rPr>
          <w:b/>
          <w:bCs/>
        </w:rPr>
      </w:pPr>
      <w:r>
        <w:rPr>
          <w:b/>
          <w:bCs/>
          <w:u w:val="single"/>
        </w:rPr>
        <w:t>ISSUE 11</w:t>
      </w:r>
      <w:r>
        <w:rPr>
          <w:b/>
          <w:bCs/>
        </w:rPr>
        <w:t>:</w:t>
      </w:r>
      <w:r>
        <w:rPr>
          <w:b/>
          <w:bCs/>
        </w:rPr>
        <w:tab/>
      </w:r>
      <w:r w:rsidRPr="00B859A2">
        <w:rPr>
          <w:b/>
          <w:bCs/>
        </w:rPr>
        <w:t>What are the appropriate service availability charges?</w:t>
      </w:r>
    </w:p>
    <w:p w14:paraId="53DE390B" w14:textId="77777777" w:rsidR="00B859A2" w:rsidRDefault="00B859A2" w:rsidP="00B859A2">
      <w:pPr>
        <w:ind w:left="1440" w:hanging="1440"/>
        <w:jc w:val="both"/>
        <w:rPr>
          <w:b/>
          <w:bCs/>
        </w:rPr>
      </w:pPr>
    </w:p>
    <w:p w14:paraId="0F3F3A15" w14:textId="77777777" w:rsidR="00691303" w:rsidRPr="00224ED0" w:rsidRDefault="00B859A2" w:rsidP="00691303">
      <w:pPr>
        <w:pStyle w:val="NoSpacing"/>
        <w:tabs>
          <w:tab w:val="left" w:pos="-180"/>
        </w:tabs>
        <w:jc w:val="both"/>
        <w:rPr>
          <w:rFonts w:ascii="Times New Roman" w:hAnsi="Times New Roman"/>
          <w:sz w:val="24"/>
          <w:szCs w:val="24"/>
        </w:rPr>
      </w:pPr>
      <w:r w:rsidRPr="00691303">
        <w:rPr>
          <w:rFonts w:ascii="Times New Roman" w:hAnsi="Times New Roman"/>
          <w:b/>
          <w:bCs/>
          <w:sz w:val="24"/>
          <w:szCs w:val="24"/>
        </w:rPr>
        <w:t>EU:</w:t>
      </w:r>
      <w:r w:rsidR="00891BA4">
        <w:rPr>
          <w:b/>
          <w:bCs/>
        </w:rPr>
        <w:tab/>
      </w:r>
      <w:r w:rsidR="00891BA4">
        <w:rPr>
          <w:b/>
          <w:bCs/>
        </w:rPr>
        <w:tab/>
      </w:r>
      <w:r w:rsidR="00691303" w:rsidRPr="00224ED0">
        <w:rPr>
          <w:rFonts w:ascii="Times New Roman" w:hAnsi="Times New Roman"/>
          <w:sz w:val="24"/>
          <w:szCs w:val="24"/>
          <w:u w:val="single"/>
        </w:rPr>
        <w:t>Ma</w:t>
      </w:r>
      <w:r w:rsidR="00691303" w:rsidRPr="00224ED0">
        <w:rPr>
          <w:rFonts w:ascii="Times New Roman" w:hAnsi="Times New Roman"/>
          <w:spacing w:val="1"/>
          <w:sz w:val="24"/>
          <w:szCs w:val="24"/>
          <w:u w:val="single"/>
        </w:rPr>
        <w:t>i</w:t>
      </w:r>
      <w:r w:rsidR="00691303" w:rsidRPr="00224ED0">
        <w:rPr>
          <w:rFonts w:ascii="Times New Roman" w:hAnsi="Times New Roman"/>
          <w:sz w:val="24"/>
          <w:szCs w:val="24"/>
          <w:u w:val="single"/>
        </w:rPr>
        <w:t>n</w:t>
      </w:r>
      <w:r w:rsidR="00691303" w:rsidRPr="00224ED0">
        <w:rPr>
          <w:rFonts w:ascii="Times New Roman" w:hAnsi="Times New Roman"/>
          <w:spacing w:val="-5"/>
          <w:sz w:val="24"/>
          <w:szCs w:val="24"/>
          <w:u w:val="single"/>
        </w:rPr>
        <w:t xml:space="preserve"> </w:t>
      </w:r>
      <w:r w:rsidR="00691303" w:rsidRPr="00224ED0">
        <w:rPr>
          <w:rFonts w:ascii="Times New Roman" w:hAnsi="Times New Roman"/>
          <w:spacing w:val="-1"/>
          <w:sz w:val="24"/>
          <w:szCs w:val="24"/>
          <w:u w:val="single"/>
        </w:rPr>
        <w:t>Capacity</w:t>
      </w:r>
      <w:r w:rsidR="00691303" w:rsidRPr="00224ED0">
        <w:rPr>
          <w:rFonts w:ascii="Times New Roman" w:hAnsi="Times New Roman"/>
          <w:spacing w:val="-10"/>
          <w:sz w:val="24"/>
          <w:szCs w:val="24"/>
          <w:u w:val="single"/>
        </w:rPr>
        <w:t xml:space="preserve"> </w:t>
      </w:r>
      <w:r w:rsidR="00691303" w:rsidRPr="00224ED0">
        <w:rPr>
          <w:rFonts w:ascii="Times New Roman" w:hAnsi="Times New Roman"/>
          <w:sz w:val="24"/>
          <w:szCs w:val="24"/>
          <w:u w:val="single"/>
        </w:rPr>
        <w:t>C</w:t>
      </w:r>
      <w:r w:rsidR="00691303" w:rsidRPr="00224ED0">
        <w:rPr>
          <w:rFonts w:ascii="Times New Roman" w:hAnsi="Times New Roman"/>
          <w:spacing w:val="2"/>
          <w:sz w:val="24"/>
          <w:szCs w:val="24"/>
          <w:u w:val="single"/>
        </w:rPr>
        <w:t>h</w:t>
      </w:r>
      <w:r w:rsidR="00691303" w:rsidRPr="00224ED0">
        <w:rPr>
          <w:rFonts w:ascii="Times New Roman" w:hAnsi="Times New Roman"/>
          <w:sz w:val="24"/>
          <w:szCs w:val="24"/>
          <w:u w:val="single"/>
        </w:rPr>
        <w:t>a</w:t>
      </w:r>
      <w:r w:rsidR="00691303" w:rsidRPr="00224ED0">
        <w:rPr>
          <w:rFonts w:ascii="Times New Roman" w:hAnsi="Times New Roman"/>
          <w:spacing w:val="1"/>
          <w:sz w:val="24"/>
          <w:szCs w:val="24"/>
          <w:u w:val="single"/>
        </w:rPr>
        <w:t>r</w:t>
      </w:r>
      <w:r w:rsidR="00691303" w:rsidRPr="00224ED0">
        <w:rPr>
          <w:rFonts w:ascii="Times New Roman" w:hAnsi="Times New Roman"/>
          <w:sz w:val="24"/>
          <w:szCs w:val="24"/>
          <w:u w:val="single"/>
        </w:rPr>
        <w:t>ge</w:t>
      </w:r>
    </w:p>
    <w:p w14:paraId="07A3FE5D" w14:textId="77777777" w:rsidR="00691303" w:rsidRPr="00224ED0" w:rsidRDefault="00691303" w:rsidP="00691303">
      <w:pPr>
        <w:pStyle w:val="NoSpacing"/>
        <w:tabs>
          <w:tab w:val="left" w:pos="-180"/>
          <w:tab w:val="left" w:pos="8280"/>
        </w:tabs>
        <w:jc w:val="both"/>
        <w:rPr>
          <w:rFonts w:ascii="Times New Roman" w:hAnsi="Times New Roman"/>
          <w:sz w:val="24"/>
          <w:szCs w:val="24"/>
        </w:rPr>
      </w:pPr>
      <w:r>
        <w:rPr>
          <w:rFonts w:ascii="Times New Roman" w:hAnsi="Times New Roman"/>
          <w:sz w:val="24"/>
          <w:szCs w:val="24"/>
        </w:rPr>
        <w:t xml:space="preserve">                        </w:t>
      </w:r>
      <w:r w:rsidRPr="00224ED0">
        <w:rPr>
          <w:rFonts w:ascii="Times New Roman" w:hAnsi="Times New Roman"/>
          <w:sz w:val="24"/>
          <w:szCs w:val="24"/>
        </w:rPr>
        <w:t>Re</w:t>
      </w:r>
      <w:r w:rsidRPr="00224ED0">
        <w:rPr>
          <w:rFonts w:ascii="Times New Roman" w:hAnsi="Times New Roman"/>
          <w:spacing w:val="1"/>
          <w:sz w:val="24"/>
          <w:szCs w:val="24"/>
        </w:rPr>
        <w:t>s</w:t>
      </w:r>
      <w:r w:rsidRPr="00224ED0">
        <w:rPr>
          <w:rFonts w:ascii="Times New Roman" w:hAnsi="Times New Roman"/>
          <w:spacing w:val="-1"/>
          <w:sz w:val="24"/>
          <w:szCs w:val="24"/>
        </w:rPr>
        <w:t>i</w:t>
      </w:r>
      <w:r w:rsidRPr="00224ED0">
        <w:rPr>
          <w:rFonts w:ascii="Times New Roman" w:hAnsi="Times New Roman"/>
          <w:sz w:val="24"/>
          <w:szCs w:val="24"/>
        </w:rPr>
        <w:t>d</w:t>
      </w:r>
      <w:r w:rsidRPr="00224ED0">
        <w:rPr>
          <w:rFonts w:ascii="Times New Roman" w:hAnsi="Times New Roman"/>
          <w:spacing w:val="2"/>
          <w:sz w:val="24"/>
          <w:szCs w:val="24"/>
        </w:rPr>
        <w:t>e</w:t>
      </w:r>
      <w:r w:rsidRPr="00224ED0">
        <w:rPr>
          <w:rFonts w:ascii="Times New Roman" w:hAnsi="Times New Roman"/>
          <w:sz w:val="24"/>
          <w:szCs w:val="24"/>
        </w:rPr>
        <w:t>nt</w:t>
      </w:r>
      <w:r w:rsidRPr="00224ED0">
        <w:rPr>
          <w:rFonts w:ascii="Times New Roman" w:hAnsi="Times New Roman"/>
          <w:spacing w:val="1"/>
          <w:sz w:val="24"/>
          <w:szCs w:val="24"/>
        </w:rPr>
        <w:t>i</w:t>
      </w:r>
      <w:r w:rsidRPr="00224ED0">
        <w:rPr>
          <w:rFonts w:ascii="Times New Roman" w:hAnsi="Times New Roman"/>
          <w:sz w:val="24"/>
          <w:szCs w:val="24"/>
        </w:rPr>
        <w:t>al</w:t>
      </w:r>
      <w:r w:rsidRPr="00224ED0">
        <w:rPr>
          <w:rFonts w:ascii="Times New Roman" w:hAnsi="Times New Roman"/>
          <w:spacing w:val="-9"/>
          <w:sz w:val="24"/>
          <w:szCs w:val="24"/>
        </w:rPr>
        <w:t xml:space="preserve"> </w:t>
      </w:r>
      <w:r w:rsidRPr="00224ED0">
        <w:rPr>
          <w:rFonts w:ascii="Times New Roman" w:hAnsi="Times New Roman"/>
          <w:sz w:val="24"/>
          <w:szCs w:val="24"/>
        </w:rPr>
        <w:t xml:space="preserve">per </w:t>
      </w:r>
      <w:r w:rsidRPr="00224ED0">
        <w:rPr>
          <w:rFonts w:ascii="Times New Roman" w:hAnsi="Times New Roman"/>
          <w:spacing w:val="-1"/>
          <w:sz w:val="24"/>
          <w:szCs w:val="24"/>
        </w:rPr>
        <w:t>E</w:t>
      </w:r>
      <w:r w:rsidRPr="00224ED0">
        <w:rPr>
          <w:rFonts w:ascii="Times New Roman" w:hAnsi="Times New Roman"/>
          <w:sz w:val="24"/>
          <w:szCs w:val="24"/>
        </w:rPr>
        <w:t>RC ..</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 xml:space="preserve">..... </w:t>
      </w:r>
      <w:r>
        <w:rPr>
          <w:rFonts w:ascii="Times New Roman" w:hAnsi="Times New Roman"/>
          <w:sz w:val="24"/>
          <w:szCs w:val="24"/>
        </w:rPr>
        <w:t>$</w:t>
      </w:r>
      <w:r w:rsidRPr="00224ED0">
        <w:rPr>
          <w:rFonts w:ascii="Times New Roman" w:hAnsi="Times New Roman"/>
          <w:sz w:val="24"/>
          <w:szCs w:val="24"/>
        </w:rPr>
        <w:t xml:space="preserve"> 11,928</w:t>
      </w:r>
      <w:r w:rsidRPr="00224ED0">
        <w:rPr>
          <w:rFonts w:ascii="Times New Roman" w:hAnsi="Times New Roman"/>
          <w:spacing w:val="2"/>
          <w:sz w:val="24"/>
          <w:szCs w:val="24"/>
        </w:rPr>
        <w:t>.</w:t>
      </w:r>
      <w:r w:rsidRPr="00224ED0">
        <w:rPr>
          <w:rFonts w:ascii="Times New Roman" w:hAnsi="Times New Roman"/>
          <w:sz w:val="24"/>
          <w:szCs w:val="24"/>
        </w:rPr>
        <w:t>00</w:t>
      </w:r>
    </w:p>
    <w:p w14:paraId="3961FB3F" w14:textId="77777777" w:rsidR="00691303" w:rsidRPr="00224ED0" w:rsidRDefault="00691303" w:rsidP="00691303">
      <w:pPr>
        <w:pStyle w:val="NoSpacing"/>
        <w:tabs>
          <w:tab w:val="left" w:pos="-180"/>
          <w:tab w:val="left" w:pos="8280"/>
        </w:tabs>
        <w:jc w:val="both"/>
        <w:rPr>
          <w:rFonts w:ascii="Times New Roman" w:hAnsi="Times New Roman"/>
          <w:sz w:val="24"/>
          <w:szCs w:val="24"/>
        </w:rPr>
      </w:pPr>
      <w:r>
        <w:rPr>
          <w:rFonts w:ascii="Times New Roman" w:hAnsi="Times New Roman"/>
          <w:spacing w:val="-1"/>
          <w:sz w:val="24"/>
          <w:szCs w:val="24"/>
        </w:rPr>
        <w:t xml:space="preserve">                        </w:t>
      </w:r>
      <w:r w:rsidRPr="00224ED0">
        <w:rPr>
          <w:rFonts w:ascii="Times New Roman" w:hAnsi="Times New Roman"/>
          <w:spacing w:val="-1"/>
          <w:sz w:val="24"/>
          <w:szCs w:val="24"/>
        </w:rPr>
        <w:t>A</w:t>
      </w:r>
      <w:r w:rsidRPr="00224ED0">
        <w:rPr>
          <w:rFonts w:ascii="Times New Roman" w:hAnsi="Times New Roman"/>
          <w:spacing w:val="1"/>
          <w:sz w:val="24"/>
          <w:szCs w:val="24"/>
        </w:rPr>
        <w:t>l</w:t>
      </w:r>
      <w:r w:rsidRPr="00224ED0">
        <w:rPr>
          <w:rFonts w:ascii="Times New Roman" w:hAnsi="Times New Roman"/>
          <w:sz w:val="24"/>
          <w:szCs w:val="24"/>
        </w:rPr>
        <w:t>l</w:t>
      </w:r>
      <w:r w:rsidRPr="00224ED0">
        <w:rPr>
          <w:rFonts w:ascii="Times New Roman" w:hAnsi="Times New Roman"/>
          <w:spacing w:val="-3"/>
          <w:sz w:val="24"/>
          <w:szCs w:val="24"/>
        </w:rPr>
        <w:t xml:space="preserve"> </w:t>
      </w:r>
      <w:r w:rsidRPr="00224ED0">
        <w:rPr>
          <w:rFonts w:ascii="Times New Roman" w:hAnsi="Times New Roman"/>
          <w:sz w:val="24"/>
          <w:szCs w:val="24"/>
        </w:rPr>
        <w:t>o</w:t>
      </w:r>
      <w:r w:rsidRPr="00224ED0">
        <w:rPr>
          <w:rFonts w:ascii="Times New Roman" w:hAnsi="Times New Roman"/>
          <w:spacing w:val="2"/>
          <w:sz w:val="24"/>
          <w:szCs w:val="24"/>
        </w:rPr>
        <w:t>t</w:t>
      </w:r>
      <w:r w:rsidRPr="00224ED0">
        <w:rPr>
          <w:rFonts w:ascii="Times New Roman" w:hAnsi="Times New Roman"/>
          <w:sz w:val="24"/>
          <w:szCs w:val="24"/>
        </w:rPr>
        <w:t>hers</w:t>
      </w:r>
      <w:r w:rsidRPr="00224ED0">
        <w:rPr>
          <w:rFonts w:ascii="Times New Roman" w:hAnsi="Times New Roman"/>
          <w:spacing w:val="-5"/>
          <w:sz w:val="24"/>
          <w:szCs w:val="24"/>
        </w:rPr>
        <w:t xml:space="preserve"> </w:t>
      </w:r>
      <w:r w:rsidRPr="00224ED0">
        <w:rPr>
          <w:rFonts w:ascii="Times New Roman" w:hAnsi="Times New Roman"/>
          <w:spacing w:val="2"/>
          <w:sz w:val="24"/>
          <w:szCs w:val="24"/>
        </w:rPr>
        <w:t>p</w:t>
      </w:r>
      <w:r w:rsidRPr="00224ED0">
        <w:rPr>
          <w:rFonts w:ascii="Times New Roman" w:hAnsi="Times New Roman"/>
          <w:sz w:val="24"/>
          <w:szCs w:val="24"/>
        </w:rPr>
        <w:t>er</w:t>
      </w:r>
      <w:r w:rsidRPr="00224ED0">
        <w:rPr>
          <w:rFonts w:ascii="Times New Roman" w:hAnsi="Times New Roman"/>
          <w:spacing w:val="-3"/>
          <w:sz w:val="24"/>
          <w:szCs w:val="24"/>
        </w:rPr>
        <w:t xml:space="preserve"> </w:t>
      </w:r>
      <w:r w:rsidRPr="00224ED0">
        <w:rPr>
          <w:rFonts w:ascii="Times New Roman" w:hAnsi="Times New Roman"/>
          <w:sz w:val="24"/>
          <w:szCs w:val="24"/>
        </w:rPr>
        <w:t>g</w:t>
      </w:r>
      <w:r w:rsidRPr="00224ED0">
        <w:rPr>
          <w:rFonts w:ascii="Times New Roman" w:hAnsi="Times New Roman"/>
          <w:spacing w:val="2"/>
          <w:sz w:val="24"/>
          <w:szCs w:val="24"/>
        </w:rPr>
        <w:t>a</w:t>
      </w:r>
      <w:r w:rsidRPr="00224ED0">
        <w:rPr>
          <w:rFonts w:ascii="Times New Roman" w:hAnsi="Times New Roman"/>
          <w:spacing w:val="-1"/>
          <w:sz w:val="24"/>
          <w:szCs w:val="24"/>
        </w:rPr>
        <w:t>l</w:t>
      </w:r>
      <w:r w:rsidRPr="00224ED0">
        <w:rPr>
          <w:rFonts w:ascii="Times New Roman" w:hAnsi="Times New Roman"/>
          <w:spacing w:val="1"/>
          <w:sz w:val="24"/>
          <w:szCs w:val="24"/>
        </w:rPr>
        <w:t>l</w:t>
      </w:r>
      <w:r w:rsidRPr="00224ED0">
        <w:rPr>
          <w:rFonts w:ascii="Times New Roman" w:hAnsi="Times New Roman"/>
          <w:sz w:val="24"/>
          <w:szCs w:val="24"/>
        </w:rPr>
        <w:t>on ..</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Pr>
          <w:rFonts w:ascii="Times New Roman" w:hAnsi="Times New Roman"/>
          <w:sz w:val="24"/>
          <w:szCs w:val="24"/>
        </w:rPr>
        <w:t xml:space="preserve"> </w:t>
      </w:r>
      <w:r w:rsidRPr="00224ED0">
        <w:rPr>
          <w:rFonts w:ascii="Times New Roman" w:hAnsi="Times New Roman"/>
          <w:sz w:val="24"/>
          <w:szCs w:val="24"/>
        </w:rPr>
        <w:t>$         55.22</w:t>
      </w:r>
    </w:p>
    <w:p w14:paraId="7EF061F8" w14:textId="77777777" w:rsidR="00B859A2" w:rsidRDefault="00691303" w:rsidP="00691303">
      <w:pPr>
        <w:jc w:val="both"/>
        <w:rPr>
          <w:b/>
          <w:bCs/>
        </w:rPr>
      </w:pPr>
      <w:r w:rsidRPr="00224ED0">
        <w:t xml:space="preserve">                        </w:t>
      </w:r>
      <w:r w:rsidRPr="00224ED0">
        <w:rPr>
          <w:u w:val="single"/>
        </w:rPr>
        <w:t>Sewer Lateral Installation Fee</w:t>
      </w:r>
      <w:r w:rsidRPr="00224ED0">
        <w:t xml:space="preserve"> ………………………….     $    1,292.85</w:t>
      </w:r>
    </w:p>
    <w:p w14:paraId="66EB6F3D" w14:textId="77777777" w:rsidR="00B859A2" w:rsidRDefault="00B859A2" w:rsidP="00B859A2">
      <w:pPr>
        <w:jc w:val="both"/>
        <w:rPr>
          <w:b/>
          <w:bCs/>
        </w:rPr>
      </w:pPr>
    </w:p>
    <w:p w14:paraId="711752A5" w14:textId="59176B91" w:rsidR="00B859A2" w:rsidRDefault="00B859A2" w:rsidP="00B859A2">
      <w:pPr>
        <w:jc w:val="both"/>
        <w:rPr>
          <w:b/>
          <w:bCs/>
        </w:rPr>
      </w:pPr>
      <w:r>
        <w:rPr>
          <w:b/>
          <w:bCs/>
        </w:rPr>
        <w:t>PIE:</w:t>
      </w:r>
      <w:r w:rsidR="0076335E">
        <w:rPr>
          <w:b/>
          <w:bCs/>
        </w:rPr>
        <w:tab/>
      </w:r>
      <w:r w:rsidR="0076335E">
        <w:rPr>
          <w:b/>
          <w:bCs/>
        </w:rPr>
        <w:tab/>
      </w:r>
      <w:r w:rsidR="003A1370">
        <w:t>No position.</w:t>
      </w:r>
    </w:p>
    <w:p w14:paraId="26CA7BD4" w14:textId="77777777" w:rsidR="00B859A2" w:rsidRDefault="00B859A2" w:rsidP="00B859A2">
      <w:pPr>
        <w:jc w:val="both"/>
        <w:rPr>
          <w:b/>
          <w:bCs/>
        </w:rPr>
      </w:pPr>
    </w:p>
    <w:p w14:paraId="40FD3F78" w14:textId="77777777" w:rsidR="00B859A2" w:rsidRDefault="00B859A2" w:rsidP="006C5392">
      <w:pPr>
        <w:ind w:left="1440" w:hanging="1440"/>
        <w:jc w:val="both"/>
        <w:rPr>
          <w:b/>
          <w:bCs/>
        </w:rPr>
      </w:pPr>
      <w:r>
        <w:rPr>
          <w:b/>
          <w:bCs/>
        </w:rPr>
        <w:t>OPC:</w:t>
      </w:r>
      <w:r w:rsidR="006C5392">
        <w:rPr>
          <w:b/>
          <w:bCs/>
        </w:rPr>
        <w:tab/>
      </w:r>
      <w:r w:rsidR="006C5392">
        <w:t>Any calculation of rates should be based on a revenue requirement that includes the appropriate calculation of Accumulated Deferred Income Taxes as a component of the capital structure related to the tax timing differences between book and tax depreciation.  At this time, it appears that the proposed rates do not reflect known and measurable costs.</w:t>
      </w:r>
    </w:p>
    <w:p w14:paraId="4E78B50F" w14:textId="77777777" w:rsidR="00B859A2" w:rsidRDefault="00B859A2" w:rsidP="00B859A2">
      <w:pPr>
        <w:jc w:val="both"/>
        <w:rPr>
          <w:b/>
          <w:bCs/>
        </w:rPr>
      </w:pPr>
    </w:p>
    <w:p w14:paraId="7BE63341" w14:textId="57FE20D1" w:rsidR="008D6D8B" w:rsidRDefault="00B859A2" w:rsidP="00937EE6">
      <w:pPr>
        <w:ind w:left="2160" w:hanging="2160"/>
        <w:jc w:val="both"/>
      </w:pPr>
      <w:r w:rsidRPr="005B101C">
        <w:rPr>
          <w:b/>
          <w:bCs/>
          <w:sz w:val="18"/>
          <w:szCs w:val="18"/>
        </w:rPr>
        <w:t>COTHERMAN:</w:t>
      </w:r>
      <w:r w:rsidR="008D6D8B">
        <w:rPr>
          <w:b/>
          <w:bCs/>
        </w:rPr>
        <w:t xml:space="preserve">   </w:t>
      </w:r>
      <w:r w:rsidR="00937EE6" w:rsidRPr="003534D0">
        <w:t xml:space="preserve">Linda Cotherman’s position is that the </w:t>
      </w:r>
      <w:r w:rsidR="00937EE6">
        <w:t xml:space="preserve">service availability charges </w:t>
      </w:r>
      <w:r w:rsidR="00937EE6" w:rsidRPr="003534D0">
        <w:t xml:space="preserve">cannot be </w:t>
      </w:r>
    </w:p>
    <w:p w14:paraId="22106773" w14:textId="77777777" w:rsidR="008D6D8B" w:rsidRDefault="00937EE6" w:rsidP="008D6D8B">
      <w:pPr>
        <w:ind w:left="2160" w:hanging="720"/>
        <w:jc w:val="both"/>
      </w:pPr>
      <w:r w:rsidRPr="003534D0">
        <w:t xml:space="preserve">analyzed accurately because all </w:t>
      </w:r>
      <w:r>
        <w:t xml:space="preserve">of the </w:t>
      </w:r>
      <w:r w:rsidRPr="003534D0">
        <w:t>costs</w:t>
      </w:r>
      <w:r>
        <w:t xml:space="preserve"> related to the construction and </w:t>
      </w:r>
    </w:p>
    <w:p w14:paraId="07C6F1D2" w14:textId="5601E739" w:rsidR="00B859A2" w:rsidRDefault="00937EE6" w:rsidP="008D6D8B">
      <w:pPr>
        <w:ind w:left="2160" w:hanging="720"/>
        <w:jc w:val="both"/>
        <w:rPr>
          <w:b/>
          <w:bCs/>
        </w:rPr>
      </w:pPr>
      <w:r>
        <w:t>installation</w:t>
      </w:r>
      <w:r w:rsidRPr="003534D0">
        <w:t xml:space="preserve"> have not </w:t>
      </w:r>
      <w:r>
        <w:t xml:space="preserve">yet </w:t>
      </w:r>
      <w:r w:rsidRPr="003534D0">
        <w:t>been</w:t>
      </w:r>
      <w:r>
        <w:t xml:space="preserve"> provided and documented.</w:t>
      </w:r>
    </w:p>
    <w:p w14:paraId="7637B1F1" w14:textId="77777777" w:rsidR="00B859A2" w:rsidRDefault="00B859A2" w:rsidP="00B859A2">
      <w:pPr>
        <w:jc w:val="both"/>
        <w:rPr>
          <w:b/>
          <w:bCs/>
        </w:rPr>
      </w:pPr>
    </w:p>
    <w:p w14:paraId="51B274A5" w14:textId="77777777" w:rsidR="00B859A2" w:rsidRDefault="00B859A2" w:rsidP="00B859A2">
      <w:pPr>
        <w:ind w:left="1440" w:hanging="1440"/>
        <w:jc w:val="both"/>
        <w:rPr>
          <w:b/>
          <w:bCs/>
        </w:rPr>
      </w:pPr>
      <w:r>
        <w:rPr>
          <w:b/>
          <w:bCs/>
        </w:rPr>
        <w:lastRenderedPageBreak/>
        <w:t>STAFF:</w:t>
      </w:r>
      <w:r w:rsidR="0076335E">
        <w:rPr>
          <w:b/>
          <w:bCs/>
        </w:rPr>
        <w:tab/>
      </w:r>
      <w:r w:rsidR="0076335E" w:rsidRPr="00B54C4C">
        <w:t xml:space="preserve">Staff has no position </w:t>
      </w:r>
      <w:r w:rsidR="0076335E">
        <w:t>at this time.</w:t>
      </w:r>
    </w:p>
    <w:p w14:paraId="4631AECA" w14:textId="77777777" w:rsidR="00B859A2" w:rsidRDefault="00B859A2" w:rsidP="00B859A2">
      <w:pPr>
        <w:ind w:left="1440" w:hanging="1440"/>
        <w:jc w:val="both"/>
        <w:rPr>
          <w:b/>
          <w:bCs/>
        </w:rPr>
      </w:pPr>
    </w:p>
    <w:p w14:paraId="7B0B54D8" w14:textId="77777777" w:rsidR="00B859A2" w:rsidRDefault="00B859A2" w:rsidP="00B859A2">
      <w:pPr>
        <w:ind w:left="1440" w:hanging="1440"/>
        <w:jc w:val="both"/>
        <w:rPr>
          <w:b/>
          <w:bCs/>
        </w:rPr>
      </w:pPr>
    </w:p>
    <w:p w14:paraId="7CC2DE06" w14:textId="77777777" w:rsidR="00B859A2" w:rsidRDefault="00B859A2" w:rsidP="00B859A2">
      <w:pPr>
        <w:ind w:left="1440" w:hanging="1440"/>
        <w:jc w:val="both"/>
        <w:rPr>
          <w:b/>
        </w:rPr>
      </w:pPr>
      <w:r>
        <w:rPr>
          <w:b/>
          <w:bCs/>
          <w:u w:val="single"/>
        </w:rPr>
        <w:t>ISSUE 12</w:t>
      </w:r>
      <w:r>
        <w:rPr>
          <w:b/>
          <w:bCs/>
        </w:rPr>
        <w:t>:</w:t>
      </w:r>
      <w:r>
        <w:rPr>
          <w:b/>
          <w:bCs/>
        </w:rPr>
        <w:tab/>
      </w:r>
      <w:r w:rsidRPr="00B859A2">
        <w:rPr>
          <w:b/>
        </w:rPr>
        <w:t>What are the appropriate miscellaneous service charges for Environmental Utilities?</w:t>
      </w:r>
    </w:p>
    <w:p w14:paraId="5ACC7A3F" w14:textId="77777777" w:rsidR="00B859A2" w:rsidRDefault="00B859A2" w:rsidP="00B859A2">
      <w:pPr>
        <w:ind w:left="1440" w:hanging="1440"/>
        <w:jc w:val="both"/>
        <w:rPr>
          <w:b/>
        </w:rPr>
      </w:pPr>
    </w:p>
    <w:p w14:paraId="717ABCA4" w14:textId="77777777" w:rsidR="00691303" w:rsidRDefault="00B859A2" w:rsidP="00691303">
      <w:pPr>
        <w:spacing w:after="200" w:line="276" w:lineRule="auto"/>
        <w:contextualSpacing/>
        <w:jc w:val="both"/>
        <w:outlineLvl w:val="2"/>
        <w:rPr>
          <w:rFonts w:eastAsia="Calibri"/>
        </w:rPr>
      </w:pPr>
      <w:r w:rsidRPr="00691303">
        <w:rPr>
          <w:b/>
          <w:bCs/>
        </w:rPr>
        <w:t>EU:</w:t>
      </w:r>
      <w:r w:rsidR="00891BA4">
        <w:rPr>
          <w:b/>
          <w:bCs/>
        </w:rPr>
        <w:tab/>
      </w:r>
      <w:r w:rsidR="00691303">
        <w:rPr>
          <w:b/>
          <w:bCs/>
        </w:rPr>
        <w:tab/>
      </w:r>
      <w:r w:rsidR="00691303">
        <w:rPr>
          <w:rFonts w:eastAsia="Calibri"/>
        </w:rPr>
        <w:t>Initial Connection Charge ……………. $30.00</w:t>
      </w:r>
    </w:p>
    <w:p w14:paraId="0CA3E627" w14:textId="77777777" w:rsidR="00691303" w:rsidRDefault="00691303" w:rsidP="00691303">
      <w:pPr>
        <w:spacing w:after="200" w:line="276" w:lineRule="auto"/>
        <w:ind w:left="1440"/>
        <w:contextualSpacing/>
        <w:jc w:val="both"/>
        <w:outlineLvl w:val="2"/>
        <w:rPr>
          <w:rFonts w:eastAsia="Calibri"/>
        </w:rPr>
      </w:pPr>
      <w:r>
        <w:rPr>
          <w:rFonts w:eastAsia="Calibri"/>
        </w:rPr>
        <w:t>Normal Reconnection Charge …………$30.00</w:t>
      </w:r>
    </w:p>
    <w:p w14:paraId="06C12257" w14:textId="77777777" w:rsidR="00691303" w:rsidRDefault="00691303" w:rsidP="00691303">
      <w:pPr>
        <w:spacing w:after="200" w:line="276" w:lineRule="auto"/>
        <w:ind w:left="1440"/>
        <w:contextualSpacing/>
        <w:jc w:val="both"/>
        <w:outlineLvl w:val="2"/>
        <w:rPr>
          <w:rFonts w:eastAsia="Calibri"/>
        </w:rPr>
      </w:pPr>
      <w:r>
        <w:rPr>
          <w:rFonts w:eastAsia="Calibri"/>
        </w:rPr>
        <w:t xml:space="preserve">Violation Reconnection Charge ………. Actual Cost </w:t>
      </w:r>
    </w:p>
    <w:p w14:paraId="3A4F119D" w14:textId="77777777" w:rsidR="00691303" w:rsidRDefault="00691303" w:rsidP="00691303">
      <w:pPr>
        <w:spacing w:after="200" w:line="276" w:lineRule="auto"/>
        <w:ind w:left="1440"/>
        <w:contextualSpacing/>
        <w:jc w:val="both"/>
        <w:outlineLvl w:val="2"/>
        <w:rPr>
          <w:rFonts w:eastAsia="Calibri"/>
        </w:rPr>
      </w:pPr>
      <w:r>
        <w:rPr>
          <w:rFonts w:eastAsia="Calibri"/>
        </w:rPr>
        <w:t>Premises Visit …………………………..$30.00</w:t>
      </w:r>
    </w:p>
    <w:p w14:paraId="06637BBF" w14:textId="77777777" w:rsidR="00691303" w:rsidRDefault="00691303" w:rsidP="00691303">
      <w:pPr>
        <w:spacing w:after="200" w:line="276" w:lineRule="auto"/>
        <w:ind w:left="1440"/>
        <w:contextualSpacing/>
        <w:jc w:val="both"/>
        <w:outlineLvl w:val="2"/>
        <w:rPr>
          <w:rFonts w:eastAsia="Calibri"/>
        </w:rPr>
      </w:pPr>
      <w:r>
        <w:rPr>
          <w:rFonts w:eastAsia="Calibri"/>
        </w:rPr>
        <w:t xml:space="preserve">  (in lieu of disconnection)</w:t>
      </w:r>
    </w:p>
    <w:p w14:paraId="318EFB58" w14:textId="77777777" w:rsidR="00691303" w:rsidRDefault="00691303" w:rsidP="00691303">
      <w:pPr>
        <w:spacing w:after="200" w:line="276" w:lineRule="auto"/>
        <w:ind w:left="1440"/>
        <w:contextualSpacing/>
        <w:jc w:val="both"/>
        <w:outlineLvl w:val="2"/>
        <w:rPr>
          <w:rFonts w:eastAsia="Calibri"/>
        </w:rPr>
      </w:pPr>
      <w:r>
        <w:rPr>
          <w:rFonts w:eastAsia="Calibri"/>
        </w:rPr>
        <w:t>Late Payment Fee ……………………….$  7.50</w:t>
      </w:r>
    </w:p>
    <w:p w14:paraId="554D3835" w14:textId="77777777" w:rsidR="00691303" w:rsidRPr="00691303" w:rsidRDefault="00691303" w:rsidP="00691303">
      <w:pPr>
        <w:spacing w:after="200" w:line="276" w:lineRule="auto"/>
        <w:ind w:left="1440"/>
        <w:contextualSpacing/>
        <w:jc w:val="both"/>
        <w:outlineLvl w:val="2"/>
        <w:rPr>
          <w:rFonts w:eastAsia="Calibri"/>
        </w:rPr>
      </w:pPr>
      <w:r>
        <w:rPr>
          <w:rFonts w:eastAsia="Calibri"/>
        </w:rPr>
        <w:t>Bad Check Charge ………………………Pursuant to §68.065(2), Fla. Statutes</w:t>
      </w:r>
    </w:p>
    <w:p w14:paraId="0E722FE9" w14:textId="77777777" w:rsidR="00691303" w:rsidRDefault="00691303" w:rsidP="00B859A2">
      <w:pPr>
        <w:jc w:val="both"/>
        <w:rPr>
          <w:b/>
          <w:bCs/>
        </w:rPr>
      </w:pPr>
    </w:p>
    <w:p w14:paraId="4DA4AB46" w14:textId="72866DAB" w:rsidR="00B859A2" w:rsidRDefault="00B859A2" w:rsidP="00B859A2">
      <w:pPr>
        <w:jc w:val="both"/>
        <w:rPr>
          <w:b/>
          <w:bCs/>
        </w:rPr>
      </w:pPr>
      <w:r>
        <w:rPr>
          <w:b/>
          <w:bCs/>
        </w:rPr>
        <w:t>PIE:</w:t>
      </w:r>
      <w:r w:rsidR="0076335E">
        <w:rPr>
          <w:b/>
          <w:bCs/>
        </w:rPr>
        <w:tab/>
      </w:r>
      <w:r w:rsidR="0076335E">
        <w:rPr>
          <w:b/>
          <w:bCs/>
        </w:rPr>
        <w:tab/>
      </w:r>
      <w:r w:rsidR="003A1370">
        <w:t>No position.</w:t>
      </w:r>
    </w:p>
    <w:p w14:paraId="414B8E05" w14:textId="77777777" w:rsidR="00B859A2" w:rsidRDefault="00B859A2" w:rsidP="00B859A2">
      <w:pPr>
        <w:jc w:val="both"/>
        <w:rPr>
          <w:b/>
          <w:bCs/>
        </w:rPr>
      </w:pPr>
    </w:p>
    <w:p w14:paraId="74117963" w14:textId="078F6E46" w:rsidR="00B859A2" w:rsidRDefault="00B859A2" w:rsidP="00B859A2">
      <w:pPr>
        <w:jc w:val="both"/>
      </w:pPr>
      <w:r>
        <w:rPr>
          <w:b/>
          <w:bCs/>
        </w:rPr>
        <w:t>OPC:</w:t>
      </w:r>
      <w:r w:rsidR="006C5392">
        <w:rPr>
          <w:b/>
          <w:bCs/>
        </w:rPr>
        <w:tab/>
      </w:r>
      <w:r w:rsidR="006C5392">
        <w:rPr>
          <w:b/>
          <w:bCs/>
        </w:rPr>
        <w:tab/>
      </w:r>
      <w:r w:rsidR="003A1370">
        <w:t>No position.</w:t>
      </w:r>
    </w:p>
    <w:p w14:paraId="24863751" w14:textId="77777777" w:rsidR="003A1370" w:rsidRDefault="003A1370" w:rsidP="00B859A2">
      <w:pPr>
        <w:jc w:val="both"/>
        <w:rPr>
          <w:b/>
          <w:bCs/>
        </w:rPr>
      </w:pPr>
    </w:p>
    <w:p w14:paraId="22DC3BA2" w14:textId="5F2731A5" w:rsidR="008D6D8B" w:rsidRDefault="00B859A2" w:rsidP="00937EE6">
      <w:pPr>
        <w:ind w:left="2160" w:hanging="2160"/>
        <w:jc w:val="both"/>
      </w:pPr>
      <w:r w:rsidRPr="005B101C">
        <w:rPr>
          <w:b/>
          <w:bCs/>
          <w:sz w:val="18"/>
          <w:szCs w:val="18"/>
        </w:rPr>
        <w:t>COTHERMAN:</w:t>
      </w:r>
      <w:r w:rsidR="008D6D8B">
        <w:rPr>
          <w:b/>
          <w:bCs/>
        </w:rPr>
        <w:t xml:space="preserve">   </w:t>
      </w:r>
      <w:r w:rsidR="00937EE6" w:rsidRPr="003534D0">
        <w:t xml:space="preserve">Linda Cotherman’s position is that the </w:t>
      </w:r>
      <w:r w:rsidR="00937EE6">
        <w:t>miscellaneous service charges</w:t>
      </w:r>
      <w:r w:rsidR="00937EE6" w:rsidRPr="003534D0">
        <w:t xml:space="preserve"> cannot be </w:t>
      </w:r>
    </w:p>
    <w:p w14:paraId="559BD898" w14:textId="77777777" w:rsidR="008D6D8B" w:rsidRDefault="00937EE6" w:rsidP="008D6D8B">
      <w:pPr>
        <w:ind w:left="2160" w:hanging="720"/>
        <w:jc w:val="both"/>
      </w:pPr>
      <w:r w:rsidRPr="003534D0">
        <w:t xml:space="preserve">analyzed accurately because all </w:t>
      </w:r>
      <w:r>
        <w:t xml:space="preserve">of the </w:t>
      </w:r>
      <w:r w:rsidRPr="003534D0">
        <w:t>costs</w:t>
      </w:r>
      <w:r>
        <w:t xml:space="preserve"> related to the construction and </w:t>
      </w:r>
    </w:p>
    <w:p w14:paraId="5D6AC339" w14:textId="3992F3B2" w:rsidR="00B859A2" w:rsidRDefault="00937EE6" w:rsidP="008D6D8B">
      <w:pPr>
        <w:ind w:left="2160" w:hanging="720"/>
        <w:jc w:val="both"/>
        <w:rPr>
          <w:b/>
          <w:bCs/>
        </w:rPr>
      </w:pPr>
      <w:r>
        <w:t>installation</w:t>
      </w:r>
      <w:r w:rsidRPr="003534D0">
        <w:t xml:space="preserve"> have not </w:t>
      </w:r>
      <w:r>
        <w:t xml:space="preserve">yet </w:t>
      </w:r>
      <w:r w:rsidRPr="003534D0">
        <w:t>been</w:t>
      </w:r>
      <w:r>
        <w:t xml:space="preserve"> provided and</w:t>
      </w:r>
      <w:r w:rsidR="00227492">
        <w:t xml:space="preserve"> </w:t>
      </w:r>
      <w:r>
        <w:t>documented. by CCUD (the County).</w:t>
      </w:r>
    </w:p>
    <w:p w14:paraId="63D05013" w14:textId="77777777" w:rsidR="00B859A2" w:rsidRDefault="00B859A2" w:rsidP="00B859A2">
      <w:pPr>
        <w:jc w:val="both"/>
        <w:rPr>
          <w:b/>
          <w:bCs/>
        </w:rPr>
      </w:pPr>
    </w:p>
    <w:p w14:paraId="499CD818"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211AFFD7" w14:textId="77777777" w:rsidR="00B859A2" w:rsidRDefault="00B859A2" w:rsidP="00B859A2">
      <w:pPr>
        <w:ind w:left="1440" w:hanging="1440"/>
        <w:jc w:val="both"/>
        <w:rPr>
          <w:b/>
          <w:bCs/>
        </w:rPr>
      </w:pPr>
    </w:p>
    <w:p w14:paraId="23D59CE5" w14:textId="77777777" w:rsidR="00B859A2" w:rsidRDefault="00B859A2" w:rsidP="00B859A2">
      <w:pPr>
        <w:ind w:left="1440" w:hanging="1440"/>
        <w:jc w:val="both"/>
        <w:rPr>
          <w:b/>
          <w:bCs/>
        </w:rPr>
      </w:pPr>
    </w:p>
    <w:p w14:paraId="54F0C319" w14:textId="77777777" w:rsidR="00B859A2" w:rsidRDefault="00B859A2" w:rsidP="00B859A2">
      <w:pPr>
        <w:ind w:left="1440" w:hanging="1440"/>
        <w:jc w:val="both"/>
        <w:rPr>
          <w:b/>
          <w:bCs/>
        </w:rPr>
      </w:pPr>
      <w:r>
        <w:rPr>
          <w:b/>
          <w:bCs/>
          <w:u w:val="single"/>
        </w:rPr>
        <w:t>ISSUE 13</w:t>
      </w:r>
      <w:r>
        <w:rPr>
          <w:b/>
          <w:bCs/>
        </w:rPr>
        <w:t>:</w:t>
      </w:r>
      <w:r>
        <w:rPr>
          <w:b/>
          <w:bCs/>
        </w:rPr>
        <w:tab/>
      </w:r>
      <w:r w:rsidRPr="00B859A2">
        <w:rPr>
          <w:b/>
          <w:bCs/>
        </w:rPr>
        <w:t>What are the appropriate initial customer deposits for Environmental Utilities?</w:t>
      </w:r>
    </w:p>
    <w:p w14:paraId="337981FB" w14:textId="77777777" w:rsidR="00B859A2" w:rsidRDefault="00B859A2" w:rsidP="00B859A2">
      <w:pPr>
        <w:ind w:left="1440" w:hanging="1440"/>
        <w:jc w:val="both"/>
        <w:rPr>
          <w:b/>
          <w:bCs/>
        </w:rPr>
      </w:pPr>
    </w:p>
    <w:p w14:paraId="577C433D" w14:textId="77777777" w:rsidR="00B859A2" w:rsidRDefault="00B859A2" w:rsidP="00691303">
      <w:pPr>
        <w:ind w:left="1440" w:hanging="1440"/>
        <w:jc w:val="both"/>
        <w:rPr>
          <w:b/>
          <w:bCs/>
        </w:rPr>
      </w:pPr>
      <w:r>
        <w:rPr>
          <w:b/>
          <w:bCs/>
        </w:rPr>
        <w:t>EU</w:t>
      </w:r>
      <w:r w:rsidRPr="005D4B47">
        <w:rPr>
          <w:b/>
          <w:bCs/>
        </w:rPr>
        <w:t>:</w:t>
      </w:r>
      <w:r w:rsidR="00691303">
        <w:rPr>
          <w:b/>
          <w:bCs/>
        </w:rPr>
        <w:tab/>
      </w:r>
      <w:r w:rsidR="00691303">
        <w:rPr>
          <w:rFonts w:eastAsia="Calibri"/>
        </w:rPr>
        <w:t>The customer deposit should be equal to the average charge for wastewater service for two months, b</w:t>
      </w:r>
      <w:r w:rsidR="00691303" w:rsidRPr="00F67313">
        <w:rPr>
          <w:rFonts w:eastAsia="Calibri"/>
        </w:rPr>
        <w:t>ased upon the approved final rates</w:t>
      </w:r>
      <w:r w:rsidR="00691303">
        <w:rPr>
          <w:rFonts w:eastAsia="Calibri"/>
        </w:rPr>
        <w:t>.</w:t>
      </w:r>
    </w:p>
    <w:p w14:paraId="552C58D2" w14:textId="77777777" w:rsidR="00B859A2" w:rsidRDefault="00B859A2" w:rsidP="00B859A2">
      <w:pPr>
        <w:jc w:val="both"/>
        <w:rPr>
          <w:b/>
          <w:bCs/>
        </w:rPr>
      </w:pPr>
    </w:p>
    <w:p w14:paraId="21584C14" w14:textId="46111AAF" w:rsidR="00B859A2" w:rsidRDefault="00B859A2" w:rsidP="00B859A2">
      <w:pPr>
        <w:jc w:val="both"/>
        <w:rPr>
          <w:b/>
          <w:bCs/>
        </w:rPr>
      </w:pPr>
      <w:r>
        <w:rPr>
          <w:b/>
          <w:bCs/>
        </w:rPr>
        <w:t>PIE:</w:t>
      </w:r>
      <w:r w:rsidR="0076335E">
        <w:rPr>
          <w:b/>
          <w:bCs/>
        </w:rPr>
        <w:tab/>
      </w:r>
      <w:r w:rsidR="0076335E">
        <w:rPr>
          <w:b/>
          <w:bCs/>
        </w:rPr>
        <w:tab/>
      </w:r>
      <w:r w:rsidR="003A1370">
        <w:t>No position.</w:t>
      </w:r>
    </w:p>
    <w:p w14:paraId="536B624C" w14:textId="77777777" w:rsidR="00B859A2" w:rsidRDefault="00B859A2" w:rsidP="00B859A2">
      <w:pPr>
        <w:jc w:val="both"/>
        <w:rPr>
          <w:b/>
          <w:bCs/>
        </w:rPr>
      </w:pPr>
    </w:p>
    <w:p w14:paraId="59A6DEF1" w14:textId="19397382" w:rsidR="00B859A2" w:rsidRDefault="00B859A2" w:rsidP="00B859A2">
      <w:pPr>
        <w:jc w:val="both"/>
        <w:rPr>
          <w:b/>
          <w:bCs/>
        </w:rPr>
      </w:pPr>
      <w:r>
        <w:rPr>
          <w:b/>
          <w:bCs/>
        </w:rPr>
        <w:t>OPC:</w:t>
      </w:r>
      <w:r w:rsidR="006C5392">
        <w:rPr>
          <w:b/>
          <w:bCs/>
        </w:rPr>
        <w:tab/>
      </w:r>
      <w:r w:rsidR="006C5392">
        <w:rPr>
          <w:b/>
          <w:bCs/>
        </w:rPr>
        <w:tab/>
      </w:r>
      <w:r w:rsidR="003A1370">
        <w:t>No position.</w:t>
      </w:r>
    </w:p>
    <w:p w14:paraId="71C39B84" w14:textId="77777777" w:rsidR="00B859A2" w:rsidRDefault="00B859A2" w:rsidP="00B859A2">
      <w:pPr>
        <w:jc w:val="both"/>
        <w:rPr>
          <w:b/>
          <w:bCs/>
        </w:rPr>
      </w:pPr>
    </w:p>
    <w:p w14:paraId="307BF6F9" w14:textId="41249BBD" w:rsidR="008D6D8B" w:rsidRDefault="00B859A2" w:rsidP="00937EE6">
      <w:pPr>
        <w:ind w:left="2160" w:hanging="2160"/>
        <w:jc w:val="both"/>
      </w:pPr>
      <w:r w:rsidRPr="005B101C">
        <w:rPr>
          <w:b/>
          <w:bCs/>
          <w:sz w:val="18"/>
          <w:szCs w:val="18"/>
        </w:rPr>
        <w:t>COTHERMAN:</w:t>
      </w:r>
      <w:r w:rsidR="008D6D8B">
        <w:rPr>
          <w:b/>
          <w:bCs/>
        </w:rPr>
        <w:t xml:space="preserve">   </w:t>
      </w:r>
      <w:r w:rsidR="00937EE6" w:rsidRPr="003534D0">
        <w:t xml:space="preserve">Linda Cotherman’s position is that the </w:t>
      </w:r>
      <w:r w:rsidR="00937EE6">
        <w:t>initial customer deposits</w:t>
      </w:r>
      <w:r w:rsidR="00937EE6" w:rsidRPr="003534D0">
        <w:t xml:space="preserve"> cannot be </w:t>
      </w:r>
    </w:p>
    <w:p w14:paraId="1840EAC7" w14:textId="77777777" w:rsidR="008D6D8B" w:rsidRDefault="00937EE6" w:rsidP="008D6D8B">
      <w:pPr>
        <w:ind w:left="2160" w:hanging="720"/>
        <w:jc w:val="both"/>
      </w:pPr>
      <w:r w:rsidRPr="003534D0">
        <w:t xml:space="preserve">analyzed accurately because all </w:t>
      </w:r>
      <w:r>
        <w:t xml:space="preserve">of the </w:t>
      </w:r>
      <w:r w:rsidRPr="003534D0">
        <w:t>costs</w:t>
      </w:r>
      <w:r>
        <w:t xml:space="preserve"> related to the construction and </w:t>
      </w:r>
    </w:p>
    <w:p w14:paraId="7831FA3B" w14:textId="774E773A" w:rsidR="00B859A2" w:rsidRDefault="00937EE6" w:rsidP="008D6D8B">
      <w:pPr>
        <w:ind w:left="2160" w:hanging="720"/>
        <w:jc w:val="both"/>
        <w:rPr>
          <w:b/>
          <w:bCs/>
        </w:rPr>
      </w:pPr>
      <w:r>
        <w:t>installation</w:t>
      </w:r>
      <w:r w:rsidRPr="003534D0">
        <w:t xml:space="preserve"> have not </w:t>
      </w:r>
      <w:r>
        <w:t xml:space="preserve">yet </w:t>
      </w:r>
      <w:r w:rsidRPr="003534D0">
        <w:t>been</w:t>
      </w:r>
      <w:r>
        <w:t xml:space="preserve"> provided and documented.</w:t>
      </w:r>
    </w:p>
    <w:p w14:paraId="30599D33" w14:textId="77777777" w:rsidR="00B859A2" w:rsidRDefault="00B859A2" w:rsidP="00B859A2">
      <w:pPr>
        <w:jc w:val="both"/>
        <w:rPr>
          <w:b/>
          <w:bCs/>
        </w:rPr>
      </w:pPr>
    </w:p>
    <w:p w14:paraId="78F0796D"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3C6F4AE0" w14:textId="77777777" w:rsidR="00B859A2" w:rsidRDefault="00B859A2" w:rsidP="00B859A2">
      <w:pPr>
        <w:ind w:left="1440" w:hanging="1440"/>
        <w:jc w:val="both"/>
        <w:rPr>
          <w:b/>
          <w:bCs/>
        </w:rPr>
      </w:pPr>
    </w:p>
    <w:p w14:paraId="14984C05" w14:textId="77777777" w:rsidR="00B859A2" w:rsidRDefault="00B859A2" w:rsidP="00B859A2">
      <w:pPr>
        <w:ind w:left="1440" w:hanging="1440"/>
        <w:jc w:val="both"/>
        <w:rPr>
          <w:b/>
          <w:bCs/>
        </w:rPr>
      </w:pPr>
    </w:p>
    <w:p w14:paraId="31A90AB9" w14:textId="77777777" w:rsidR="00B859A2" w:rsidRDefault="00B859A2" w:rsidP="00B859A2">
      <w:pPr>
        <w:ind w:left="1440" w:hanging="1440"/>
        <w:jc w:val="both"/>
        <w:rPr>
          <w:b/>
        </w:rPr>
      </w:pPr>
      <w:r>
        <w:rPr>
          <w:b/>
          <w:bCs/>
          <w:u w:val="single"/>
        </w:rPr>
        <w:t>ISSUE 14</w:t>
      </w:r>
      <w:r>
        <w:rPr>
          <w:b/>
          <w:bCs/>
        </w:rPr>
        <w:t>:</w:t>
      </w:r>
      <w:r>
        <w:rPr>
          <w:b/>
          <w:bCs/>
        </w:rPr>
        <w:tab/>
      </w:r>
      <w:r w:rsidRPr="00B859A2">
        <w:rPr>
          <w:b/>
        </w:rPr>
        <w:t>Should this docket be closed?</w:t>
      </w:r>
    </w:p>
    <w:p w14:paraId="3D0D29CF" w14:textId="77777777" w:rsidR="00B859A2" w:rsidRDefault="00B859A2" w:rsidP="00B859A2">
      <w:pPr>
        <w:ind w:left="1440" w:hanging="1440"/>
        <w:jc w:val="both"/>
        <w:rPr>
          <w:b/>
        </w:rPr>
      </w:pPr>
    </w:p>
    <w:p w14:paraId="3D09B26E" w14:textId="77777777" w:rsidR="00B859A2" w:rsidRDefault="00B859A2" w:rsidP="00B859A2">
      <w:pPr>
        <w:jc w:val="both"/>
        <w:rPr>
          <w:b/>
          <w:bCs/>
        </w:rPr>
      </w:pPr>
      <w:r>
        <w:rPr>
          <w:b/>
          <w:bCs/>
        </w:rPr>
        <w:lastRenderedPageBreak/>
        <w:t>EU</w:t>
      </w:r>
      <w:r w:rsidRPr="005D4B47">
        <w:rPr>
          <w:b/>
          <w:bCs/>
        </w:rPr>
        <w:t>:</w:t>
      </w:r>
      <w:r w:rsidR="00691303">
        <w:rPr>
          <w:b/>
          <w:bCs/>
        </w:rPr>
        <w:tab/>
      </w:r>
      <w:r w:rsidR="00691303">
        <w:rPr>
          <w:b/>
          <w:bCs/>
        </w:rPr>
        <w:tab/>
      </w:r>
      <w:r w:rsidR="00691303">
        <w:rPr>
          <w:rFonts w:eastAsia="Calibri"/>
        </w:rPr>
        <w:t>Yes.</w:t>
      </w:r>
    </w:p>
    <w:p w14:paraId="380F03B2" w14:textId="77777777" w:rsidR="00B859A2" w:rsidRDefault="00B859A2" w:rsidP="00B859A2">
      <w:pPr>
        <w:jc w:val="both"/>
        <w:rPr>
          <w:b/>
          <w:bCs/>
        </w:rPr>
      </w:pPr>
    </w:p>
    <w:p w14:paraId="330DA66C" w14:textId="77777777" w:rsidR="00B859A2" w:rsidRDefault="00B859A2" w:rsidP="0076335E">
      <w:pPr>
        <w:ind w:left="1440" w:hanging="1440"/>
        <w:jc w:val="both"/>
        <w:rPr>
          <w:b/>
          <w:bCs/>
        </w:rPr>
      </w:pPr>
      <w:r>
        <w:rPr>
          <w:b/>
          <w:bCs/>
        </w:rPr>
        <w:t>PIE:</w:t>
      </w:r>
      <w:r w:rsidR="0076335E">
        <w:rPr>
          <w:b/>
          <w:bCs/>
        </w:rPr>
        <w:tab/>
      </w:r>
      <w:r w:rsidR="0076335E">
        <w:t>PIE’s position on this issue is that, yes, the docket should be closed as Environmental Utilities has not established a need for service or that it is financially capable of and/or possesses the technical ability to operate the utility.  It is expected that Ellen Hardgrove, AICP, Robert H. Weisberg, Ph.D., Sheri Schultz, CPA/ABV/CFF, Stephen Suggs, P.E. and Meryl Schaffer will give testimony on this topic.</w:t>
      </w:r>
    </w:p>
    <w:p w14:paraId="2DB64026" w14:textId="77777777" w:rsidR="00B859A2" w:rsidRDefault="00B859A2" w:rsidP="00B859A2">
      <w:pPr>
        <w:jc w:val="both"/>
        <w:rPr>
          <w:b/>
          <w:bCs/>
        </w:rPr>
      </w:pPr>
    </w:p>
    <w:p w14:paraId="43C7AD26" w14:textId="77777777" w:rsidR="00B859A2" w:rsidRDefault="00B859A2" w:rsidP="006C5392">
      <w:pPr>
        <w:ind w:left="1440" w:hanging="1440"/>
        <w:jc w:val="both"/>
        <w:rPr>
          <w:b/>
          <w:bCs/>
        </w:rPr>
      </w:pPr>
      <w:r>
        <w:rPr>
          <w:b/>
          <w:bCs/>
        </w:rPr>
        <w:t>OPC:</w:t>
      </w:r>
      <w:r w:rsidR="006C5392">
        <w:rPr>
          <w:b/>
          <w:bCs/>
        </w:rPr>
        <w:tab/>
      </w:r>
      <w:r w:rsidR="006C5392">
        <w:t>No, the docket should remain open until invoices supporting the collection system buildout are submitted.</w:t>
      </w:r>
    </w:p>
    <w:p w14:paraId="5E4A5F3F" w14:textId="77777777" w:rsidR="00B859A2" w:rsidRDefault="00B859A2" w:rsidP="00B859A2">
      <w:pPr>
        <w:jc w:val="both"/>
        <w:rPr>
          <w:b/>
          <w:bCs/>
        </w:rPr>
      </w:pPr>
    </w:p>
    <w:p w14:paraId="6634E8EC" w14:textId="77777777" w:rsidR="00B859A2" w:rsidRDefault="00B859A2" w:rsidP="00B859A2">
      <w:pPr>
        <w:jc w:val="both"/>
        <w:rPr>
          <w:b/>
          <w:bCs/>
        </w:rPr>
      </w:pPr>
      <w:r w:rsidRPr="005B101C">
        <w:rPr>
          <w:b/>
          <w:bCs/>
          <w:sz w:val="18"/>
          <w:szCs w:val="18"/>
        </w:rPr>
        <w:t>COTHERMAN:</w:t>
      </w:r>
      <w:r w:rsidR="00937EE6">
        <w:rPr>
          <w:b/>
          <w:bCs/>
        </w:rPr>
        <w:tab/>
      </w:r>
      <w:r w:rsidR="00937EE6">
        <w:t>Yes. Linda Cotherman has no position at this time.</w:t>
      </w:r>
    </w:p>
    <w:p w14:paraId="16D89B4D" w14:textId="77777777" w:rsidR="00B859A2" w:rsidRDefault="00B859A2" w:rsidP="00B859A2">
      <w:pPr>
        <w:jc w:val="both"/>
        <w:rPr>
          <w:b/>
          <w:bCs/>
        </w:rPr>
      </w:pPr>
    </w:p>
    <w:p w14:paraId="0ECA8C3A" w14:textId="77777777" w:rsidR="00B859A2" w:rsidRPr="00B859A2" w:rsidRDefault="00B859A2" w:rsidP="00B859A2">
      <w:pPr>
        <w:ind w:left="1440" w:hanging="1440"/>
        <w:jc w:val="both"/>
        <w:rPr>
          <w:b/>
        </w:rPr>
      </w:pPr>
      <w:r>
        <w:rPr>
          <w:b/>
          <w:bCs/>
        </w:rPr>
        <w:t>STAFF:</w:t>
      </w:r>
      <w:r w:rsidR="0076335E">
        <w:rPr>
          <w:b/>
          <w:bCs/>
        </w:rPr>
        <w:tab/>
      </w:r>
      <w:r w:rsidR="0076335E" w:rsidRPr="00B54C4C">
        <w:t xml:space="preserve">Staff has no position </w:t>
      </w:r>
      <w:r w:rsidR="0076335E">
        <w:t>at this time.</w:t>
      </w:r>
    </w:p>
    <w:p w14:paraId="0B7249D7" w14:textId="77777777" w:rsidR="00B859A2" w:rsidRDefault="00B859A2" w:rsidP="005E102D">
      <w:pPr>
        <w:jc w:val="both"/>
      </w:pPr>
    </w:p>
    <w:p w14:paraId="3A877C7F" w14:textId="77777777" w:rsidR="00B859A2" w:rsidRPr="00701945" w:rsidRDefault="00B859A2" w:rsidP="005E102D">
      <w:pPr>
        <w:jc w:val="both"/>
      </w:pPr>
    </w:p>
    <w:p w14:paraId="7ABFE13C" w14:textId="77777777" w:rsidR="005E102D" w:rsidRPr="00A32DC5" w:rsidRDefault="005E102D" w:rsidP="005E102D">
      <w:pPr>
        <w:jc w:val="both"/>
        <w:rPr>
          <w:b/>
        </w:rPr>
      </w:pPr>
      <w:r w:rsidRPr="00A32DC5">
        <w:rPr>
          <w:b/>
        </w:rPr>
        <w:t>IX.</w:t>
      </w:r>
      <w:r w:rsidRPr="00A32DC5">
        <w:rPr>
          <w:b/>
        </w:rPr>
        <w:tab/>
      </w:r>
      <w:r w:rsidRPr="00A32DC5">
        <w:rPr>
          <w:b/>
          <w:u w:val="single"/>
        </w:rPr>
        <w:t>EXHIBIT LIST</w:t>
      </w:r>
    </w:p>
    <w:p w14:paraId="2E30B77B" w14:textId="77777777" w:rsidR="005E102D" w:rsidRPr="00701945" w:rsidRDefault="005E102D" w:rsidP="005E102D">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5E102D" w:rsidRPr="00701945" w14:paraId="3906CB67" w14:textId="77777777" w:rsidTr="0076335E">
        <w:trPr>
          <w:cantSplit/>
          <w:trHeight w:val="373"/>
          <w:tblHeader/>
        </w:trPr>
        <w:tc>
          <w:tcPr>
            <w:tcW w:w="3198" w:type="dxa"/>
            <w:tcBorders>
              <w:top w:val="nil"/>
              <w:left w:val="nil"/>
              <w:bottom w:val="nil"/>
              <w:right w:val="nil"/>
            </w:tcBorders>
          </w:tcPr>
          <w:p w14:paraId="1DFBA6C1" w14:textId="77777777" w:rsidR="005E102D" w:rsidRPr="00701945" w:rsidRDefault="005E102D" w:rsidP="0076335E">
            <w:pPr>
              <w:jc w:val="both"/>
            </w:pPr>
            <w:r w:rsidRPr="00701945">
              <w:rPr>
                <w:u w:val="single"/>
              </w:rPr>
              <w:t>Witness</w:t>
            </w:r>
          </w:p>
        </w:tc>
        <w:tc>
          <w:tcPr>
            <w:tcW w:w="1680" w:type="dxa"/>
            <w:tcBorders>
              <w:top w:val="nil"/>
              <w:left w:val="nil"/>
              <w:bottom w:val="nil"/>
              <w:right w:val="nil"/>
            </w:tcBorders>
          </w:tcPr>
          <w:p w14:paraId="5A38EF03" w14:textId="77777777" w:rsidR="005E102D" w:rsidRPr="00701945" w:rsidRDefault="005E102D" w:rsidP="0076335E">
            <w:pPr>
              <w:jc w:val="center"/>
            </w:pPr>
            <w:r w:rsidRPr="00701945">
              <w:rPr>
                <w:u w:val="single"/>
              </w:rPr>
              <w:t>Proffered By</w:t>
            </w:r>
          </w:p>
        </w:tc>
        <w:tc>
          <w:tcPr>
            <w:tcW w:w="1482" w:type="dxa"/>
            <w:tcBorders>
              <w:top w:val="nil"/>
              <w:left w:val="nil"/>
              <w:bottom w:val="nil"/>
              <w:right w:val="nil"/>
            </w:tcBorders>
          </w:tcPr>
          <w:p w14:paraId="55362912" w14:textId="77777777" w:rsidR="005E102D" w:rsidRPr="004515FB" w:rsidRDefault="005E102D" w:rsidP="0076335E">
            <w:pPr>
              <w:jc w:val="center"/>
            </w:pPr>
          </w:p>
        </w:tc>
        <w:tc>
          <w:tcPr>
            <w:tcW w:w="3205" w:type="dxa"/>
            <w:tcBorders>
              <w:top w:val="nil"/>
              <w:left w:val="nil"/>
              <w:bottom w:val="nil"/>
              <w:right w:val="nil"/>
            </w:tcBorders>
          </w:tcPr>
          <w:p w14:paraId="19D26F5C" w14:textId="77777777" w:rsidR="005E102D" w:rsidRPr="00701945" w:rsidRDefault="005E102D" w:rsidP="0076335E">
            <w:pPr>
              <w:jc w:val="both"/>
            </w:pPr>
            <w:r w:rsidRPr="00701945">
              <w:rPr>
                <w:u w:val="single"/>
              </w:rPr>
              <w:t>Description</w:t>
            </w:r>
          </w:p>
        </w:tc>
      </w:tr>
      <w:tr w:rsidR="005E102D" w:rsidRPr="00701945" w14:paraId="65B3A68C" w14:textId="77777777" w:rsidTr="0076335E">
        <w:trPr>
          <w:cantSplit/>
          <w:trHeight w:val="353"/>
        </w:trPr>
        <w:tc>
          <w:tcPr>
            <w:tcW w:w="3198" w:type="dxa"/>
            <w:tcBorders>
              <w:top w:val="nil"/>
              <w:left w:val="nil"/>
              <w:bottom w:val="nil"/>
              <w:right w:val="nil"/>
            </w:tcBorders>
          </w:tcPr>
          <w:p w14:paraId="54B603FC" w14:textId="77777777" w:rsidR="005E102D" w:rsidRPr="00701945" w:rsidRDefault="005E102D" w:rsidP="0076335E">
            <w:pPr>
              <w:jc w:val="both"/>
            </w:pPr>
            <w:r w:rsidRPr="00701945">
              <w:tab/>
            </w:r>
            <w:r w:rsidRPr="00701945">
              <w:rPr>
                <w:u w:val="single"/>
              </w:rPr>
              <w:t>Direct</w:t>
            </w:r>
          </w:p>
        </w:tc>
        <w:tc>
          <w:tcPr>
            <w:tcW w:w="1680" w:type="dxa"/>
            <w:tcBorders>
              <w:top w:val="nil"/>
              <w:left w:val="nil"/>
              <w:bottom w:val="nil"/>
              <w:right w:val="nil"/>
            </w:tcBorders>
          </w:tcPr>
          <w:p w14:paraId="65C3C505" w14:textId="77777777" w:rsidR="005E102D" w:rsidRPr="00701945" w:rsidRDefault="005E102D" w:rsidP="0076335E">
            <w:pPr>
              <w:jc w:val="center"/>
            </w:pPr>
          </w:p>
        </w:tc>
        <w:tc>
          <w:tcPr>
            <w:tcW w:w="1482" w:type="dxa"/>
            <w:tcBorders>
              <w:top w:val="nil"/>
              <w:left w:val="nil"/>
              <w:bottom w:val="nil"/>
              <w:right w:val="nil"/>
            </w:tcBorders>
          </w:tcPr>
          <w:p w14:paraId="226A2EEE" w14:textId="77777777" w:rsidR="005E102D" w:rsidRPr="004515FB" w:rsidRDefault="005E102D" w:rsidP="0076335E">
            <w:pPr>
              <w:jc w:val="center"/>
            </w:pPr>
          </w:p>
        </w:tc>
        <w:tc>
          <w:tcPr>
            <w:tcW w:w="3205" w:type="dxa"/>
            <w:tcBorders>
              <w:top w:val="nil"/>
              <w:left w:val="nil"/>
              <w:bottom w:val="nil"/>
              <w:right w:val="nil"/>
            </w:tcBorders>
          </w:tcPr>
          <w:p w14:paraId="5E971954" w14:textId="77777777" w:rsidR="005E102D" w:rsidRPr="00701945" w:rsidRDefault="005E102D" w:rsidP="0076335E"/>
        </w:tc>
      </w:tr>
      <w:tr w:rsidR="005E102D" w:rsidRPr="00701945" w14:paraId="02E0CBC8" w14:textId="77777777" w:rsidTr="0076335E">
        <w:trPr>
          <w:cantSplit/>
          <w:trHeight w:val="726"/>
        </w:trPr>
        <w:tc>
          <w:tcPr>
            <w:tcW w:w="3198" w:type="dxa"/>
            <w:tcBorders>
              <w:top w:val="nil"/>
              <w:left w:val="nil"/>
              <w:bottom w:val="nil"/>
              <w:right w:val="nil"/>
            </w:tcBorders>
          </w:tcPr>
          <w:p w14:paraId="38092C71" w14:textId="77777777" w:rsidR="005E102D" w:rsidRDefault="00BB726B" w:rsidP="0076335E">
            <w:pPr>
              <w:jc w:val="both"/>
            </w:pPr>
            <w:r>
              <w:t>John R. Boyer</w:t>
            </w:r>
          </w:p>
          <w:p w14:paraId="52FAADE3" w14:textId="77777777" w:rsidR="00747467" w:rsidRDefault="00747467" w:rsidP="0076335E">
            <w:pPr>
              <w:jc w:val="both"/>
            </w:pPr>
          </w:p>
          <w:p w14:paraId="75EDB833" w14:textId="77777777" w:rsidR="00747467" w:rsidRPr="00701945" w:rsidRDefault="00747467" w:rsidP="0076335E">
            <w:pPr>
              <w:jc w:val="both"/>
            </w:pPr>
            <w:r>
              <w:t>John R. Boyer</w:t>
            </w:r>
          </w:p>
        </w:tc>
        <w:tc>
          <w:tcPr>
            <w:tcW w:w="1680" w:type="dxa"/>
            <w:tcBorders>
              <w:top w:val="nil"/>
              <w:left w:val="nil"/>
              <w:bottom w:val="nil"/>
              <w:right w:val="nil"/>
            </w:tcBorders>
          </w:tcPr>
          <w:p w14:paraId="3BC07B75" w14:textId="77777777" w:rsidR="005E102D" w:rsidRDefault="00BB726B" w:rsidP="0076335E">
            <w:pPr>
              <w:jc w:val="center"/>
            </w:pPr>
            <w:r>
              <w:t>EU</w:t>
            </w:r>
          </w:p>
          <w:p w14:paraId="624D05F4" w14:textId="77777777" w:rsidR="00747467" w:rsidRDefault="00747467" w:rsidP="0076335E">
            <w:pPr>
              <w:jc w:val="center"/>
            </w:pPr>
          </w:p>
          <w:p w14:paraId="3FEA424C" w14:textId="77777777" w:rsidR="00747467" w:rsidRPr="00701945" w:rsidRDefault="00747467" w:rsidP="0076335E">
            <w:pPr>
              <w:jc w:val="center"/>
            </w:pPr>
            <w:r>
              <w:t>EU</w:t>
            </w:r>
          </w:p>
        </w:tc>
        <w:tc>
          <w:tcPr>
            <w:tcW w:w="1482" w:type="dxa"/>
            <w:tcBorders>
              <w:top w:val="nil"/>
              <w:left w:val="nil"/>
              <w:bottom w:val="nil"/>
              <w:right w:val="nil"/>
            </w:tcBorders>
          </w:tcPr>
          <w:p w14:paraId="18FE4397" w14:textId="77777777" w:rsidR="005E102D" w:rsidRDefault="00BB726B" w:rsidP="0076335E">
            <w:pPr>
              <w:jc w:val="center"/>
            </w:pPr>
            <w:r>
              <w:t>JRB</w:t>
            </w:r>
            <w:r w:rsidR="005E102D">
              <w:t>-1</w:t>
            </w:r>
          </w:p>
          <w:p w14:paraId="6D73B37F" w14:textId="77777777" w:rsidR="00747467" w:rsidRDefault="00747467" w:rsidP="0076335E">
            <w:pPr>
              <w:jc w:val="center"/>
            </w:pPr>
          </w:p>
          <w:p w14:paraId="0AB9FF75" w14:textId="77777777" w:rsidR="00747467" w:rsidRPr="004515FB" w:rsidRDefault="00747467" w:rsidP="0076335E">
            <w:pPr>
              <w:jc w:val="center"/>
            </w:pPr>
            <w:r>
              <w:t>JRB-2</w:t>
            </w:r>
          </w:p>
        </w:tc>
        <w:tc>
          <w:tcPr>
            <w:tcW w:w="3205" w:type="dxa"/>
            <w:tcBorders>
              <w:top w:val="nil"/>
              <w:left w:val="nil"/>
              <w:bottom w:val="nil"/>
              <w:right w:val="nil"/>
            </w:tcBorders>
          </w:tcPr>
          <w:p w14:paraId="1C89E9C6" w14:textId="77777777" w:rsidR="005E102D" w:rsidRDefault="00BB726B" w:rsidP="0076335E">
            <w:r>
              <w:t>Application</w:t>
            </w:r>
          </w:p>
          <w:p w14:paraId="71DA023B" w14:textId="77777777" w:rsidR="00747467" w:rsidRDefault="00747467" w:rsidP="0076335E"/>
          <w:p w14:paraId="53947F34" w14:textId="77777777" w:rsidR="00747467" w:rsidRPr="00701945" w:rsidRDefault="00747467" w:rsidP="0076335E">
            <w:r>
              <w:t>Tariff</w:t>
            </w:r>
          </w:p>
        </w:tc>
      </w:tr>
      <w:tr w:rsidR="005E102D" w:rsidRPr="00701945" w14:paraId="4C784931" w14:textId="77777777" w:rsidTr="0076335E">
        <w:trPr>
          <w:cantSplit/>
          <w:trHeight w:val="353"/>
        </w:trPr>
        <w:tc>
          <w:tcPr>
            <w:tcW w:w="3198" w:type="dxa"/>
            <w:tcBorders>
              <w:top w:val="nil"/>
              <w:left w:val="nil"/>
              <w:bottom w:val="nil"/>
              <w:right w:val="nil"/>
            </w:tcBorders>
          </w:tcPr>
          <w:p w14:paraId="04F65BA0" w14:textId="77777777" w:rsidR="005E102D" w:rsidRPr="00701945" w:rsidRDefault="00747467" w:rsidP="0076335E">
            <w:pPr>
              <w:jc w:val="both"/>
            </w:pPr>
            <w:r>
              <w:t>Jonathan H. Cole</w:t>
            </w:r>
          </w:p>
        </w:tc>
        <w:tc>
          <w:tcPr>
            <w:tcW w:w="1680" w:type="dxa"/>
            <w:tcBorders>
              <w:top w:val="nil"/>
              <w:left w:val="nil"/>
              <w:bottom w:val="nil"/>
              <w:right w:val="nil"/>
            </w:tcBorders>
          </w:tcPr>
          <w:p w14:paraId="7A25C3CB" w14:textId="77777777" w:rsidR="005E102D" w:rsidRPr="00701945" w:rsidRDefault="00747467" w:rsidP="0076335E">
            <w:pPr>
              <w:jc w:val="center"/>
            </w:pPr>
            <w:r>
              <w:t>EU</w:t>
            </w:r>
          </w:p>
        </w:tc>
        <w:tc>
          <w:tcPr>
            <w:tcW w:w="1482" w:type="dxa"/>
            <w:tcBorders>
              <w:top w:val="nil"/>
              <w:left w:val="nil"/>
              <w:bottom w:val="nil"/>
              <w:right w:val="nil"/>
            </w:tcBorders>
          </w:tcPr>
          <w:p w14:paraId="15D53C33" w14:textId="77777777" w:rsidR="005E102D" w:rsidRPr="004515FB" w:rsidRDefault="004F239F" w:rsidP="0076335E">
            <w:pPr>
              <w:jc w:val="center"/>
            </w:pPr>
            <w:r>
              <w:t>JHC-1</w:t>
            </w:r>
          </w:p>
        </w:tc>
        <w:tc>
          <w:tcPr>
            <w:tcW w:w="3205" w:type="dxa"/>
            <w:tcBorders>
              <w:top w:val="nil"/>
              <w:left w:val="nil"/>
              <w:bottom w:val="nil"/>
              <w:right w:val="nil"/>
            </w:tcBorders>
          </w:tcPr>
          <w:p w14:paraId="307325A7" w14:textId="77777777" w:rsidR="005E102D" w:rsidRPr="00701945" w:rsidRDefault="004F239F" w:rsidP="0076335E">
            <w:r>
              <w:t>Technical Memorandum</w:t>
            </w:r>
          </w:p>
        </w:tc>
      </w:tr>
      <w:tr w:rsidR="005E102D" w:rsidRPr="00701945" w14:paraId="089FDFBF" w14:textId="77777777" w:rsidTr="0076335E">
        <w:trPr>
          <w:cantSplit/>
          <w:trHeight w:val="373"/>
        </w:trPr>
        <w:tc>
          <w:tcPr>
            <w:tcW w:w="3198" w:type="dxa"/>
            <w:tcBorders>
              <w:top w:val="nil"/>
              <w:left w:val="nil"/>
              <w:bottom w:val="nil"/>
              <w:right w:val="nil"/>
            </w:tcBorders>
          </w:tcPr>
          <w:p w14:paraId="3D9CA841" w14:textId="77777777" w:rsidR="005E102D" w:rsidRPr="00701945" w:rsidRDefault="004F239F" w:rsidP="0076335E">
            <w:pPr>
              <w:jc w:val="both"/>
            </w:pPr>
            <w:r>
              <w:t>Jonathan H. Cole</w:t>
            </w:r>
          </w:p>
        </w:tc>
        <w:tc>
          <w:tcPr>
            <w:tcW w:w="1680" w:type="dxa"/>
            <w:tcBorders>
              <w:top w:val="nil"/>
              <w:left w:val="nil"/>
              <w:bottom w:val="nil"/>
              <w:right w:val="nil"/>
            </w:tcBorders>
          </w:tcPr>
          <w:p w14:paraId="3DEF9C15" w14:textId="77777777" w:rsidR="005E102D" w:rsidRPr="00701945" w:rsidRDefault="004F239F" w:rsidP="0076335E">
            <w:pPr>
              <w:jc w:val="center"/>
            </w:pPr>
            <w:r>
              <w:t>EU</w:t>
            </w:r>
          </w:p>
        </w:tc>
        <w:tc>
          <w:tcPr>
            <w:tcW w:w="1482" w:type="dxa"/>
            <w:tcBorders>
              <w:top w:val="nil"/>
              <w:left w:val="nil"/>
              <w:bottom w:val="nil"/>
              <w:right w:val="nil"/>
            </w:tcBorders>
          </w:tcPr>
          <w:p w14:paraId="2C439CA2" w14:textId="77777777" w:rsidR="005E102D" w:rsidRPr="004515FB" w:rsidRDefault="004F239F" w:rsidP="0076335E">
            <w:pPr>
              <w:jc w:val="center"/>
            </w:pPr>
            <w:r>
              <w:t>JHC-2</w:t>
            </w:r>
          </w:p>
        </w:tc>
        <w:tc>
          <w:tcPr>
            <w:tcW w:w="3205" w:type="dxa"/>
            <w:tcBorders>
              <w:top w:val="nil"/>
              <w:left w:val="nil"/>
              <w:bottom w:val="nil"/>
              <w:right w:val="nil"/>
            </w:tcBorders>
          </w:tcPr>
          <w:p w14:paraId="38DCC5DF" w14:textId="77777777" w:rsidR="005E102D" w:rsidRPr="00701945" w:rsidRDefault="004F239F" w:rsidP="0076335E">
            <w:r>
              <w:t>Service Area Maps</w:t>
            </w:r>
          </w:p>
        </w:tc>
      </w:tr>
      <w:tr w:rsidR="005E102D" w:rsidRPr="00701945" w14:paraId="318DF15E" w14:textId="77777777" w:rsidTr="0076335E">
        <w:trPr>
          <w:cantSplit/>
          <w:trHeight w:val="353"/>
        </w:trPr>
        <w:tc>
          <w:tcPr>
            <w:tcW w:w="3198" w:type="dxa"/>
            <w:tcBorders>
              <w:top w:val="nil"/>
              <w:left w:val="nil"/>
              <w:bottom w:val="nil"/>
              <w:right w:val="nil"/>
            </w:tcBorders>
          </w:tcPr>
          <w:p w14:paraId="78574CCB" w14:textId="77777777" w:rsidR="005E102D" w:rsidRPr="00701945" w:rsidRDefault="004F239F" w:rsidP="0076335E">
            <w:pPr>
              <w:jc w:val="both"/>
            </w:pPr>
            <w:r>
              <w:t>Jonathan H. Cole</w:t>
            </w:r>
          </w:p>
        </w:tc>
        <w:tc>
          <w:tcPr>
            <w:tcW w:w="1680" w:type="dxa"/>
            <w:tcBorders>
              <w:top w:val="nil"/>
              <w:left w:val="nil"/>
              <w:bottom w:val="nil"/>
              <w:right w:val="nil"/>
            </w:tcBorders>
          </w:tcPr>
          <w:p w14:paraId="482A009B" w14:textId="77777777" w:rsidR="005E102D" w:rsidRPr="00701945" w:rsidRDefault="004F239F" w:rsidP="0076335E">
            <w:pPr>
              <w:jc w:val="center"/>
            </w:pPr>
            <w:r>
              <w:t>EU</w:t>
            </w:r>
          </w:p>
        </w:tc>
        <w:tc>
          <w:tcPr>
            <w:tcW w:w="1482" w:type="dxa"/>
            <w:tcBorders>
              <w:top w:val="nil"/>
              <w:left w:val="nil"/>
              <w:bottom w:val="nil"/>
              <w:right w:val="nil"/>
            </w:tcBorders>
          </w:tcPr>
          <w:p w14:paraId="0E6613B4" w14:textId="77777777" w:rsidR="005E102D" w:rsidRPr="004515FB" w:rsidRDefault="004F239F" w:rsidP="0076335E">
            <w:pPr>
              <w:jc w:val="center"/>
            </w:pPr>
            <w:r>
              <w:t>JHC-3</w:t>
            </w:r>
          </w:p>
        </w:tc>
        <w:tc>
          <w:tcPr>
            <w:tcW w:w="3205" w:type="dxa"/>
            <w:tcBorders>
              <w:top w:val="nil"/>
              <w:left w:val="nil"/>
              <w:bottom w:val="nil"/>
              <w:right w:val="nil"/>
            </w:tcBorders>
          </w:tcPr>
          <w:p w14:paraId="7D0E8840" w14:textId="77777777" w:rsidR="005E102D" w:rsidRPr="00701945" w:rsidRDefault="004F239F" w:rsidP="0076335E">
            <w:r>
              <w:t>Service Area Legal Description</w:t>
            </w:r>
          </w:p>
        </w:tc>
      </w:tr>
      <w:tr w:rsidR="005E102D" w:rsidRPr="00701945" w14:paraId="75CD3839" w14:textId="77777777" w:rsidTr="0076335E">
        <w:trPr>
          <w:cantSplit/>
          <w:trHeight w:val="353"/>
        </w:trPr>
        <w:tc>
          <w:tcPr>
            <w:tcW w:w="3198" w:type="dxa"/>
            <w:tcBorders>
              <w:top w:val="nil"/>
              <w:left w:val="nil"/>
              <w:bottom w:val="nil"/>
              <w:right w:val="nil"/>
            </w:tcBorders>
          </w:tcPr>
          <w:p w14:paraId="2D716F34" w14:textId="77777777" w:rsidR="005E102D" w:rsidRPr="00701945" w:rsidRDefault="004F239F" w:rsidP="0076335E">
            <w:pPr>
              <w:jc w:val="both"/>
            </w:pPr>
            <w:r>
              <w:t>Deborah D. Swain</w:t>
            </w:r>
          </w:p>
        </w:tc>
        <w:tc>
          <w:tcPr>
            <w:tcW w:w="1680" w:type="dxa"/>
            <w:tcBorders>
              <w:top w:val="nil"/>
              <w:left w:val="nil"/>
              <w:bottom w:val="nil"/>
              <w:right w:val="nil"/>
            </w:tcBorders>
          </w:tcPr>
          <w:p w14:paraId="73C3DF60" w14:textId="77777777" w:rsidR="005E102D" w:rsidRPr="00701945" w:rsidRDefault="004F239F" w:rsidP="0076335E">
            <w:pPr>
              <w:jc w:val="center"/>
            </w:pPr>
            <w:r>
              <w:t>EU</w:t>
            </w:r>
          </w:p>
        </w:tc>
        <w:tc>
          <w:tcPr>
            <w:tcW w:w="1482" w:type="dxa"/>
            <w:tcBorders>
              <w:top w:val="nil"/>
              <w:left w:val="nil"/>
              <w:bottom w:val="nil"/>
              <w:right w:val="nil"/>
            </w:tcBorders>
          </w:tcPr>
          <w:p w14:paraId="3C5D5CA3" w14:textId="77777777" w:rsidR="005E102D" w:rsidRPr="004515FB" w:rsidRDefault="004F239F" w:rsidP="0076335E">
            <w:pPr>
              <w:jc w:val="center"/>
            </w:pPr>
            <w:r>
              <w:t>DDS-1</w:t>
            </w:r>
          </w:p>
        </w:tc>
        <w:tc>
          <w:tcPr>
            <w:tcW w:w="3205" w:type="dxa"/>
            <w:tcBorders>
              <w:top w:val="nil"/>
              <w:left w:val="nil"/>
              <w:bottom w:val="nil"/>
              <w:right w:val="nil"/>
            </w:tcBorders>
          </w:tcPr>
          <w:p w14:paraId="64B7AF4E" w14:textId="77777777" w:rsidR="005E102D" w:rsidRPr="00701945" w:rsidRDefault="004F239F" w:rsidP="0076335E">
            <w:r>
              <w:t>Financial Schedules</w:t>
            </w:r>
          </w:p>
        </w:tc>
      </w:tr>
      <w:tr w:rsidR="005E102D" w:rsidRPr="00701945" w14:paraId="6AC3AD17" w14:textId="77777777" w:rsidTr="0076335E">
        <w:trPr>
          <w:cantSplit/>
          <w:trHeight w:val="353"/>
        </w:trPr>
        <w:tc>
          <w:tcPr>
            <w:tcW w:w="3198" w:type="dxa"/>
            <w:tcBorders>
              <w:top w:val="nil"/>
              <w:left w:val="nil"/>
              <w:bottom w:val="nil"/>
              <w:right w:val="nil"/>
            </w:tcBorders>
          </w:tcPr>
          <w:p w14:paraId="5CF2CA55" w14:textId="77777777" w:rsidR="005E102D" w:rsidRPr="00701945" w:rsidRDefault="008B5051" w:rsidP="0076335E">
            <w:pPr>
              <w:jc w:val="both"/>
            </w:pPr>
            <w:r>
              <w:t>Ellen Hardgrove</w:t>
            </w:r>
          </w:p>
        </w:tc>
        <w:tc>
          <w:tcPr>
            <w:tcW w:w="1680" w:type="dxa"/>
            <w:tcBorders>
              <w:top w:val="nil"/>
              <w:left w:val="nil"/>
              <w:bottom w:val="nil"/>
              <w:right w:val="nil"/>
            </w:tcBorders>
          </w:tcPr>
          <w:p w14:paraId="694900CF" w14:textId="77777777" w:rsidR="005E102D" w:rsidRPr="00701945" w:rsidRDefault="008B5051" w:rsidP="0076335E">
            <w:pPr>
              <w:jc w:val="center"/>
            </w:pPr>
            <w:r>
              <w:t>PIE</w:t>
            </w:r>
          </w:p>
        </w:tc>
        <w:tc>
          <w:tcPr>
            <w:tcW w:w="1482" w:type="dxa"/>
            <w:tcBorders>
              <w:top w:val="nil"/>
              <w:left w:val="nil"/>
              <w:bottom w:val="nil"/>
              <w:right w:val="nil"/>
            </w:tcBorders>
          </w:tcPr>
          <w:p w14:paraId="30B0EE8D" w14:textId="77777777" w:rsidR="005E102D" w:rsidRPr="004515FB" w:rsidRDefault="008B5051" w:rsidP="0076335E">
            <w:pPr>
              <w:jc w:val="center"/>
            </w:pPr>
            <w:r>
              <w:t>EH-1</w:t>
            </w:r>
          </w:p>
        </w:tc>
        <w:tc>
          <w:tcPr>
            <w:tcW w:w="3205" w:type="dxa"/>
            <w:tcBorders>
              <w:top w:val="nil"/>
              <w:left w:val="nil"/>
              <w:bottom w:val="nil"/>
              <w:right w:val="nil"/>
            </w:tcBorders>
          </w:tcPr>
          <w:p w14:paraId="0EBC598A" w14:textId="77777777" w:rsidR="005E102D" w:rsidRPr="00701945" w:rsidRDefault="008B5051" w:rsidP="0076335E">
            <w:r>
              <w:t>Affidavit of Ellen Hardgrove, with curriculum vitae</w:t>
            </w:r>
          </w:p>
        </w:tc>
      </w:tr>
      <w:tr w:rsidR="005E102D" w:rsidRPr="00701945" w14:paraId="1A803618" w14:textId="77777777" w:rsidTr="0076335E">
        <w:trPr>
          <w:cantSplit/>
          <w:trHeight w:val="373"/>
        </w:trPr>
        <w:tc>
          <w:tcPr>
            <w:tcW w:w="3198" w:type="dxa"/>
            <w:tcBorders>
              <w:top w:val="nil"/>
              <w:left w:val="nil"/>
              <w:bottom w:val="nil"/>
              <w:right w:val="nil"/>
            </w:tcBorders>
          </w:tcPr>
          <w:p w14:paraId="2AB4574E" w14:textId="77777777" w:rsidR="005E102D" w:rsidRDefault="00431CE9" w:rsidP="0076335E">
            <w:pPr>
              <w:jc w:val="both"/>
            </w:pPr>
            <w:r>
              <w:lastRenderedPageBreak/>
              <w:t>Ellen Hardgrove</w:t>
            </w:r>
          </w:p>
          <w:p w14:paraId="5F700E34" w14:textId="77777777" w:rsidR="008D6D8B" w:rsidRDefault="008D6D8B" w:rsidP="0076335E">
            <w:pPr>
              <w:jc w:val="both"/>
            </w:pPr>
          </w:p>
          <w:p w14:paraId="04F5A6AE" w14:textId="77777777" w:rsidR="008D6D8B" w:rsidRDefault="008D6D8B" w:rsidP="0076335E">
            <w:pPr>
              <w:jc w:val="both"/>
            </w:pPr>
          </w:p>
          <w:p w14:paraId="736C2224" w14:textId="77777777" w:rsidR="008D6D8B" w:rsidRDefault="008D6D8B" w:rsidP="0076335E">
            <w:pPr>
              <w:jc w:val="both"/>
            </w:pPr>
          </w:p>
          <w:p w14:paraId="0BAC3936" w14:textId="77777777" w:rsidR="008D6D8B" w:rsidRDefault="00DE10F4" w:rsidP="0076335E">
            <w:pPr>
              <w:jc w:val="both"/>
            </w:pPr>
            <w:r>
              <w:t>Ellen Hardgrove</w:t>
            </w:r>
          </w:p>
          <w:p w14:paraId="09FE0BFE" w14:textId="77777777" w:rsidR="00DE10F4" w:rsidRDefault="00DE10F4" w:rsidP="0076335E">
            <w:pPr>
              <w:jc w:val="both"/>
            </w:pPr>
          </w:p>
          <w:p w14:paraId="142C91F0" w14:textId="77777777" w:rsidR="00DE10F4" w:rsidRDefault="00DE10F4" w:rsidP="0076335E">
            <w:pPr>
              <w:jc w:val="both"/>
            </w:pPr>
          </w:p>
          <w:p w14:paraId="6C34E42F" w14:textId="77777777" w:rsidR="00DE10F4" w:rsidRDefault="00DE10F4" w:rsidP="0076335E">
            <w:pPr>
              <w:jc w:val="both"/>
            </w:pPr>
            <w:r>
              <w:t>Ellen Hardgrove</w:t>
            </w:r>
          </w:p>
          <w:p w14:paraId="17E77854" w14:textId="77777777" w:rsidR="00DE10F4" w:rsidRDefault="00DE10F4" w:rsidP="0076335E">
            <w:pPr>
              <w:jc w:val="both"/>
            </w:pPr>
          </w:p>
          <w:p w14:paraId="7D6AFE8F" w14:textId="77777777" w:rsidR="00DE10F4" w:rsidRDefault="00DE10F4" w:rsidP="0076335E">
            <w:pPr>
              <w:jc w:val="both"/>
            </w:pPr>
          </w:p>
          <w:p w14:paraId="62532452" w14:textId="77777777" w:rsidR="00DE10F4" w:rsidRDefault="00DE10F4" w:rsidP="0076335E">
            <w:pPr>
              <w:jc w:val="both"/>
            </w:pPr>
            <w:r>
              <w:t>Robert H. Weisberg</w:t>
            </w:r>
          </w:p>
          <w:p w14:paraId="093C773E" w14:textId="77777777" w:rsidR="00DE10F4" w:rsidRDefault="00DE10F4" w:rsidP="0076335E">
            <w:pPr>
              <w:jc w:val="both"/>
            </w:pPr>
          </w:p>
          <w:p w14:paraId="04C051C2" w14:textId="77777777" w:rsidR="00DE10F4" w:rsidRDefault="00DE10F4" w:rsidP="0076335E">
            <w:pPr>
              <w:jc w:val="both"/>
            </w:pPr>
          </w:p>
          <w:p w14:paraId="78C598A2" w14:textId="77777777" w:rsidR="00DE10F4" w:rsidRDefault="00DE10F4" w:rsidP="0076335E">
            <w:pPr>
              <w:jc w:val="both"/>
            </w:pPr>
          </w:p>
          <w:p w14:paraId="51865C29" w14:textId="77777777" w:rsidR="00DE10F4" w:rsidRDefault="00DE10F4" w:rsidP="0076335E">
            <w:pPr>
              <w:jc w:val="both"/>
            </w:pPr>
            <w:r>
              <w:t>Sheri Schultz</w:t>
            </w:r>
          </w:p>
          <w:p w14:paraId="4F3396DD" w14:textId="77777777" w:rsidR="00DE10F4" w:rsidRDefault="00DE10F4" w:rsidP="0076335E">
            <w:pPr>
              <w:jc w:val="both"/>
            </w:pPr>
          </w:p>
          <w:p w14:paraId="66425D16" w14:textId="77777777" w:rsidR="00DE10F4" w:rsidRDefault="00DE10F4" w:rsidP="0076335E">
            <w:pPr>
              <w:jc w:val="both"/>
            </w:pPr>
          </w:p>
          <w:p w14:paraId="24901D38" w14:textId="77777777" w:rsidR="00DE10F4" w:rsidRDefault="00DE10F4" w:rsidP="0076335E">
            <w:pPr>
              <w:jc w:val="both"/>
            </w:pPr>
            <w:r>
              <w:t>Stephen J. Suggs</w:t>
            </w:r>
          </w:p>
          <w:p w14:paraId="198E9EF2" w14:textId="77777777" w:rsidR="00DE10F4" w:rsidRDefault="00DE10F4" w:rsidP="0076335E">
            <w:pPr>
              <w:jc w:val="both"/>
            </w:pPr>
          </w:p>
          <w:p w14:paraId="1DFCE35F" w14:textId="77777777" w:rsidR="00DE10F4" w:rsidRDefault="00DE10F4" w:rsidP="0076335E">
            <w:pPr>
              <w:jc w:val="both"/>
            </w:pPr>
            <w:r>
              <w:t>Linda Cotherman</w:t>
            </w:r>
          </w:p>
          <w:p w14:paraId="2229A039" w14:textId="77777777" w:rsidR="00DE10F4" w:rsidRDefault="00DE10F4" w:rsidP="0076335E">
            <w:pPr>
              <w:jc w:val="both"/>
            </w:pPr>
          </w:p>
          <w:p w14:paraId="64E998AF" w14:textId="77777777" w:rsidR="00DE10F4" w:rsidRDefault="00DE10F4" w:rsidP="0076335E">
            <w:pPr>
              <w:jc w:val="both"/>
            </w:pPr>
          </w:p>
          <w:p w14:paraId="60C37312" w14:textId="77777777" w:rsidR="00DE10F4" w:rsidRDefault="00DE10F4" w:rsidP="0076335E">
            <w:pPr>
              <w:jc w:val="both"/>
            </w:pPr>
            <w:r>
              <w:t>Linda Cotherman</w:t>
            </w:r>
          </w:p>
          <w:p w14:paraId="406BC23E" w14:textId="77777777" w:rsidR="00DE10F4" w:rsidRDefault="00DE10F4" w:rsidP="0076335E">
            <w:pPr>
              <w:jc w:val="both"/>
            </w:pPr>
          </w:p>
          <w:p w14:paraId="045FB6E2" w14:textId="77777777" w:rsidR="00DE10F4" w:rsidRDefault="00DE10F4" w:rsidP="0076335E">
            <w:pPr>
              <w:jc w:val="both"/>
            </w:pPr>
          </w:p>
          <w:p w14:paraId="296E4550" w14:textId="77777777" w:rsidR="00DE10F4" w:rsidRDefault="00DE10F4" w:rsidP="0076335E">
            <w:pPr>
              <w:jc w:val="both"/>
            </w:pPr>
            <w:r>
              <w:t>Linda Cotherman</w:t>
            </w:r>
          </w:p>
          <w:p w14:paraId="29A168B1" w14:textId="77777777" w:rsidR="00DE10F4" w:rsidRDefault="00DE10F4" w:rsidP="0076335E">
            <w:pPr>
              <w:jc w:val="both"/>
            </w:pPr>
          </w:p>
          <w:p w14:paraId="6FCAE587" w14:textId="77777777" w:rsidR="00DE10F4" w:rsidRDefault="00DE10F4" w:rsidP="0076335E">
            <w:pPr>
              <w:jc w:val="both"/>
            </w:pPr>
          </w:p>
          <w:p w14:paraId="053ACA2F" w14:textId="77777777" w:rsidR="00DE10F4" w:rsidRDefault="00DE10F4" w:rsidP="0076335E">
            <w:pPr>
              <w:jc w:val="both"/>
            </w:pPr>
          </w:p>
          <w:p w14:paraId="0191F132" w14:textId="77777777" w:rsidR="00DE10F4" w:rsidRDefault="00DE10F4" w:rsidP="0076335E">
            <w:pPr>
              <w:jc w:val="both"/>
            </w:pPr>
          </w:p>
          <w:p w14:paraId="6FD440C4" w14:textId="33EC0BEA" w:rsidR="00DE10F4" w:rsidRPr="00701945" w:rsidRDefault="00DE10F4" w:rsidP="0076335E">
            <w:pPr>
              <w:jc w:val="both"/>
            </w:pPr>
          </w:p>
        </w:tc>
        <w:tc>
          <w:tcPr>
            <w:tcW w:w="1680" w:type="dxa"/>
            <w:tcBorders>
              <w:top w:val="nil"/>
              <w:left w:val="nil"/>
              <w:bottom w:val="nil"/>
              <w:right w:val="nil"/>
            </w:tcBorders>
          </w:tcPr>
          <w:p w14:paraId="6224DA45" w14:textId="77777777" w:rsidR="005E102D" w:rsidRDefault="00431CE9" w:rsidP="0076335E">
            <w:pPr>
              <w:jc w:val="center"/>
            </w:pPr>
            <w:r>
              <w:t>PIE</w:t>
            </w:r>
          </w:p>
          <w:p w14:paraId="72425092" w14:textId="77777777" w:rsidR="008D6D8B" w:rsidRDefault="008D6D8B" w:rsidP="0076335E">
            <w:pPr>
              <w:jc w:val="center"/>
            </w:pPr>
          </w:p>
          <w:p w14:paraId="7382BC0B" w14:textId="77777777" w:rsidR="008D6D8B" w:rsidRDefault="008D6D8B" w:rsidP="0076335E">
            <w:pPr>
              <w:jc w:val="center"/>
            </w:pPr>
          </w:p>
          <w:p w14:paraId="22674E91" w14:textId="77777777" w:rsidR="008D6D8B" w:rsidRDefault="008D6D8B" w:rsidP="0076335E">
            <w:pPr>
              <w:jc w:val="center"/>
            </w:pPr>
          </w:p>
          <w:p w14:paraId="20A21944" w14:textId="77777777" w:rsidR="00DE10F4" w:rsidRDefault="00DE10F4" w:rsidP="00DE10F4">
            <w:pPr>
              <w:jc w:val="center"/>
            </w:pPr>
            <w:r>
              <w:t>PIE</w:t>
            </w:r>
          </w:p>
          <w:p w14:paraId="5F023059" w14:textId="77777777" w:rsidR="008D6D8B" w:rsidRDefault="008D6D8B" w:rsidP="0076335E">
            <w:pPr>
              <w:jc w:val="center"/>
            </w:pPr>
          </w:p>
          <w:p w14:paraId="540CAEC3" w14:textId="77777777" w:rsidR="00DE10F4" w:rsidRDefault="00DE10F4" w:rsidP="0076335E">
            <w:pPr>
              <w:jc w:val="center"/>
            </w:pPr>
          </w:p>
          <w:p w14:paraId="01A22137" w14:textId="77777777" w:rsidR="00DE10F4" w:rsidRDefault="00DE10F4" w:rsidP="0076335E">
            <w:pPr>
              <w:jc w:val="center"/>
            </w:pPr>
            <w:r>
              <w:t>PIE</w:t>
            </w:r>
          </w:p>
          <w:p w14:paraId="40BE2CD7" w14:textId="77777777" w:rsidR="00DE10F4" w:rsidRDefault="00DE10F4" w:rsidP="0076335E">
            <w:pPr>
              <w:jc w:val="center"/>
            </w:pPr>
          </w:p>
          <w:p w14:paraId="644C3255" w14:textId="77777777" w:rsidR="00DE10F4" w:rsidRDefault="00DE10F4" w:rsidP="0076335E">
            <w:pPr>
              <w:jc w:val="center"/>
            </w:pPr>
          </w:p>
          <w:p w14:paraId="0FC4B753" w14:textId="77777777" w:rsidR="00DE10F4" w:rsidRDefault="00DE10F4" w:rsidP="0076335E">
            <w:pPr>
              <w:jc w:val="center"/>
            </w:pPr>
            <w:r>
              <w:t>PIE</w:t>
            </w:r>
          </w:p>
          <w:p w14:paraId="013806F8" w14:textId="77777777" w:rsidR="00DE10F4" w:rsidRDefault="00DE10F4" w:rsidP="0076335E">
            <w:pPr>
              <w:jc w:val="center"/>
            </w:pPr>
          </w:p>
          <w:p w14:paraId="5E51F9DA" w14:textId="77777777" w:rsidR="00DE10F4" w:rsidRDefault="00DE10F4" w:rsidP="0076335E">
            <w:pPr>
              <w:jc w:val="center"/>
            </w:pPr>
          </w:p>
          <w:p w14:paraId="4F0B2042" w14:textId="77777777" w:rsidR="00DE10F4" w:rsidRDefault="00DE10F4" w:rsidP="0076335E">
            <w:pPr>
              <w:jc w:val="center"/>
            </w:pPr>
          </w:p>
          <w:p w14:paraId="4F183B38" w14:textId="77777777" w:rsidR="00DE10F4" w:rsidRDefault="00DE10F4" w:rsidP="0076335E">
            <w:pPr>
              <w:jc w:val="center"/>
            </w:pPr>
            <w:r>
              <w:t>PIE</w:t>
            </w:r>
          </w:p>
          <w:p w14:paraId="0EB68B02" w14:textId="77777777" w:rsidR="00DE10F4" w:rsidRDefault="00DE10F4" w:rsidP="0076335E">
            <w:pPr>
              <w:jc w:val="center"/>
            </w:pPr>
          </w:p>
          <w:p w14:paraId="1E169A9B" w14:textId="77777777" w:rsidR="00DE10F4" w:rsidRDefault="00DE10F4" w:rsidP="0076335E">
            <w:pPr>
              <w:jc w:val="center"/>
            </w:pPr>
          </w:p>
          <w:p w14:paraId="280495DB" w14:textId="77777777" w:rsidR="00DE10F4" w:rsidRDefault="00DE10F4" w:rsidP="0076335E">
            <w:pPr>
              <w:jc w:val="center"/>
            </w:pPr>
            <w:r>
              <w:t>PIE</w:t>
            </w:r>
          </w:p>
          <w:p w14:paraId="42F93B79" w14:textId="77777777" w:rsidR="00DE10F4" w:rsidRDefault="00DE10F4" w:rsidP="0076335E">
            <w:pPr>
              <w:jc w:val="center"/>
            </w:pPr>
          </w:p>
          <w:p w14:paraId="6749E5B7" w14:textId="77777777" w:rsidR="00DE10F4" w:rsidRDefault="00DE10F4" w:rsidP="0076335E">
            <w:pPr>
              <w:jc w:val="center"/>
            </w:pPr>
            <w:r>
              <w:t>LC</w:t>
            </w:r>
          </w:p>
          <w:p w14:paraId="37B9D653" w14:textId="77777777" w:rsidR="00DE10F4" w:rsidRDefault="00DE10F4" w:rsidP="0076335E">
            <w:pPr>
              <w:jc w:val="center"/>
            </w:pPr>
          </w:p>
          <w:p w14:paraId="5ECBE1B3" w14:textId="77777777" w:rsidR="00DE10F4" w:rsidRDefault="00DE10F4" w:rsidP="0076335E">
            <w:pPr>
              <w:jc w:val="center"/>
            </w:pPr>
          </w:p>
          <w:p w14:paraId="63434715" w14:textId="77777777" w:rsidR="00DE10F4" w:rsidRDefault="00DE10F4" w:rsidP="0076335E">
            <w:pPr>
              <w:jc w:val="center"/>
            </w:pPr>
            <w:r>
              <w:t>LC</w:t>
            </w:r>
          </w:p>
          <w:p w14:paraId="0E6BDE74" w14:textId="77777777" w:rsidR="00DE10F4" w:rsidRDefault="00DE10F4" w:rsidP="0076335E">
            <w:pPr>
              <w:jc w:val="center"/>
            </w:pPr>
          </w:p>
          <w:p w14:paraId="58F8B5D7" w14:textId="77777777" w:rsidR="00DE10F4" w:rsidRDefault="00DE10F4" w:rsidP="0076335E">
            <w:pPr>
              <w:jc w:val="center"/>
            </w:pPr>
          </w:p>
          <w:p w14:paraId="40122694" w14:textId="77777777" w:rsidR="00DE10F4" w:rsidRDefault="00DE10F4" w:rsidP="0076335E">
            <w:pPr>
              <w:jc w:val="center"/>
            </w:pPr>
            <w:r>
              <w:t>LC</w:t>
            </w:r>
          </w:p>
          <w:p w14:paraId="289A65AF" w14:textId="77777777" w:rsidR="00DE10F4" w:rsidRDefault="00DE10F4" w:rsidP="0076335E">
            <w:pPr>
              <w:jc w:val="center"/>
            </w:pPr>
          </w:p>
          <w:p w14:paraId="7F8167E7" w14:textId="77777777" w:rsidR="00DE10F4" w:rsidRDefault="00DE10F4" w:rsidP="0076335E">
            <w:pPr>
              <w:jc w:val="center"/>
            </w:pPr>
          </w:p>
          <w:p w14:paraId="0E89B835" w14:textId="77777777" w:rsidR="00DE10F4" w:rsidRDefault="00DE10F4" w:rsidP="0076335E">
            <w:pPr>
              <w:jc w:val="center"/>
            </w:pPr>
          </w:p>
          <w:p w14:paraId="1A76BC08" w14:textId="77777777" w:rsidR="00DE10F4" w:rsidRDefault="00DE10F4" w:rsidP="0076335E">
            <w:pPr>
              <w:jc w:val="center"/>
            </w:pPr>
          </w:p>
          <w:p w14:paraId="3CC5913F" w14:textId="1865F50D" w:rsidR="00DE10F4" w:rsidRPr="00701945" w:rsidRDefault="00DE10F4" w:rsidP="0076335E">
            <w:pPr>
              <w:jc w:val="center"/>
            </w:pPr>
          </w:p>
        </w:tc>
        <w:tc>
          <w:tcPr>
            <w:tcW w:w="1482" w:type="dxa"/>
            <w:tcBorders>
              <w:top w:val="nil"/>
              <w:left w:val="nil"/>
              <w:bottom w:val="nil"/>
              <w:right w:val="nil"/>
            </w:tcBorders>
          </w:tcPr>
          <w:p w14:paraId="6C14145C" w14:textId="77777777" w:rsidR="005E102D" w:rsidRDefault="00431CE9" w:rsidP="0076335E">
            <w:pPr>
              <w:jc w:val="center"/>
            </w:pPr>
            <w:r>
              <w:t>EH-2</w:t>
            </w:r>
          </w:p>
          <w:p w14:paraId="18274A3F" w14:textId="77777777" w:rsidR="008D6D8B" w:rsidRDefault="008D6D8B" w:rsidP="0076335E">
            <w:pPr>
              <w:jc w:val="center"/>
            </w:pPr>
          </w:p>
          <w:p w14:paraId="034BDBF7" w14:textId="77777777" w:rsidR="008D6D8B" w:rsidRDefault="008D6D8B" w:rsidP="0076335E">
            <w:pPr>
              <w:jc w:val="center"/>
            </w:pPr>
          </w:p>
          <w:p w14:paraId="6BB52763" w14:textId="77777777" w:rsidR="008D6D8B" w:rsidRDefault="008D6D8B" w:rsidP="0076335E">
            <w:pPr>
              <w:jc w:val="center"/>
            </w:pPr>
          </w:p>
          <w:p w14:paraId="3593C02C" w14:textId="77777777" w:rsidR="00DE10F4" w:rsidRDefault="00DE10F4" w:rsidP="00DE10F4">
            <w:pPr>
              <w:jc w:val="center"/>
            </w:pPr>
            <w:r>
              <w:t>EH-3</w:t>
            </w:r>
          </w:p>
          <w:p w14:paraId="2DE72FCC" w14:textId="77777777" w:rsidR="008D6D8B" w:rsidRDefault="008D6D8B" w:rsidP="0076335E">
            <w:pPr>
              <w:jc w:val="center"/>
            </w:pPr>
          </w:p>
          <w:p w14:paraId="7B8D8B93" w14:textId="77777777" w:rsidR="00DE10F4" w:rsidRDefault="00DE10F4" w:rsidP="0076335E">
            <w:pPr>
              <w:jc w:val="center"/>
            </w:pPr>
          </w:p>
          <w:p w14:paraId="0B47B5C2" w14:textId="77777777" w:rsidR="00DE10F4" w:rsidRDefault="00DE10F4" w:rsidP="0076335E">
            <w:pPr>
              <w:jc w:val="center"/>
            </w:pPr>
            <w:r>
              <w:t>EH-3(a)</w:t>
            </w:r>
          </w:p>
          <w:p w14:paraId="5D737644" w14:textId="77777777" w:rsidR="00DE10F4" w:rsidRDefault="00DE10F4" w:rsidP="0076335E">
            <w:pPr>
              <w:jc w:val="center"/>
            </w:pPr>
          </w:p>
          <w:p w14:paraId="2AEA4F55" w14:textId="77777777" w:rsidR="00DE10F4" w:rsidRDefault="00DE10F4" w:rsidP="0076335E">
            <w:pPr>
              <w:jc w:val="center"/>
            </w:pPr>
          </w:p>
          <w:p w14:paraId="04074F8B" w14:textId="77777777" w:rsidR="00DE10F4" w:rsidRDefault="00DE10F4" w:rsidP="0076335E">
            <w:pPr>
              <w:jc w:val="center"/>
            </w:pPr>
            <w:r>
              <w:t>RW-1</w:t>
            </w:r>
          </w:p>
          <w:p w14:paraId="29131D45" w14:textId="77777777" w:rsidR="00DE10F4" w:rsidRDefault="00DE10F4" w:rsidP="0076335E">
            <w:pPr>
              <w:jc w:val="center"/>
            </w:pPr>
          </w:p>
          <w:p w14:paraId="5BF3992D" w14:textId="77777777" w:rsidR="00DE10F4" w:rsidRDefault="00DE10F4" w:rsidP="0076335E">
            <w:pPr>
              <w:jc w:val="center"/>
            </w:pPr>
          </w:p>
          <w:p w14:paraId="6D187C9F" w14:textId="77777777" w:rsidR="00DE10F4" w:rsidRDefault="00DE10F4" w:rsidP="0076335E">
            <w:pPr>
              <w:jc w:val="center"/>
            </w:pPr>
          </w:p>
          <w:p w14:paraId="121EFBB1" w14:textId="77777777" w:rsidR="00DE10F4" w:rsidRDefault="00DE10F4" w:rsidP="0076335E">
            <w:pPr>
              <w:jc w:val="center"/>
            </w:pPr>
            <w:r>
              <w:t>SFS-1</w:t>
            </w:r>
          </w:p>
          <w:p w14:paraId="2D9F7DD6" w14:textId="77777777" w:rsidR="00DE10F4" w:rsidRDefault="00DE10F4" w:rsidP="0076335E">
            <w:pPr>
              <w:jc w:val="center"/>
            </w:pPr>
          </w:p>
          <w:p w14:paraId="24630BFE" w14:textId="77777777" w:rsidR="00DE10F4" w:rsidRDefault="00DE10F4" w:rsidP="0076335E">
            <w:pPr>
              <w:jc w:val="center"/>
            </w:pPr>
          </w:p>
          <w:p w14:paraId="4DE03949" w14:textId="77777777" w:rsidR="00DE10F4" w:rsidRDefault="00DE10F4" w:rsidP="0076335E">
            <w:pPr>
              <w:jc w:val="center"/>
            </w:pPr>
            <w:r>
              <w:t>SS-1</w:t>
            </w:r>
          </w:p>
          <w:p w14:paraId="5F33B3D0" w14:textId="77777777" w:rsidR="00DE10F4" w:rsidRDefault="00DE10F4" w:rsidP="0076335E">
            <w:pPr>
              <w:jc w:val="center"/>
            </w:pPr>
          </w:p>
          <w:p w14:paraId="63718289" w14:textId="77777777" w:rsidR="00DE10F4" w:rsidRDefault="00DE10F4" w:rsidP="0076335E">
            <w:pPr>
              <w:jc w:val="center"/>
            </w:pPr>
            <w:r>
              <w:t>LBC-1</w:t>
            </w:r>
          </w:p>
          <w:p w14:paraId="7C14D680" w14:textId="77777777" w:rsidR="00DE10F4" w:rsidRDefault="00DE10F4" w:rsidP="0076335E">
            <w:pPr>
              <w:jc w:val="center"/>
            </w:pPr>
          </w:p>
          <w:p w14:paraId="2D3EAFB7" w14:textId="77777777" w:rsidR="00DE10F4" w:rsidRDefault="00DE10F4" w:rsidP="0076335E">
            <w:pPr>
              <w:jc w:val="center"/>
            </w:pPr>
          </w:p>
          <w:p w14:paraId="1DD12E1E" w14:textId="77777777" w:rsidR="00DE10F4" w:rsidRDefault="00DE10F4" w:rsidP="0076335E">
            <w:pPr>
              <w:jc w:val="center"/>
            </w:pPr>
            <w:r>
              <w:t>LBC-2</w:t>
            </w:r>
          </w:p>
          <w:p w14:paraId="1BDD7BBF" w14:textId="77777777" w:rsidR="00DE10F4" w:rsidRDefault="00DE10F4" w:rsidP="0076335E">
            <w:pPr>
              <w:jc w:val="center"/>
            </w:pPr>
          </w:p>
          <w:p w14:paraId="3830FEF3" w14:textId="77777777" w:rsidR="00DE10F4" w:rsidRDefault="00DE10F4" w:rsidP="0076335E">
            <w:pPr>
              <w:jc w:val="center"/>
            </w:pPr>
          </w:p>
          <w:p w14:paraId="523A01FB" w14:textId="77777777" w:rsidR="00DE10F4" w:rsidRDefault="00DE10F4" w:rsidP="0076335E">
            <w:pPr>
              <w:jc w:val="center"/>
            </w:pPr>
            <w:r>
              <w:t>LBC-3</w:t>
            </w:r>
          </w:p>
          <w:p w14:paraId="3FBFF30C" w14:textId="77777777" w:rsidR="00DE10F4" w:rsidRDefault="00DE10F4" w:rsidP="0076335E">
            <w:pPr>
              <w:jc w:val="center"/>
            </w:pPr>
          </w:p>
          <w:p w14:paraId="2F00D24A" w14:textId="77777777" w:rsidR="00DE10F4" w:rsidRDefault="00DE10F4" w:rsidP="0076335E">
            <w:pPr>
              <w:jc w:val="center"/>
            </w:pPr>
          </w:p>
          <w:p w14:paraId="0EF9A149" w14:textId="77777777" w:rsidR="00DE10F4" w:rsidRDefault="00DE10F4" w:rsidP="0076335E">
            <w:pPr>
              <w:jc w:val="center"/>
            </w:pPr>
          </w:p>
          <w:p w14:paraId="4DF77330" w14:textId="77777777" w:rsidR="00DE10F4" w:rsidRDefault="00DE10F4" w:rsidP="0076335E">
            <w:pPr>
              <w:jc w:val="center"/>
            </w:pPr>
          </w:p>
          <w:p w14:paraId="0261E30D" w14:textId="1138E009" w:rsidR="00DE10F4" w:rsidRPr="004515FB" w:rsidRDefault="00DE10F4" w:rsidP="0076335E">
            <w:pPr>
              <w:jc w:val="center"/>
            </w:pPr>
          </w:p>
        </w:tc>
        <w:tc>
          <w:tcPr>
            <w:tcW w:w="3205" w:type="dxa"/>
            <w:tcBorders>
              <w:top w:val="nil"/>
              <w:left w:val="nil"/>
              <w:bottom w:val="nil"/>
              <w:right w:val="nil"/>
            </w:tcBorders>
          </w:tcPr>
          <w:p w14:paraId="0C8E3736" w14:textId="77777777" w:rsidR="005E102D" w:rsidRDefault="00431CE9" w:rsidP="0076335E">
            <w:r>
              <w:t>Rebuttal to Charlotte County Utilities 9/27/2021 correspondence to PSC</w:t>
            </w:r>
          </w:p>
          <w:p w14:paraId="09822CB2" w14:textId="77777777" w:rsidR="008D6D8B" w:rsidRDefault="008D6D8B" w:rsidP="0076335E"/>
          <w:p w14:paraId="246ED962" w14:textId="77777777" w:rsidR="008D6D8B" w:rsidRDefault="00DE10F4" w:rsidP="0076335E">
            <w:r>
              <w:t>Charlotte County Comprehensive Plan section</w:t>
            </w:r>
          </w:p>
          <w:p w14:paraId="5C1562E7" w14:textId="77777777" w:rsidR="00DE10F4" w:rsidRDefault="00DE10F4" w:rsidP="0076335E"/>
          <w:p w14:paraId="4CC9BE28" w14:textId="77777777" w:rsidR="00DE10F4" w:rsidRDefault="00DE10F4" w:rsidP="0076335E">
            <w:r>
              <w:t>5-year Capital Improvement Schedule for Charlotte County</w:t>
            </w:r>
          </w:p>
          <w:p w14:paraId="46A95624" w14:textId="77777777" w:rsidR="00DE10F4" w:rsidRDefault="00DE10F4" w:rsidP="0076335E"/>
          <w:p w14:paraId="5B0CF225" w14:textId="77777777" w:rsidR="00DE10F4" w:rsidRDefault="00DE10F4" w:rsidP="0076335E">
            <w:r>
              <w:t>Affidavit of Robert H. Weisberg, Ph.D., with curriculum vitae</w:t>
            </w:r>
          </w:p>
          <w:p w14:paraId="2132D72F" w14:textId="77777777" w:rsidR="00DE10F4" w:rsidRDefault="00DE10F4" w:rsidP="0076335E"/>
          <w:p w14:paraId="6ABAEA4E" w14:textId="77777777" w:rsidR="00DE10F4" w:rsidRDefault="00DE10F4" w:rsidP="0076335E">
            <w:r>
              <w:t>Memorandum dated 11/19/2021, with schedules</w:t>
            </w:r>
          </w:p>
          <w:p w14:paraId="6E682DC4" w14:textId="77777777" w:rsidR="00DE10F4" w:rsidRDefault="00DE10F4" w:rsidP="0076335E"/>
          <w:p w14:paraId="77BC3FBE" w14:textId="77777777" w:rsidR="00DE10F4" w:rsidRDefault="00DE10F4" w:rsidP="0076335E">
            <w:r>
              <w:t>Sewer Connection Memo</w:t>
            </w:r>
          </w:p>
          <w:p w14:paraId="7327ABD8" w14:textId="77777777" w:rsidR="00DE10F4" w:rsidRDefault="00DE10F4" w:rsidP="0076335E"/>
          <w:p w14:paraId="4F102DF2" w14:textId="77777777" w:rsidR="00DE10F4" w:rsidRDefault="00DE10F4" w:rsidP="0076335E">
            <w:r>
              <w:t>Curriculum Vitae of Linda B. Cotherman.</w:t>
            </w:r>
          </w:p>
          <w:p w14:paraId="78ED029F" w14:textId="77777777" w:rsidR="00DE10F4" w:rsidRDefault="00DE10F4" w:rsidP="0076335E"/>
          <w:p w14:paraId="45FB4945" w14:textId="77777777" w:rsidR="00DE10F4" w:rsidRDefault="00DE10F4" w:rsidP="0076335E">
            <w:r>
              <w:t>Witness reports and testimony.</w:t>
            </w:r>
          </w:p>
          <w:p w14:paraId="38CA2205" w14:textId="77777777" w:rsidR="00DE10F4" w:rsidRDefault="00DE10F4" w:rsidP="0076335E"/>
          <w:p w14:paraId="0AF2D8B8" w14:textId="77777777" w:rsidR="00DE10F4" w:rsidRDefault="00DE10F4" w:rsidP="0076335E">
            <w:r w:rsidRPr="00526305">
              <w:t xml:space="preserve">List of Discrepancies, Inaccuracies and Missing Information in the application </w:t>
            </w:r>
            <w:r>
              <w:t>by EU, LLC</w:t>
            </w:r>
          </w:p>
          <w:p w14:paraId="47669BFD" w14:textId="77777777" w:rsidR="00DE10F4" w:rsidRDefault="00DE10F4" w:rsidP="0076335E"/>
          <w:p w14:paraId="00500FF1" w14:textId="06FA3241" w:rsidR="00DE10F4" w:rsidRPr="00701945" w:rsidRDefault="00DE10F4" w:rsidP="0076335E"/>
        </w:tc>
      </w:tr>
      <w:tr w:rsidR="005E102D" w:rsidRPr="00701945" w14:paraId="24D848ED" w14:textId="77777777" w:rsidTr="0076335E">
        <w:trPr>
          <w:cantSplit/>
          <w:trHeight w:val="353"/>
        </w:trPr>
        <w:tc>
          <w:tcPr>
            <w:tcW w:w="3198" w:type="dxa"/>
            <w:tcBorders>
              <w:top w:val="nil"/>
              <w:left w:val="nil"/>
              <w:bottom w:val="nil"/>
              <w:right w:val="nil"/>
            </w:tcBorders>
          </w:tcPr>
          <w:p w14:paraId="1EB263D0" w14:textId="77777777" w:rsidR="00160575" w:rsidRDefault="00160575" w:rsidP="0076335E">
            <w:pPr>
              <w:jc w:val="both"/>
            </w:pPr>
            <w:r>
              <w:t>Linda Cotherman</w:t>
            </w:r>
          </w:p>
          <w:p w14:paraId="3CABF06A" w14:textId="77777777" w:rsidR="00160575" w:rsidRDefault="00160575" w:rsidP="0076335E">
            <w:pPr>
              <w:jc w:val="both"/>
            </w:pPr>
          </w:p>
          <w:p w14:paraId="2B32E1C9" w14:textId="77777777" w:rsidR="00160575" w:rsidRDefault="00160575" w:rsidP="0076335E">
            <w:pPr>
              <w:jc w:val="both"/>
            </w:pPr>
          </w:p>
          <w:p w14:paraId="2FEC812C" w14:textId="77777777" w:rsidR="00160575" w:rsidRPr="00701945" w:rsidRDefault="00160575" w:rsidP="0076335E">
            <w:pPr>
              <w:jc w:val="both"/>
            </w:pPr>
          </w:p>
        </w:tc>
        <w:tc>
          <w:tcPr>
            <w:tcW w:w="1680" w:type="dxa"/>
            <w:tcBorders>
              <w:top w:val="nil"/>
              <w:left w:val="nil"/>
              <w:bottom w:val="nil"/>
              <w:right w:val="nil"/>
            </w:tcBorders>
          </w:tcPr>
          <w:p w14:paraId="682F47C8" w14:textId="370CFD4D" w:rsidR="00160575" w:rsidRDefault="00026CFA" w:rsidP="0076335E">
            <w:pPr>
              <w:jc w:val="center"/>
            </w:pPr>
            <w:r>
              <w:t>LC</w:t>
            </w:r>
          </w:p>
          <w:p w14:paraId="78E1A223" w14:textId="77777777" w:rsidR="00160575" w:rsidRDefault="00160575" w:rsidP="0076335E">
            <w:pPr>
              <w:jc w:val="center"/>
            </w:pPr>
          </w:p>
          <w:p w14:paraId="03161ACB" w14:textId="77777777" w:rsidR="00162FF6" w:rsidRPr="00701945" w:rsidRDefault="00162FF6" w:rsidP="0076335E">
            <w:pPr>
              <w:jc w:val="center"/>
            </w:pPr>
          </w:p>
        </w:tc>
        <w:tc>
          <w:tcPr>
            <w:tcW w:w="1482" w:type="dxa"/>
            <w:tcBorders>
              <w:top w:val="nil"/>
              <w:left w:val="nil"/>
              <w:bottom w:val="nil"/>
              <w:right w:val="nil"/>
            </w:tcBorders>
          </w:tcPr>
          <w:p w14:paraId="5239436A" w14:textId="77777777" w:rsidR="00160575" w:rsidRDefault="00160575" w:rsidP="0076335E">
            <w:pPr>
              <w:jc w:val="center"/>
            </w:pPr>
            <w:r>
              <w:t>LBC-4</w:t>
            </w:r>
          </w:p>
          <w:p w14:paraId="79DC216E" w14:textId="77777777" w:rsidR="00160575" w:rsidRDefault="00160575" w:rsidP="0076335E">
            <w:pPr>
              <w:jc w:val="center"/>
            </w:pPr>
          </w:p>
          <w:p w14:paraId="0CFB76B2" w14:textId="77777777" w:rsidR="00160575" w:rsidRDefault="00160575" w:rsidP="0076335E">
            <w:pPr>
              <w:jc w:val="center"/>
            </w:pPr>
          </w:p>
          <w:p w14:paraId="3102CA33" w14:textId="77777777" w:rsidR="00160575" w:rsidRPr="00160575" w:rsidRDefault="00160575" w:rsidP="0076335E">
            <w:pPr>
              <w:jc w:val="center"/>
              <w:rPr>
                <w:b/>
                <w:i/>
                <w:color w:val="FF0000"/>
              </w:rPr>
            </w:pPr>
          </w:p>
        </w:tc>
        <w:tc>
          <w:tcPr>
            <w:tcW w:w="3205" w:type="dxa"/>
            <w:tcBorders>
              <w:top w:val="nil"/>
              <w:left w:val="nil"/>
              <w:bottom w:val="nil"/>
              <w:right w:val="nil"/>
            </w:tcBorders>
          </w:tcPr>
          <w:p w14:paraId="27408EA5" w14:textId="77777777" w:rsidR="00160575" w:rsidRDefault="00160575" w:rsidP="0076335E">
            <w:r w:rsidRPr="009975BA">
              <w:t xml:space="preserve">List of Other Issues and Concerns Regarding the Application by </w:t>
            </w:r>
            <w:r>
              <w:t>EU</w:t>
            </w:r>
            <w:r w:rsidRPr="009975BA">
              <w:t>, LLC</w:t>
            </w:r>
          </w:p>
          <w:p w14:paraId="75E9C931" w14:textId="77777777" w:rsidR="00160575" w:rsidRPr="00701945" w:rsidRDefault="00160575" w:rsidP="0076335E"/>
        </w:tc>
      </w:tr>
      <w:tr w:rsidR="005E102D" w:rsidRPr="00701945" w14:paraId="113A773F" w14:textId="77777777" w:rsidTr="0076335E">
        <w:trPr>
          <w:cantSplit/>
          <w:trHeight w:val="353"/>
        </w:trPr>
        <w:tc>
          <w:tcPr>
            <w:tcW w:w="3198" w:type="dxa"/>
            <w:tcBorders>
              <w:top w:val="nil"/>
              <w:left w:val="nil"/>
              <w:bottom w:val="nil"/>
              <w:right w:val="nil"/>
            </w:tcBorders>
          </w:tcPr>
          <w:p w14:paraId="187263C6" w14:textId="77777777" w:rsidR="005E102D" w:rsidRPr="00701945" w:rsidRDefault="005E102D" w:rsidP="0076335E">
            <w:pPr>
              <w:jc w:val="both"/>
            </w:pPr>
            <w:r w:rsidRPr="00701945">
              <w:tab/>
            </w:r>
            <w:r w:rsidRPr="00701945">
              <w:rPr>
                <w:u w:val="single"/>
              </w:rPr>
              <w:t>Rebuttal</w:t>
            </w:r>
          </w:p>
        </w:tc>
        <w:tc>
          <w:tcPr>
            <w:tcW w:w="1680" w:type="dxa"/>
            <w:tcBorders>
              <w:top w:val="nil"/>
              <w:left w:val="nil"/>
              <w:bottom w:val="nil"/>
              <w:right w:val="nil"/>
            </w:tcBorders>
          </w:tcPr>
          <w:p w14:paraId="776A54D4" w14:textId="77777777" w:rsidR="005E102D" w:rsidRPr="00701945" w:rsidRDefault="005E102D" w:rsidP="0076335E">
            <w:pPr>
              <w:jc w:val="center"/>
            </w:pPr>
          </w:p>
        </w:tc>
        <w:tc>
          <w:tcPr>
            <w:tcW w:w="1482" w:type="dxa"/>
            <w:tcBorders>
              <w:top w:val="nil"/>
              <w:left w:val="nil"/>
              <w:bottom w:val="nil"/>
              <w:right w:val="nil"/>
            </w:tcBorders>
          </w:tcPr>
          <w:p w14:paraId="4545482B" w14:textId="77777777" w:rsidR="005E102D" w:rsidRPr="004515FB" w:rsidRDefault="005E102D" w:rsidP="0076335E">
            <w:pPr>
              <w:jc w:val="center"/>
            </w:pPr>
          </w:p>
        </w:tc>
        <w:tc>
          <w:tcPr>
            <w:tcW w:w="3205" w:type="dxa"/>
            <w:tcBorders>
              <w:top w:val="nil"/>
              <w:left w:val="nil"/>
              <w:bottom w:val="nil"/>
              <w:right w:val="nil"/>
            </w:tcBorders>
          </w:tcPr>
          <w:p w14:paraId="0DEE7CE8" w14:textId="77777777" w:rsidR="005E102D" w:rsidRPr="00701945" w:rsidRDefault="005E102D" w:rsidP="0076335E"/>
        </w:tc>
      </w:tr>
      <w:tr w:rsidR="005E102D" w:rsidRPr="00701945" w14:paraId="490122EB" w14:textId="77777777" w:rsidTr="0076335E">
        <w:trPr>
          <w:cantSplit/>
          <w:trHeight w:val="726"/>
        </w:trPr>
        <w:tc>
          <w:tcPr>
            <w:tcW w:w="3198" w:type="dxa"/>
            <w:tcBorders>
              <w:top w:val="nil"/>
              <w:left w:val="nil"/>
              <w:bottom w:val="nil"/>
              <w:right w:val="nil"/>
            </w:tcBorders>
          </w:tcPr>
          <w:p w14:paraId="0AFD70C0" w14:textId="77777777" w:rsidR="005E102D" w:rsidRDefault="000069E4" w:rsidP="0076335E">
            <w:pPr>
              <w:jc w:val="both"/>
            </w:pPr>
            <w:r>
              <w:t>John R. Boyer</w:t>
            </w:r>
          </w:p>
          <w:p w14:paraId="37DB2674" w14:textId="77777777" w:rsidR="000069E4" w:rsidRDefault="000069E4" w:rsidP="0076335E">
            <w:pPr>
              <w:jc w:val="both"/>
            </w:pPr>
          </w:p>
          <w:p w14:paraId="6D5F0C86" w14:textId="77777777" w:rsidR="000069E4" w:rsidRPr="00701945" w:rsidRDefault="000069E4" w:rsidP="0076335E">
            <w:pPr>
              <w:jc w:val="both"/>
            </w:pPr>
            <w:r>
              <w:t>John R. Boyer</w:t>
            </w:r>
          </w:p>
        </w:tc>
        <w:tc>
          <w:tcPr>
            <w:tcW w:w="1680" w:type="dxa"/>
            <w:tcBorders>
              <w:top w:val="nil"/>
              <w:left w:val="nil"/>
              <w:bottom w:val="nil"/>
              <w:right w:val="nil"/>
            </w:tcBorders>
          </w:tcPr>
          <w:p w14:paraId="72706F75" w14:textId="77777777" w:rsidR="005E102D" w:rsidRDefault="000069E4" w:rsidP="0076335E">
            <w:pPr>
              <w:jc w:val="center"/>
            </w:pPr>
            <w:r>
              <w:t>EU</w:t>
            </w:r>
          </w:p>
          <w:p w14:paraId="5E70C23B" w14:textId="77777777" w:rsidR="000069E4" w:rsidRDefault="000069E4" w:rsidP="0076335E">
            <w:pPr>
              <w:jc w:val="center"/>
            </w:pPr>
          </w:p>
          <w:p w14:paraId="26D82C79" w14:textId="77777777" w:rsidR="000069E4" w:rsidRPr="00701945" w:rsidRDefault="000069E4" w:rsidP="0076335E">
            <w:pPr>
              <w:jc w:val="center"/>
            </w:pPr>
            <w:r>
              <w:t>EU</w:t>
            </w:r>
          </w:p>
        </w:tc>
        <w:tc>
          <w:tcPr>
            <w:tcW w:w="1482" w:type="dxa"/>
            <w:tcBorders>
              <w:top w:val="nil"/>
              <w:left w:val="nil"/>
              <w:bottom w:val="nil"/>
              <w:right w:val="nil"/>
            </w:tcBorders>
          </w:tcPr>
          <w:p w14:paraId="4E2EEC08" w14:textId="77777777" w:rsidR="005E102D" w:rsidRDefault="000069E4" w:rsidP="0076335E">
            <w:pPr>
              <w:jc w:val="center"/>
            </w:pPr>
            <w:r>
              <w:t>JRB-3</w:t>
            </w:r>
          </w:p>
          <w:p w14:paraId="7921D315" w14:textId="77777777" w:rsidR="000069E4" w:rsidRDefault="000069E4" w:rsidP="0076335E">
            <w:pPr>
              <w:jc w:val="center"/>
            </w:pPr>
          </w:p>
          <w:p w14:paraId="21ABC737" w14:textId="77777777" w:rsidR="000069E4" w:rsidRPr="004515FB" w:rsidRDefault="000069E4" w:rsidP="0076335E">
            <w:pPr>
              <w:jc w:val="center"/>
            </w:pPr>
            <w:r>
              <w:t>JRB-4</w:t>
            </w:r>
          </w:p>
        </w:tc>
        <w:tc>
          <w:tcPr>
            <w:tcW w:w="3205" w:type="dxa"/>
            <w:tcBorders>
              <w:top w:val="nil"/>
              <w:left w:val="nil"/>
              <w:bottom w:val="nil"/>
              <w:right w:val="nil"/>
            </w:tcBorders>
          </w:tcPr>
          <w:p w14:paraId="560642C0" w14:textId="77777777" w:rsidR="005E102D" w:rsidRDefault="000069E4" w:rsidP="0076335E">
            <w:r>
              <w:t>Tax Payment Records</w:t>
            </w:r>
          </w:p>
          <w:p w14:paraId="493B9B50" w14:textId="77777777" w:rsidR="000069E4" w:rsidRDefault="000069E4" w:rsidP="0076335E"/>
          <w:p w14:paraId="0EC2248E" w14:textId="77777777" w:rsidR="000069E4" w:rsidRPr="00701945" w:rsidRDefault="000069E4" w:rsidP="0076335E">
            <w:r>
              <w:t>Financing Commitment</w:t>
            </w:r>
          </w:p>
        </w:tc>
      </w:tr>
      <w:tr w:rsidR="005E102D" w:rsidRPr="00701945" w14:paraId="7921E905" w14:textId="77777777" w:rsidTr="0076335E">
        <w:trPr>
          <w:cantSplit/>
          <w:trHeight w:val="373"/>
        </w:trPr>
        <w:tc>
          <w:tcPr>
            <w:tcW w:w="3198" w:type="dxa"/>
            <w:tcBorders>
              <w:top w:val="nil"/>
              <w:left w:val="nil"/>
              <w:bottom w:val="nil"/>
              <w:right w:val="nil"/>
            </w:tcBorders>
          </w:tcPr>
          <w:p w14:paraId="4BA56836" w14:textId="77777777" w:rsidR="005E102D" w:rsidRPr="00701945" w:rsidRDefault="000069E4" w:rsidP="0076335E">
            <w:pPr>
              <w:jc w:val="both"/>
            </w:pPr>
            <w:r>
              <w:lastRenderedPageBreak/>
              <w:t>Jonathan H. Cole</w:t>
            </w:r>
          </w:p>
        </w:tc>
        <w:tc>
          <w:tcPr>
            <w:tcW w:w="1680" w:type="dxa"/>
            <w:tcBorders>
              <w:top w:val="nil"/>
              <w:left w:val="nil"/>
              <w:bottom w:val="nil"/>
              <w:right w:val="nil"/>
            </w:tcBorders>
          </w:tcPr>
          <w:p w14:paraId="239BCD77" w14:textId="77777777" w:rsidR="005E102D" w:rsidRPr="00701945" w:rsidRDefault="000069E4" w:rsidP="0076335E">
            <w:pPr>
              <w:jc w:val="center"/>
            </w:pPr>
            <w:r>
              <w:t>EU</w:t>
            </w:r>
          </w:p>
        </w:tc>
        <w:tc>
          <w:tcPr>
            <w:tcW w:w="1482" w:type="dxa"/>
            <w:tcBorders>
              <w:top w:val="nil"/>
              <w:left w:val="nil"/>
              <w:bottom w:val="nil"/>
              <w:right w:val="nil"/>
            </w:tcBorders>
          </w:tcPr>
          <w:p w14:paraId="2B260CA6" w14:textId="77777777" w:rsidR="005E102D" w:rsidRPr="004515FB" w:rsidRDefault="000069E4" w:rsidP="0076335E">
            <w:pPr>
              <w:jc w:val="center"/>
            </w:pPr>
            <w:r>
              <w:t>JHC-4</w:t>
            </w:r>
          </w:p>
        </w:tc>
        <w:tc>
          <w:tcPr>
            <w:tcW w:w="3205" w:type="dxa"/>
            <w:tcBorders>
              <w:top w:val="nil"/>
              <w:left w:val="nil"/>
              <w:bottom w:val="nil"/>
              <w:right w:val="nil"/>
            </w:tcBorders>
          </w:tcPr>
          <w:p w14:paraId="6DBFFB8B" w14:textId="77777777" w:rsidR="005E102D" w:rsidRPr="00701945" w:rsidRDefault="000069E4" w:rsidP="0076335E">
            <w:r>
              <w:t>Mandatory Connection Ordinance</w:t>
            </w:r>
          </w:p>
        </w:tc>
      </w:tr>
      <w:tr w:rsidR="005E102D" w:rsidRPr="00701945" w14:paraId="4EF8B257" w14:textId="77777777" w:rsidTr="0076335E">
        <w:trPr>
          <w:cantSplit/>
          <w:trHeight w:val="353"/>
        </w:trPr>
        <w:tc>
          <w:tcPr>
            <w:tcW w:w="3198" w:type="dxa"/>
            <w:tcBorders>
              <w:top w:val="nil"/>
              <w:left w:val="nil"/>
              <w:bottom w:val="nil"/>
              <w:right w:val="nil"/>
            </w:tcBorders>
          </w:tcPr>
          <w:p w14:paraId="24F569D1" w14:textId="77777777" w:rsidR="005E102D" w:rsidRPr="00701945" w:rsidRDefault="000069E4" w:rsidP="0076335E">
            <w:pPr>
              <w:jc w:val="both"/>
            </w:pPr>
            <w:r>
              <w:t>Deborah D. Swain</w:t>
            </w:r>
          </w:p>
        </w:tc>
        <w:tc>
          <w:tcPr>
            <w:tcW w:w="1680" w:type="dxa"/>
            <w:tcBorders>
              <w:top w:val="nil"/>
              <w:left w:val="nil"/>
              <w:bottom w:val="nil"/>
              <w:right w:val="nil"/>
            </w:tcBorders>
          </w:tcPr>
          <w:p w14:paraId="75E93A49" w14:textId="77777777" w:rsidR="005E102D" w:rsidRPr="00701945" w:rsidRDefault="000069E4" w:rsidP="0076335E">
            <w:pPr>
              <w:jc w:val="center"/>
            </w:pPr>
            <w:r>
              <w:t>EU</w:t>
            </w:r>
          </w:p>
        </w:tc>
        <w:tc>
          <w:tcPr>
            <w:tcW w:w="1482" w:type="dxa"/>
            <w:tcBorders>
              <w:top w:val="nil"/>
              <w:left w:val="nil"/>
              <w:bottom w:val="nil"/>
              <w:right w:val="nil"/>
            </w:tcBorders>
          </w:tcPr>
          <w:p w14:paraId="0F6DE7AD" w14:textId="77777777" w:rsidR="005E102D" w:rsidRPr="004515FB" w:rsidRDefault="000069E4" w:rsidP="0076335E">
            <w:pPr>
              <w:jc w:val="center"/>
            </w:pPr>
            <w:r>
              <w:t>DDS-2</w:t>
            </w:r>
          </w:p>
        </w:tc>
        <w:tc>
          <w:tcPr>
            <w:tcW w:w="3205" w:type="dxa"/>
            <w:tcBorders>
              <w:top w:val="nil"/>
              <w:left w:val="nil"/>
              <w:bottom w:val="nil"/>
              <w:right w:val="nil"/>
            </w:tcBorders>
          </w:tcPr>
          <w:p w14:paraId="065D93B8" w14:textId="77777777" w:rsidR="005E102D" w:rsidRPr="00701945" w:rsidRDefault="000069E4" w:rsidP="0076335E">
            <w:r>
              <w:t>Revised Financial Schedules</w:t>
            </w:r>
          </w:p>
        </w:tc>
      </w:tr>
      <w:tr w:rsidR="005E102D" w:rsidRPr="00701945" w14:paraId="2B5C24A7" w14:textId="77777777" w:rsidTr="0076335E">
        <w:trPr>
          <w:cantSplit/>
          <w:trHeight w:val="353"/>
        </w:trPr>
        <w:tc>
          <w:tcPr>
            <w:tcW w:w="3198" w:type="dxa"/>
            <w:tcBorders>
              <w:top w:val="nil"/>
              <w:left w:val="nil"/>
              <w:bottom w:val="nil"/>
              <w:right w:val="nil"/>
            </w:tcBorders>
          </w:tcPr>
          <w:p w14:paraId="35DE8BCC" w14:textId="77777777" w:rsidR="005E102D" w:rsidRPr="00701945" w:rsidRDefault="000069E4" w:rsidP="0076335E">
            <w:pPr>
              <w:jc w:val="both"/>
            </w:pPr>
            <w:r>
              <w:t>Deborah D. Swain</w:t>
            </w:r>
          </w:p>
        </w:tc>
        <w:tc>
          <w:tcPr>
            <w:tcW w:w="1680" w:type="dxa"/>
            <w:tcBorders>
              <w:top w:val="nil"/>
              <w:left w:val="nil"/>
              <w:bottom w:val="nil"/>
              <w:right w:val="nil"/>
            </w:tcBorders>
          </w:tcPr>
          <w:p w14:paraId="35A5E2EF" w14:textId="77777777" w:rsidR="005E102D" w:rsidRPr="00701945" w:rsidRDefault="000069E4" w:rsidP="0076335E">
            <w:pPr>
              <w:jc w:val="center"/>
            </w:pPr>
            <w:r>
              <w:t>EU</w:t>
            </w:r>
          </w:p>
        </w:tc>
        <w:tc>
          <w:tcPr>
            <w:tcW w:w="1482" w:type="dxa"/>
            <w:tcBorders>
              <w:top w:val="nil"/>
              <w:left w:val="nil"/>
              <w:bottom w:val="nil"/>
              <w:right w:val="nil"/>
            </w:tcBorders>
          </w:tcPr>
          <w:p w14:paraId="37FFABCA" w14:textId="77777777" w:rsidR="005E102D" w:rsidRPr="004515FB" w:rsidRDefault="000069E4" w:rsidP="0076335E">
            <w:pPr>
              <w:jc w:val="center"/>
            </w:pPr>
            <w:r>
              <w:t>DDS-3</w:t>
            </w:r>
          </w:p>
        </w:tc>
        <w:tc>
          <w:tcPr>
            <w:tcW w:w="3205" w:type="dxa"/>
            <w:tcBorders>
              <w:top w:val="nil"/>
              <w:left w:val="nil"/>
              <w:bottom w:val="nil"/>
              <w:right w:val="nil"/>
            </w:tcBorders>
          </w:tcPr>
          <w:p w14:paraId="666E2A5D" w14:textId="77777777" w:rsidR="005E102D" w:rsidRPr="00701945" w:rsidRDefault="000069E4" w:rsidP="0076335E">
            <w:r>
              <w:t>Response to Staff Interrogatory #12b</w:t>
            </w:r>
          </w:p>
        </w:tc>
      </w:tr>
      <w:tr w:rsidR="005E102D" w:rsidRPr="00701945" w14:paraId="5E309CD9" w14:textId="77777777" w:rsidTr="0076335E">
        <w:trPr>
          <w:cantSplit/>
          <w:trHeight w:val="373"/>
        </w:trPr>
        <w:tc>
          <w:tcPr>
            <w:tcW w:w="3198" w:type="dxa"/>
            <w:tcBorders>
              <w:top w:val="nil"/>
              <w:left w:val="nil"/>
              <w:bottom w:val="nil"/>
              <w:right w:val="nil"/>
            </w:tcBorders>
          </w:tcPr>
          <w:p w14:paraId="7A0A0BDD" w14:textId="77777777" w:rsidR="005E102D" w:rsidRPr="00701945" w:rsidRDefault="005E102D" w:rsidP="0076335E">
            <w:pPr>
              <w:jc w:val="both"/>
            </w:pPr>
          </w:p>
        </w:tc>
        <w:tc>
          <w:tcPr>
            <w:tcW w:w="1680" w:type="dxa"/>
            <w:tcBorders>
              <w:top w:val="nil"/>
              <w:left w:val="nil"/>
              <w:bottom w:val="nil"/>
              <w:right w:val="nil"/>
            </w:tcBorders>
          </w:tcPr>
          <w:p w14:paraId="6E7606A2" w14:textId="77777777" w:rsidR="005E102D" w:rsidRPr="00701945" w:rsidRDefault="005E102D" w:rsidP="0076335E">
            <w:pPr>
              <w:jc w:val="center"/>
            </w:pPr>
          </w:p>
        </w:tc>
        <w:tc>
          <w:tcPr>
            <w:tcW w:w="1482" w:type="dxa"/>
            <w:tcBorders>
              <w:top w:val="nil"/>
              <w:left w:val="nil"/>
              <w:bottom w:val="nil"/>
              <w:right w:val="nil"/>
            </w:tcBorders>
          </w:tcPr>
          <w:p w14:paraId="40E95DAD" w14:textId="77777777" w:rsidR="005E102D" w:rsidRPr="004515FB" w:rsidRDefault="005E102D" w:rsidP="0076335E">
            <w:pPr>
              <w:jc w:val="center"/>
            </w:pPr>
          </w:p>
        </w:tc>
        <w:tc>
          <w:tcPr>
            <w:tcW w:w="3205" w:type="dxa"/>
            <w:tcBorders>
              <w:top w:val="nil"/>
              <w:left w:val="nil"/>
              <w:bottom w:val="nil"/>
              <w:right w:val="nil"/>
            </w:tcBorders>
          </w:tcPr>
          <w:p w14:paraId="53BB942E" w14:textId="77777777" w:rsidR="005E102D" w:rsidRPr="00701945" w:rsidRDefault="005E102D" w:rsidP="0076335E"/>
        </w:tc>
      </w:tr>
    </w:tbl>
    <w:p w14:paraId="750B5633" w14:textId="77777777" w:rsidR="005E102D" w:rsidRPr="00701945" w:rsidRDefault="005E102D" w:rsidP="005E102D">
      <w:pPr>
        <w:jc w:val="both"/>
      </w:pPr>
      <w:r w:rsidRPr="00701945">
        <w:tab/>
        <w:t>Parties and Staff reserve the right to identify additional exhibits for the purpose of cross-examination.</w:t>
      </w:r>
    </w:p>
    <w:p w14:paraId="4EF6E786" w14:textId="77777777" w:rsidR="005E102D" w:rsidRDefault="005E102D" w:rsidP="005E102D">
      <w:pPr>
        <w:jc w:val="both"/>
      </w:pPr>
    </w:p>
    <w:p w14:paraId="711CE967" w14:textId="77777777" w:rsidR="005E102D" w:rsidRPr="00701945" w:rsidRDefault="005E102D" w:rsidP="005E102D">
      <w:pPr>
        <w:jc w:val="both"/>
      </w:pPr>
    </w:p>
    <w:p w14:paraId="7D32F991" w14:textId="77777777" w:rsidR="005E102D" w:rsidRPr="00A32DC5" w:rsidRDefault="005E102D" w:rsidP="005E102D">
      <w:pPr>
        <w:jc w:val="both"/>
        <w:rPr>
          <w:b/>
        </w:rPr>
      </w:pPr>
      <w:r w:rsidRPr="00A32DC5">
        <w:rPr>
          <w:b/>
        </w:rPr>
        <w:t>X.</w:t>
      </w:r>
      <w:r w:rsidRPr="00A32DC5">
        <w:rPr>
          <w:b/>
        </w:rPr>
        <w:tab/>
      </w:r>
      <w:r w:rsidRPr="00A32DC5">
        <w:rPr>
          <w:b/>
          <w:u w:val="single"/>
        </w:rPr>
        <w:t>PROPOSED STIPULATIONS</w:t>
      </w:r>
    </w:p>
    <w:p w14:paraId="279D3846" w14:textId="77777777" w:rsidR="005E102D" w:rsidRPr="004E1CE5" w:rsidRDefault="005E102D" w:rsidP="005E102D">
      <w:pPr>
        <w:jc w:val="both"/>
      </w:pPr>
    </w:p>
    <w:p w14:paraId="222DE9C2" w14:textId="26DADEB5" w:rsidR="006C2A88" w:rsidRDefault="00F70E16" w:rsidP="00E76A8A">
      <w:pPr>
        <w:pStyle w:val="ListParagraph"/>
        <w:numPr>
          <w:ilvl w:val="0"/>
          <w:numId w:val="11"/>
        </w:numPr>
        <w:jc w:val="both"/>
      </w:pPr>
      <w:r>
        <w:t xml:space="preserve">The parties have stipulated to the entry of staff exhibits 24-41, as set out in the Comprehensive Exhibit List (CEL), into the hearing record. </w:t>
      </w:r>
    </w:p>
    <w:p w14:paraId="359E83F2" w14:textId="77777777" w:rsidR="006C2A88" w:rsidRDefault="006C2A88" w:rsidP="00E76A8A">
      <w:pPr>
        <w:pStyle w:val="ListParagraph"/>
        <w:jc w:val="both"/>
      </w:pPr>
    </w:p>
    <w:p w14:paraId="55848E00" w14:textId="255F911A" w:rsidR="005E102D" w:rsidRPr="004E1CE5" w:rsidRDefault="006C2A88" w:rsidP="00E76A8A">
      <w:pPr>
        <w:pStyle w:val="ListParagraph"/>
        <w:numPr>
          <w:ilvl w:val="0"/>
          <w:numId w:val="11"/>
        </w:numPr>
        <w:jc w:val="both"/>
      </w:pPr>
      <w:r>
        <w:t>T</w:t>
      </w:r>
      <w:r w:rsidR="00F70E16">
        <w:t xml:space="preserve">he parties have stipulated to the entry of the Charlotte County Comprehensive Plan and Master Sewer Plan into the hearing record. </w:t>
      </w:r>
    </w:p>
    <w:p w14:paraId="59487528" w14:textId="77777777" w:rsidR="005E102D" w:rsidRPr="004E1CE5" w:rsidRDefault="005E102D" w:rsidP="005E102D">
      <w:pPr>
        <w:jc w:val="both"/>
      </w:pPr>
    </w:p>
    <w:p w14:paraId="670BF167" w14:textId="6EB5677B" w:rsidR="005E102D" w:rsidRPr="004E1CE5" w:rsidRDefault="005E102D" w:rsidP="004E1CE5">
      <w:pPr>
        <w:jc w:val="both"/>
        <w:rPr>
          <w:bCs/>
        </w:rPr>
      </w:pPr>
      <w:r w:rsidRPr="004E1CE5">
        <w:tab/>
      </w:r>
    </w:p>
    <w:p w14:paraId="5038EF35" w14:textId="77777777" w:rsidR="005E102D" w:rsidRPr="004E1CE5" w:rsidRDefault="005E102D" w:rsidP="005E102D">
      <w:pPr>
        <w:jc w:val="both"/>
        <w:rPr>
          <w:b/>
        </w:rPr>
      </w:pPr>
      <w:r w:rsidRPr="004E1CE5">
        <w:rPr>
          <w:b/>
        </w:rPr>
        <w:t>XI.</w:t>
      </w:r>
      <w:r w:rsidRPr="004E1CE5">
        <w:rPr>
          <w:b/>
        </w:rPr>
        <w:tab/>
      </w:r>
      <w:r w:rsidRPr="004E1CE5">
        <w:rPr>
          <w:b/>
          <w:u w:val="single"/>
        </w:rPr>
        <w:t>PENDING MOTIONS</w:t>
      </w:r>
    </w:p>
    <w:p w14:paraId="333DA896" w14:textId="77777777" w:rsidR="005E102D" w:rsidRPr="004E1CE5" w:rsidRDefault="005E102D" w:rsidP="005E102D">
      <w:pPr>
        <w:jc w:val="both"/>
      </w:pPr>
    </w:p>
    <w:p w14:paraId="49574E69" w14:textId="77777777" w:rsidR="005E102D" w:rsidRPr="004E1CE5" w:rsidRDefault="005E102D" w:rsidP="005E102D">
      <w:pPr>
        <w:ind w:firstLine="720"/>
        <w:jc w:val="both"/>
      </w:pPr>
      <w:r w:rsidRPr="004E1CE5">
        <w:t>There are no pending motions at this time.</w:t>
      </w:r>
    </w:p>
    <w:p w14:paraId="6F33CFF3" w14:textId="09B0EC78" w:rsidR="004E1CE5" w:rsidRPr="004E1CE5" w:rsidRDefault="004E1CE5" w:rsidP="004E1CE5">
      <w:pPr>
        <w:jc w:val="both"/>
      </w:pPr>
    </w:p>
    <w:p w14:paraId="32E1F0FF" w14:textId="77777777" w:rsidR="005E102D" w:rsidRPr="004E1CE5" w:rsidRDefault="005E102D" w:rsidP="005E102D">
      <w:pPr>
        <w:jc w:val="both"/>
      </w:pPr>
    </w:p>
    <w:p w14:paraId="20E7395D" w14:textId="77777777" w:rsidR="005E102D" w:rsidRPr="004E1CE5" w:rsidRDefault="005E102D" w:rsidP="005E102D">
      <w:pPr>
        <w:jc w:val="both"/>
        <w:rPr>
          <w:b/>
        </w:rPr>
      </w:pPr>
      <w:r w:rsidRPr="004E1CE5">
        <w:rPr>
          <w:b/>
        </w:rPr>
        <w:t>XII.</w:t>
      </w:r>
      <w:r w:rsidRPr="004E1CE5">
        <w:rPr>
          <w:b/>
        </w:rPr>
        <w:tab/>
      </w:r>
      <w:r w:rsidRPr="004E1CE5">
        <w:rPr>
          <w:b/>
          <w:u w:val="single"/>
        </w:rPr>
        <w:t>PENDING CONFIDENTIALITY MATTERS</w:t>
      </w:r>
    </w:p>
    <w:p w14:paraId="61905D48" w14:textId="77777777" w:rsidR="005E102D" w:rsidRPr="004E1CE5" w:rsidRDefault="005E102D" w:rsidP="005E102D">
      <w:pPr>
        <w:jc w:val="both"/>
      </w:pPr>
    </w:p>
    <w:p w14:paraId="7A576B58" w14:textId="77777777" w:rsidR="005E102D" w:rsidRPr="004E1CE5" w:rsidRDefault="005E102D" w:rsidP="005E102D">
      <w:pPr>
        <w:ind w:firstLine="720"/>
        <w:jc w:val="both"/>
      </w:pPr>
      <w:r w:rsidRPr="004E1CE5">
        <w:t>There are no pending confidentiality matters at this time.</w:t>
      </w:r>
    </w:p>
    <w:p w14:paraId="06BE0728" w14:textId="77777777" w:rsidR="005E102D" w:rsidRPr="00E67E8B" w:rsidRDefault="005E102D" w:rsidP="005E102D">
      <w:pPr>
        <w:jc w:val="both"/>
      </w:pPr>
    </w:p>
    <w:p w14:paraId="679E59BF" w14:textId="1BA8A963" w:rsidR="005E102D" w:rsidRDefault="005E102D" w:rsidP="005E102D">
      <w:pPr>
        <w:jc w:val="both"/>
      </w:pPr>
      <w:r w:rsidRPr="003D174A">
        <w:rPr>
          <w:color w:val="FF0000"/>
        </w:rPr>
        <w:tab/>
      </w:r>
    </w:p>
    <w:p w14:paraId="7EB6D2F8" w14:textId="77777777" w:rsidR="00473FBF" w:rsidRDefault="00473FBF">
      <w:pPr>
        <w:rPr>
          <w:b/>
        </w:rPr>
      </w:pPr>
      <w:r>
        <w:rPr>
          <w:b/>
        </w:rPr>
        <w:br w:type="page"/>
      </w:r>
    </w:p>
    <w:p w14:paraId="40E5F317" w14:textId="50238BCB" w:rsidR="005E102D" w:rsidRPr="00A32DC5" w:rsidRDefault="005E102D" w:rsidP="005E102D">
      <w:pPr>
        <w:jc w:val="both"/>
        <w:rPr>
          <w:b/>
        </w:rPr>
      </w:pPr>
      <w:r w:rsidRPr="00A32DC5">
        <w:rPr>
          <w:b/>
        </w:rPr>
        <w:lastRenderedPageBreak/>
        <w:t>XIII.</w:t>
      </w:r>
      <w:r w:rsidRPr="00A32DC5">
        <w:rPr>
          <w:b/>
        </w:rPr>
        <w:tab/>
      </w:r>
      <w:r w:rsidRPr="00A32DC5">
        <w:rPr>
          <w:b/>
          <w:u w:val="single"/>
        </w:rPr>
        <w:t>POST-HEARING PROCEDURES</w:t>
      </w:r>
    </w:p>
    <w:p w14:paraId="50AB991D" w14:textId="77777777" w:rsidR="005E102D" w:rsidRPr="00701945" w:rsidRDefault="005E102D" w:rsidP="005E102D">
      <w:pPr>
        <w:jc w:val="both"/>
      </w:pPr>
    </w:p>
    <w:p w14:paraId="621DCC9E" w14:textId="77777777" w:rsidR="005E102D" w:rsidRPr="00701945" w:rsidRDefault="005E102D" w:rsidP="005E102D">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14:paraId="2C3FB67F" w14:textId="77777777" w:rsidR="005E102D" w:rsidRPr="00701945" w:rsidRDefault="005E102D" w:rsidP="005E102D">
      <w:pPr>
        <w:jc w:val="both"/>
      </w:pPr>
    </w:p>
    <w:p w14:paraId="2348EB99" w14:textId="12EC2705" w:rsidR="005E102D" w:rsidRPr="00701945" w:rsidRDefault="005E102D" w:rsidP="005E102D">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14:paraId="3F830EAB" w14:textId="77777777" w:rsidR="005E102D" w:rsidRDefault="005E102D" w:rsidP="005E102D">
      <w:pPr>
        <w:jc w:val="both"/>
      </w:pPr>
    </w:p>
    <w:p w14:paraId="21D697E8" w14:textId="77777777" w:rsidR="005E102D" w:rsidRDefault="005E102D" w:rsidP="005E102D">
      <w:pPr>
        <w:jc w:val="both"/>
      </w:pPr>
    </w:p>
    <w:p w14:paraId="408E5455" w14:textId="77777777" w:rsidR="005E102D" w:rsidRPr="00A32DC5" w:rsidRDefault="005E102D" w:rsidP="005E102D">
      <w:pPr>
        <w:jc w:val="both"/>
        <w:rPr>
          <w:b/>
        </w:rPr>
      </w:pPr>
      <w:r w:rsidRPr="00A32DC5">
        <w:rPr>
          <w:b/>
        </w:rPr>
        <w:t>XIV.</w:t>
      </w:r>
      <w:r w:rsidRPr="00A32DC5">
        <w:rPr>
          <w:b/>
        </w:rPr>
        <w:tab/>
      </w:r>
      <w:r w:rsidRPr="00A32DC5">
        <w:rPr>
          <w:b/>
          <w:u w:val="single"/>
        </w:rPr>
        <w:t>RULINGS</w:t>
      </w:r>
    </w:p>
    <w:p w14:paraId="2F460B6F" w14:textId="77777777" w:rsidR="005E102D" w:rsidRPr="00701945" w:rsidRDefault="005E102D" w:rsidP="005E102D">
      <w:pPr>
        <w:jc w:val="both"/>
      </w:pPr>
    </w:p>
    <w:p w14:paraId="7E391840" w14:textId="5DF37AAC" w:rsidR="006C2A88" w:rsidRDefault="005E102D" w:rsidP="00E76A8A">
      <w:pPr>
        <w:pStyle w:val="ListParagraph"/>
        <w:numPr>
          <w:ilvl w:val="0"/>
          <w:numId w:val="12"/>
        </w:numPr>
        <w:jc w:val="both"/>
      </w:pPr>
      <w:r w:rsidRPr="00701945">
        <w:t xml:space="preserve">Opening statements, if any, shall not exceed </w:t>
      </w:r>
      <w:r w:rsidR="00F70E16">
        <w:t xml:space="preserve">five </w:t>
      </w:r>
      <w:r w:rsidRPr="00701945">
        <w:t>minutes per party.</w:t>
      </w:r>
      <w:r w:rsidR="00F70E16">
        <w:t xml:space="preserve"> </w:t>
      </w:r>
    </w:p>
    <w:p w14:paraId="60B5FA44" w14:textId="77777777" w:rsidR="006C2A88" w:rsidRDefault="006C2A88" w:rsidP="00E76A8A">
      <w:pPr>
        <w:pStyle w:val="ListParagraph"/>
        <w:jc w:val="both"/>
      </w:pPr>
    </w:p>
    <w:p w14:paraId="6DC7EDDA" w14:textId="10F3896A" w:rsidR="00332EE3" w:rsidRDefault="00F70E16" w:rsidP="00E76A8A">
      <w:pPr>
        <w:pStyle w:val="ListParagraph"/>
        <w:numPr>
          <w:ilvl w:val="0"/>
          <w:numId w:val="12"/>
        </w:numPr>
        <w:jc w:val="both"/>
      </w:pPr>
      <w:r>
        <w:t>Hearing no objections from the parties</w:t>
      </w:r>
      <w:r w:rsidR="006C2A88">
        <w:t xml:space="preserve"> to</w:t>
      </w:r>
      <w:r w:rsidR="00332EE3">
        <w:t xml:space="preserve"> EU’</w:t>
      </w:r>
      <w:r w:rsidR="006C2A88">
        <w:t xml:space="preserve">s Notice Intent to use </w:t>
      </w:r>
      <w:r w:rsidR="00F477A1">
        <w:t>Craig</w:t>
      </w:r>
      <w:r w:rsidR="006C2A88">
        <w:t xml:space="preserve"> Rudy’s </w:t>
      </w:r>
      <w:r>
        <w:t>deposition</w:t>
      </w:r>
      <w:r w:rsidR="006C2A88">
        <w:t xml:space="preserve">, EU </w:t>
      </w:r>
      <w:r w:rsidR="00332EE3">
        <w:t>is permitted to use th</w:t>
      </w:r>
      <w:r w:rsidR="006C2A88">
        <w:t xml:space="preserve">e deposition </w:t>
      </w:r>
      <w:r w:rsidR="00332EE3">
        <w:t>at hearing for purposes other than impeachment.</w:t>
      </w:r>
    </w:p>
    <w:p w14:paraId="43454C6E" w14:textId="77777777" w:rsidR="00332EE3" w:rsidRDefault="00332EE3" w:rsidP="00E76A8A">
      <w:pPr>
        <w:pStyle w:val="ListParagraph"/>
      </w:pPr>
    </w:p>
    <w:p w14:paraId="2D3170E6" w14:textId="2EC249C2" w:rsidR="005E102D" w:rsidRPr="00701945" w:rsidRDefault="00332EE3" w:rsidP="00E76A8A">
      <w:pPr>
        <w:pStyle w:val="ListParagraph"/>
        <w:numPr>
          <w:ilvl w:val="0"/>
          <w:numId w:val="12"/>
        </w:numPr>
        <w:jc w:val="both"/>
      </w:pPr>
      <w:r>
        <w:t>D</w:t>
      </w:r>
      <w:r w:rsidR="007B46E8">
        <w:t xml:space="preserve">ue to their failures to </w:t>
      </w:r>
      <w:r>
        <w:t xml:space="preserve">personally </w:t>
      </w:r>
      <w:r w:rsidR="007B46E8">
        <w:t xml:space="preserve">appear at the Prehearing Conference as required by Order Establishing Procedure </w:t>
      </w:r>
      <w:r>
        <w:t xml:space="preserve">PSC-2021-0323-PCO-SU, pro se parties </w:t>
      </w:r>
      <w:r w:rsidR="007B46E8" w:rsidRPr="005543E7">
        <w:t>Deric Flom, Joseph Bokar, Laurie Tremblay</w:t>
      </w:r>
      <w:r w:rsidR="007B46E8">
        <w:t xml:space="preserve">, Rhonda Olson, Richard Leydon, </w:t>
      </w:r>
      <w:r w:rsidR="007B46E8" w:rsidRPr="005543E7">
        <w:t>Roy Petteway</w:t>
      </w:r>
      <w:r w:rsidR="007B46E8">
        <w:t xml:space="preserve">, and Robert Lee Williams are </w:t>
      </w:r>
      <w:r>
        <w:t>dismissed as</w:t>
      </w:r>
      <w:r w:rsidR="007B46E8">
        <w:t xml:space="preserve"> parties </w:t>
      </w:r>
      <w:r w:rsidR="00041082">
        <w:t>from</w:t>
      </w:r>
      <w:r w:rsidR="007B46E8">
        <w:t xml:space="preserve"> this </w:t>
      </w:r>
      <w:r>
        <w:t>proceeding.</w:t>
      </w:r>
      <w:r w:rsidR="007B46E8">
        <w:rPr>
          <w:rStyle w:val="FootnoteReference"/>
        </w:rPr>
        <w:footnoteReference w:id="2"/>
      </w:r>
      <w:r w:rsidR="00041082">
        <w:t xml:space="preserve"> As non-parties, they have the option to testify at either of the customer service hearings.</w:t>
      </w:r>
      <w:r w:rsidR="007B46E8">
        <w:t xml:space="preserve"> </w:t>
      </w:r>
    </w:p>
    <w:p w14:paraId="5CC4FDA5" w14:textId="77777777" w:rsidR="005E102D" w:rsidRDefault="005E102D" w:rsidP="005E102D">
      <w:pPr>
        <w:jc w:val="both"/>
      </w:pPr>
    </w:p>
    <w:p w14:paraId="0C4397D5" w14:textId="77777777" w:rsidR="005E102D" w:rsidRPr="00701945" w:rsidRDefault="005E102D" w:rsidP="005E102D">
      <w:pPr>
        <w:jc w:val="both"/>
      </w:pPr>
      <w:r w:rsidRPr="00701945">
        <w:tab/>
        <w:t>It is therefore,</w:t>
      </w:r>
    </w:p>
    <w:p w14:paraId="182487A5" w14:textId="77777777" w:rsidR="005E102D" w:rsidRPr="00701945" w:rsidRDefault="005E102D" w:rsidP="005E102D">
      <w:pPr>
        <w:jc w:val="both"/>
      </w:pPr>
    </w:p>
    <w:p w14:paraId="4C74806F" w14:textId="77777777" w:rsidR="005E102D" w:rsidRPr="00701945" w:rsidRDefault="005E102D" w:rsidP="005E102D">
      <w:pPr>
        <w:jc w:val="both"/>
      </w:pPr>
      <w:r w:rsidRPr="00701945">
        <w:tab/>
        <w:t xml:space="preserve">ORDERED by Commissioner </w:t>
      </w:r>
      <w:r w:rsidR="00E74397">
        <w:t>Mike La Rosa</w:t>
      </w:r>
      <w:r w:rsidRPr="00701945">
        <w:t>, as Prehearing Officer, that this Prehearing Order shall govern the conduct of these proceedings as set forth above unless modified by the Commission.</w:t>
      </w:r>
    </w:p>
    <w:p w14:paraId="2C7004B5" w14:textId="77777777" w:rsidR="005E102D" w:rsidRDefault="005E102D" w:rsidP="005E102D">
      <w:pPr>
        <w:jc w:val="both"/>
      </w:pPr>
    </w:p>
    <w:p w14:paraId="779DB362" w14:textId="3132ACD6" w:rsidR="00E74397" w:rsidRDefault="00E74397" w:rsidP="00E74397">
      <w:pPr>
        <w:keepNext/>
        <w:keepLines/>
        <w:jc w:val="both"/>
      </w:pPr>
      <w:r>
        <w:lastRenderedPageBreak/>
        <w:tab/>
        <w:t xml:space="preserve">By ORDER of Commissioner Mike La Rosa, as Prehearing Officer, this </w:t>
      </w:r>
      <w:bookmarkStart w:id="7" w:name="replaceDate"/>
      <w:bookmarkEnd w:id="7"/>
      <w:r w:rsidR="00B765D0">
        <w:rPr>
          <w:u w:val="single"/>
        </w:rPr>
        <w:t>28th</w:t>
      </w:r>
      <w:r w:rsidR="00B765D0">
        <w:t xml:space="preserve"> day of </w:t>
      </w:r>
      <w:r w:rsidR="00B765D0">
        <w:rPr>
          <w:u w:val="single"/>
        </w:rPr>
        <w:t>January</w:t>
      </w:r>
      <w:r w:rsidR="00B765D0">
        <w:t xml:space="preserve">, </w:t>
      </w:r>
      <w:r w:rsidR="00B765D0">
        <w:rPr>
          <w:u w:val="single"/>
        </w:rPr>
        <w:t>2022</w:t>
      </w:r>
      <w:r w:rsidR="00B765D0">
        <w:t>.</w:t>
      </w:r>
    </w:p>
    <w:p w14:paraId="001D5F32" w14:textId="77777777" w:rsidR="00B765D0" w:rsidRPr="00B765D0" w:rsidRDefault="00B765D0" w:rsidP="00E74397">
      <w:pPr>
        <w:keepNext/>
        <w:keepLines/>
        <w:jc w:val="both"/>
      </w:pPr>
    </w:p>
    <w:p w14:paraId="77F7AF88" w14:textId="77777777" w:rsidR="00E74397" w:rsidRDefault="00E74397" w:rsidP="00E74397">
      <w:pPr>
        <w:keepNext/>
        <w:keepLines/>
        <w:jc w:val="both"/>
      </w:pPr>
    </w:p>
    <w:p w14:paraId="7415FB33" w14:textId="77777777" w:rsidR="00E74397" w:rsidRDefault="00E74397" w:rsidP="00E74397">
      <w:pPr>
        <w:keepNext/>
        <w:keepLines/>
        <w:jc w:val="both"/>
      </w:pPr>
    </w:p>
    <w:p w14:paraId="0A52CB0B" w14:textId="77777777" w:rsidR="00E74397" w:rsidRDefault="00E74397" w:rsidP="00E7439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74397" w14:paraId="7608889F" w14:textId="77777777" w:rsidTr="00E74397">
        <w:tc>
          <w:tcPr>
            <w:tcW w:w="720" w:type="dxa"/>
            <w:shd w:val="clear" w:color="auto" w:fill="auto"/>
          </w:tcPr>
          <w:p w14:paraId="25440DAF" w14:textId="77777777" w:rsidR="00E74397" w:rsidRDefault="00E74397" w:rsidP="00E74397">
            <w:pPr>
              <w:keepNext/>
              <w:keepLines/>
              <w:jc w:val="both"/>
            </w:pPr>
            <w:bookmarkStart w:id="8" w:name="bkmrkSignature" w:colFirst="0" w:colLast="0"/>
          </w:p>
        </w:tc>
        <w:tc>
          <w:tcPr>
            <w:tcW w:w="4320" w:type="dxa"/>
            <w:tcBorders>
              <w:bottom w:val="single" w:sz="4" w:space="0" w:color="auto"/>
            </w:tcBorders>
            <w:shd w:val="clear" w:color="auto" w:fill="auto"/>
          </w:tcPr>
          <w:p w14:paraId="3ECDBE41" w14:textId="1271793C" w:rsidR="00E74397" w:rsidRDefault="00B765D0" w:rsidP="00E74397">
            <w:pPr>
              <w:keepNext/>
              <w:keepLines/>
              <w:jc w:val="both"/>
            </w:pPr>
            <w:r w:rsidRPr="00B765D0">
              <w:rPr>
                <w:noProof/>
              </w:rPr>
              <w:drawing>
                <wp:inline distT="0" distB="0" distL="0" distR="0" wp14:anchorId="7E59BD2B" wp14:editId="7B97BC36">
                  <wp:extent cx="2432823" cy="304002"/>
                  <wp:effectExtent l="0" t="0" r="5715" b="1270"/>
                  <wp:docPr id="1" name="Picture 1" descr="I:\GCORDERS\Comm Sig\La 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La Ros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991" cy="313020"/>
                          </a:xfrm>
                          <a:prstGeom prst="rect">
                            <a:avLst/>
                          </a:prstGeom>
                          <a:noFill/>
                          <a:ln>
                            <a:noFill/>
                          </a:ln>
                        </pic:spPr>
                      </pic:pic>
                    </a:graphicData>
                  </a:graphic>
                </wp:inline>
              </w:drawing>
            </w:r>
          </w:p>
        </w:tc>
      </w:tr>
      <w:bookmarkEnd w:id="8"/>
      <w:tr w:rsidR="00E74397" w14:paraId="0A8CA5D3" w14:textId="77777777" w:rsidTr="00E74397">
        <w:tc>
          <w:tcPr>
            <w:tcW w:w="720" w:type="dxa"/>
            <w:shd w:val="clear" w:color="auto" w:fill="auto"/>
          </w:tcPr>
          <w:p w14:paraId="406E20C4" w14:textId="77777777" w:rsidR="00E74397" w:rsidRDefault="00E74397" w:rsidP="00E74397">
            <w:pPr>
              <w:keepNext/>
              <w:keepLines/>
              <w:jc w:val="both"/>
            </w:pPr>
          </w:p>
        </w:tc>
        <w:tc>
          <w:tcPr>
            <w:tcW w:w="4320" w:type="dxa"/>
            <w:tcBorders>
              <w:top w:val="single" w:sz="4" w:space="0" w:color="auto"/>
            </w:tcBorders>
            <w:shd w:val="clear" w:color="auto" w:fill="auto"/>
          </w:tcPr>
          <w:p w14:paraId="5BEBD359" w14:textId="77777777" w:rsidR="00E74397" w:rsidRDefault="00E74397" w:rsidP="00E74397">
            <w:pPr>
              <w:keepNext/>
              <w:keepLines/>
              <w:jc w:val="both"/>
            </w:pPr>
            <w:r>
              <w:t>Mike La Rosa</w:t>
            </w:r>
          </w:p>
          <w:p w14:paraId="0117D680" w14:textId="77777777" w:rsidR="00E74397" w:rsidRDefault="00E74397" w:rsidP="00E74397">
            <w:pPr>
              <w:keepNext/>
              <w:keepLines/>
              <w:jc w:val="both"/>
            </w:pPr>
            <w:r>
              <w:t>Commissioner and Prehearing Officer</w:t>
            </w:r>
          </w:p>
        </w:tc>
      </w:tr>
    </w:tbl>
    <w:p w14:paraId="50C24168" w14:textId="77777777" w:rsidR="00E74397" w:rsidRDefault="00E74397" w:rsidP="00E74397">
      <w:pPr>
        <w:pStyle w:val="OrderSigInfo"/>
        <w:keepNext/>
        <w:keepLines/>
      </w:pPr>
      <w:r>
        <w:t>Florida Public Service Commission</w:t>
      </w:r>
    </w:p>
    <w:p w14:paraId="47540923" w14:textId="77777777" w:rsidR="00E74397" w:rsidRDefault="00E74397" w:rsidP="00E74397">
      <w:pPr>
        <w:pStyle w:val="OrderSigInfo"/>
        <w:keepNext/>
        <w:keepLines/>
      </w:pPr>
      <w:r>
        <w:t>2540 Shumard Oak Boulevard</w:t>
      </w:r>
    </w:p>
    <w:p w14:paraId="7DEF577B" w14:textId="77777777" w:rsidR="00E74397" w:rsidRDefault="00E74397" w:rsidP="00E74397">
      <w:pPr>
        <w:pStyle w:val="OrderSigInfo"/>
        <w:keepNext/>
        <w:keepLines/>
      </w:pPr>
      <w:r>
        <w:t>Tallahassee, Florida 32399</w:t>
      </w:r>
    </w:p>
    <w:p w14:paraId="61FC0CBB" w14:textId="77777777" w:rsidR="00E74397" w:rsidRDefault="00E74397" w:rsidP="00E74397">
      <w:pPr>
        <w:pStyle w:val="OrderSigInfo"/>
        <w:keepNext/>
        <w:keepLines/>
      </w:pPr>
      <w:r>
        <w:t>(850) 413</w:t>
      </w:r>
      <w:r>
        <w:noBreakHyphen/>
        <w:t>6770</w:t>
      </w:r>
    </w:p>
    <w:p w14:paraId="1D81564D" w14:textId="77777777" w:rsidR="00E74397" w:rsidRDefault="00E74397" w:rsidP="00E74397">
      <w:pPr>
        <w:pStyle w:val="OrderSigInfo"/>
        <w:keepNext/>
        <w:keepLines/>
      </w:pPr>
      <w:r>
        <w:t>www.floridapsc.com</w:t>
      </w:r>
    </w:p>
    <w:p w14:paraId="05D87ED3" w14:textId="77777777" w:rsidR="00E74397" w:rsidRDefault="00E74397" w:rsidP="00E74397">
      <w:pPr>
        <w:pStyle w:val="OrderSigInfo"/>
        <w:keepNext/>
        <w:keepLines/>
      </w:pPr>
    </w:p>
    <w:p w14:paraId="5D8616A1" w14:textId="77777777" w:rsidR="00E74397" w:rsidRDefault="00E74397" w:rsidP="00E74397">
      <w:pPr>
        <w:pStyle w:val="OrderSigInfo"/>
        <w:keepNext/>
        <w:keepLines/>
      </w:pPr>
      <w:r>
        <w:t>Copies furnished:  A copy of this document is provided to the parties of record at the time of issuance and, if applicable, interested persons.</w:t>
      </w:r>
    </w:p>
    <w:p w14:paraId="7C1EFE3E" w14:textId="77777777" w:rsidR="00E74397" w:rsidRDefault="00E74397" w:rsidP="00E74397">
      <w:pPr>
        <w:pStyle w:val="OrderBody"/>
        <w:keepNext/>
        <w:keepLines/>
      </w:pPr>
    </w:p>
    <w:p w14:paraId="4C0C95F8" w14:textId="77777777" w:rsidR="00E74397" w:rsidRDefault="00E74397" w:rsidP="00E74397">
      <w:pPr>
        <w:keepNext/>
        <w:keepLines/>
        <w:jc w:val="both"/>
      </w:pPr>
    </w:p>
    <w:p w14:paraId="19E23844" w14:textId="0B5AD0CC" w:rsidR="00E74397" w:rsidRDefault="00473FBF" w:rsidP="00E74397">
      <w:pPr>
        <w:keepNext/>
        <w:keepLines/>
        <w:jc w:val="both"/>
      </w:pPr>
      <w:r>
        <w:t>RPS</w:t>
      </w:r>
    </w:p>
    <w:p w14:paraId="1E44CC7A" w14:textId="470090E1" w:rsidR="00E960B5" w:rsidRDefault="00E960B5">
      <w:pPr>
        <w:rPr>
          <w:u w:val="single"/>
        </w:rPr>
      </w:pPr>
    </w:p>
    <w:p w14:paraId="6A49AC2B" w14:textId="0832C1E3" w:rsidR="00E74397" w:rsidRDefault="00E74397" w:rsidP="00E74397">
      <w:pPr>
        <w:pStyle w:val="CenterUnderline"/>
      </w:pPr>
      <w:r>
        <w:t>NOTICE OF FURTHER PROCEEDINGS OR JUDICIAL REVIEW</w:t>
      </w:r>
    </w:p>
    <w:p w14:paraId="275ED7F2" w14:textId="77777777" w:rsidR="00E74397" w:rsidRDefault="00E74397" w:rsidP="00E74397">
      <w:pPr>
        <w:pStyle w:val="CenterUnderline"/>
      </w:pPr>
    </w:p>
    <w:p w14:paraId="7C8F2F15" w14:textId="77777777" w:rsidR="00E74397" w:rsidRDefault="00E74397" w:rsidP="00E7439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C0E4678" w14:textId="77777777" w:rsidR="00E74397" w:rsidRDefault="00E74397" w:rsidP="00E74397">
      <w:pPr>
        <w:pStyle w:val="OrderBody"/>
      </w:pPr>
    </w:p>
    <w:p w14:paraId="6AB23D96" w14:textId="77777777" w:rsidR="00E74397" w:rsidRDefault="00E74397" w:rsidP="00E74397">
      <w:pPr>
        <w:pStyle w:val="OrderBody"/>
      </w:pPr>
      <w:r>
        <w:tab/>
        <w:t>Mediation may be available on a case-by-case basis.  If mediation is conducted, it does not affect a substantially interested person's right to a hearing.</w:t>
      </w:r>
    </w:p>
    <w:p w14:paraId="52F19515" w14:textId="77777777" w:rsidR="00E74397" w:rsidRDefault="00E74397" w:rsidP="00E74397">
      <w:pPr>
        <w:pStyle w:val="OrderBody"/>
      </w:pPr>
    </w:p>
    <w:p w14:paraId="16713EC6" w14:textId="33FCE56E" w:rsidR="005F2751" w:rsidRDefault="00E74397" w:rsidP="0095419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BB723" w14:textId="77777777" w:rsidR="00E76A8A" w:rsidRDefault="00E76A8A">
      <w:r>
        <w:separator/>
      </w:r>
    </w:p>
  </w:endnote>
  <w:endnote w:type="continuationSeparator" w:id="0">
    <w:p w14:paraId="65A176F2" w14:textId="77777777" w:rsidR="00E76A8A" w:rsidRDefault="00E7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022D" w14:textId="77777777" w:rsidR="00E76A8A" w:rsidRDefault="00E76A8A">
    <w:pPr>
      <w:pStyle w:val="Footer"/>
    </w:pPr>
  </w:p>
  <w:p w14:paraId="50B74A3C" w14:textId="77777777" w:rsidR="00E76A8A" w:rsidRDefault="00E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97B0" w14:textId="77777777" w:rsidR="00E76A8A" w:rsidRDefault="00E76A8A">
      <w:r>
        <w:separator/>
      </w:r>
    </w:p>
  </w:footnote>
  <w:footnote w:type="continuationSeparator" w:id="0">
    <w:p w14:paraId="675D2D82" w14:textId="77777777" w:rsidR="00E76A8A" w:rsidRDefault="00E76A8A">
      <w:r>
        <w:continuationSeparator/>
      </w:r>
    </w:p>
  </w:footnote>
  <w:footnote w:id="1">
    <w:p w14:paraId="7F4ED430" w14:textId="77777777" w:rsidR="00E76A8A" w:rsidRPr="009F5216" w:rsidRDefault="00E76A8A" w:rsidP="003A2093">
      <w:pPr>
        <w:pStyle w:val="FootnoteText"/>
      </w:pPr>
      <w:r>
        <w:rPr>
          <w:rStyle w:val="FootnoteReference"/>
        </w:rPr>
        <w:footnoteRef/>
      </w:r>
      <w:r>
        <w:t xml:space="preserve"> </w:t>
      </w:r>
      <w:r w:rsidRPr="009F5216">
        <w:t>Order No. PSC-2021-0066-P</w:t>
      </w:r>
      <w:r>
        <w:t xml:space="preserve">AA-SU, issued February 2, 2021, </w:t>
      </w:r>
      <w:r w:rsidRPr="00EB7772">
        <w:t xml:space="preserve">in Docket No. 20200226-SU, </w:t>
      </w:r>
      <w:r w:rsidRPr="00EB7772">
        <w:rPr>
          <w:i/>
          <w:iCs/>
        </w:rPr>
        <w:t>In re: Application for certificate to provide</w:t>
      </w:r>
      <w:r>
        <w:rPr>
          <w:i/>
          <w:iCs/>
        </w:rPr>
        <w:t xml:space="preserve"> </w:t>
      </w:r>
      <w:r w:rsidRPr="00EB7772">
        <w:rPr>
          <w:i/>
          <w:iCs/>
        </w:rPr>
        <w:t>wastewater service in Charlotte County, by</w:t>
      </w:r>
      <w:r>
        <w:rPr>
          <w:i/>
          <w:iCs/>
        </w:rPr>
        <w:t xml:space="preserve"> </w:t>
      </w:r>
      <w:r w:rsidRPr="00EB7772">
        <w:rPr>
          <w:i/>
          <w:iCs/>
        </w:rPr>
        <w:t>Environmental Utilities, LLC.</w:t>
      </w:r>
    </w:p>
    <w:p w14:paraId="0E2F2ED3" w14:textId="77777777" w:rsidR="00E76A8A" w:rsidRDefault="00E76A8A" w:rsidP="003A2093">
      <w:pPr>
        <w:pStyle w:val="FootnoteText"/>
      </w:pPr>
    </w:p>
  </w:footnote>
  <w:footnote w:id="2">
    <w:p w14:paraId="6163E2B3" w14:textId="4CBB4567" w:rsidR="00E76A8A" w:rsidRDefault="00E76A8A">
      <w:pPr>
        <w:pStyle w:val="FootnoteText"/>
      </w:pPr>
      <w:r>
        <w:rPr>
          <w:rStyle w:val="FootnoteReference"/>
        </w:rPr>
        <w:footnoteRef/>
      </w:r>
      <w:r>
        <w:t xml:space="preserve"> Order No. PSC-2021-0323-PCO-SU, issued August 25, 2021, which provides, in pertinent part, that “Failure of a party (or that party’s representative) to appear [at the Prehearing Conference] shall constitute wavier of that party’s issues and positions, and that party may be dismissed from the proceeding.” It is further noted that none of the dismissed parties prefiled testimony or exhibits, or filed a prehearing statement, in accordance with the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BF9" w14:textId="476772CE" w:rsidR="00E76A8A" w:rsidRPr="008C7DE1" w:rsidRDefault="00E76A8A">
    <w:pPr>
      <w:pStyle w:val="OrderHeader"/>
      <w:rPr>
        <w:b/>
      </w:rPr>
    </w:pPr>
    <w:r>
      <w:t xml:space="preserve">ORDER NO. </w:t>
    </w:r>
    <w:r w:rsidR="003C71D9">
      <w:fldChar w:fldCharType="begin"/>
    </w:r>
    <w:r w:rsidR="003C71D9">
      <w:instrText xml:space="preserve"> REF OrderNo0044 </w:instrText>
    </w:r>
    <w:r w:rsidR="003C71D9">
      <w:fldChar w:fldCharType="separate"/>
    </w:r>
    <w:r w:rsidR="003C71D9">
      <w:t>PSC-2022-0046-PHO-SU</w:t>
    </w:r>
    <w:r w:rsidR="003C71D9">
      <w:fldChar w:fldCharType="end"/>
    </w:r>
    <w:r>
      <w:tab/>
    </w:r>
    <w:r>
      <w:tab/>
    </w:r>
  </w:p>
  <w:p w14:paraId="4C747A32" w14:textId="77777777" w:rsidR="00E76A8A" w:rsidRDefault="00E76A8A">
    <w:pPr>
      <w:pStyle w:val="OrderHeader"/>
    </w:pPr>
    <w:bookmarkStart w:id="9" w:name="HeaderDocketNo"/>
    <w:bookmarkEnd w:id="9"/>
    <w:r>
      <w:t>DOCKET NO. 20200226-SU</w:t>
    </w:r>
  </w:p>
  <w:p w14:paraId="2B80A8BB" w14:textId="08E0B055" w:rsidR="00E76A8A" w:rsidRDefault="00E76A8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71D9">
      <w:rPr>
        <w:rStyle w:val="PageNumber"/>
        <w:noProof/>
      </w:rPr>
      <w:t>2</w:t>
    </w:r>
    <w:r>
      <w:rPr>
        <w:rStyle w:val="PageNumber"/>
      </w:rPr>
      <w:fldChar w:fldCharType="end"/>
    </w:r>
  </w:p>
  <w:p w14:paraId="01D5DC3D" w14:textId="77777777" w:rsidR="00E76A8A" w:rsidRDefault="00E76A8A">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52963"/>
    <w:multiLevelType w:val="hybridMultilevel"/>
    <w:tmpl w:val="5DC6E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3F444229"/>
    <w:multiLevelType w:val="hybridMultilevel"/>
    <w:tmpl w:val="2A9AB33E"/>
    <w:lvl w:ilvl="0" w:tplc="F49ED1B8">
      <w:start w:val="1"/>
      <w:numFmt w:val="upperLetter"/>
      <w:lvlText w:val="%1."/>
      <w:lvlJc w:val="left"/>
      <w:pPr>
        <w:ind w:left="2520" w:hanging="360"/>
      </w:pPr>
      <w:rPr>
        <w:rFonts w:ascii="Times New Roman" w:eastAsiaTheme="minorHAnsi" w:hAnsi="Times New Roman"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5BC0F61"/>
    <w:multiLevelType w:val="hybridMultilevel"/>
    <w:tmpl w:val="4ED6F182"/>
    <w:lvl w:ilvl="0" w:tplc="8E9EBC74">
      <w:start w:val="1"/>
      <w:numFmt w:val="upp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A1E1A88"/>
    <w:multiLevelType w:val="hybridMultilevel"/>
    <w:tmpl w:val="0854EA82"/>
    <w:lvl w:ilvl="0" w:tplc="51A45F6C">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E8A3CF5"/>
    <w:multiLevelType w:val="hybridMultilevel"/>
    <w:tmpl w:val="4DC6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2213CB"/>
    <w:multiLevelType w:val="hybridMultilevel"/>
    <w:tmpl w:val="2C7859FE"/>
    <w:lvl w:ilvl="0" w:tplc="9B2A33B6">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D3A52A6"/>
    <w:multiLevelType w:val="hybridMultilevel"/>
    <w:tmpl w:val="0804EFF0"/>
    <w:lvl w:ilvl="0" w:tplc="B84A7D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E1D4690"/>
    <w:multiLevelType w:val="hybridMultilevel"/>
    <w:tmpl w:val="9AAE8AC4"/>
    <w:lvl w:ilvl="0" w:tplc="0C3A87A8">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08B02E6"/>
    <w:multiLevelType w:val="hybridMultilevel"/>
    <w:tmpl w:val="3F563A52"/>
    <w:lvl w:ilvl="0" w:tplc="A44C976A">
      <w:start w:val="1"/>
      <w:numFmt w:val="decimal"/>
      <w:lvlText w:val="%1."/>
      <w:lvlJc w:val="left"/>
      <w:pPr>
        <w:ind w:left="2880" w:hanging="360"/>
      </w:pPr>
      <w:rPr>
        <w:rFonts w:ascii="Times New Roman" w:eastAsia="Times New Roman" w:hAnsi="Times New Roman" w:cs="Times New Roman"/>
        <w:color w:val="000000" w:themeColor="text1"/>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5023845"/>
    <w:multiLevelType w:val="hybridMultilevel"/>
    <w:tmpl w:val="A322ED62"/>
    <w:lvl w:ilvl="0" w:tplc="4A7E4F94">
      <w:start w:val="1"/>
      <w:numFmt w:val="upp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AFA4063"/>
    <w:multiLevelType w:val="hybridMultilevel"/>
    <w:tmpl w:val="23FE3F48"/>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8"/>
  </w:num>
  <w:num w:numId="3">
    <w:abstractNumId w:val="3"/>
  </w:num>
  <w:num w:numId="4">
    <w:abstractNumId w:val="2"/>
  </w:num>
  <w:num w:numId="5">
    <w:abstractNumId w:val="9"/>
  </w:num>
  <w:num w:numId="6">
    <w:abstractNumId w:val="4"/>
  </w:num>
  <w:num w:numId="7">
    <w:abstractNumId w:val="10"/>
  </w:num>
  <w:num w:numId="8">
    <w:abstractNumId w:val="6"/>
  </w:num>
  <w:num w:numId="9">
    <w:abstractNumId w:val="11"/>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6-SU"/>
  </w:docVars>
  <w:rsids>
    <w:rsidRoot w:val="005E102D"/>
    <w:rsid w:val="000022B8"/>
    <w:rsid w:val="00003883"/>
    <w:rsid w:val="000069E4"/>
    <w:rsid w:val="00011251"/>
    <w:rsid w:val="00022A35"/>
    <w:rsid w:val="00025C2A"/>
    <w:rsid w:val="00025C9D"/>
    <w:rsid w:val="000261D5"/>
    <w:rsid w:val="00026CFA"/>
    <w:rsid w:val="0003433F"/>
    <w:rsid w:val="00035A8C"/>
    <w:rsid w:val="00036BDD"/>
    <w:rsid w:val="00041082"/>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0FD6"/>
    <w:rsid w:val="000B783E"/>
    <w:rsid w:val="000B7D81"/>
    <w:rsid w:val="000C1994"/>
    <w:rsid w:val="000C6926"/>
    <w:rsid w:val="000D02B8"/>
    <w:rsid w:val="000D06E8"/>
    <w:rsid w:val="000D6E65"/>
    <w:rsid w:val="000D78FB"/>
    <w:rsid w:val="000E050C"/>
    <w:rsid w:val="000E20F0"/>
    <w:rsid w:val="000E2593"/>
    <w:rsid w:val="000E344D"/>
    <w:rsid w:val="000E3F6D"/>
    <w:rsid w:val="000F1C1C"/>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12C1"/>
    <w:rsid w:val="00142A96"/>
    <w:rsid w:val="001513DE"/>
    <w:rsid w:val="00154A71"/>
    <w:rsid w:val="00160575"/>
    <w:rsid w:val="00162FF6"/>
    <w:rsid w:val="001655D4"/>
    <w:rsid w:val="00165803"/>
    <w:rsid w:val="001659A1"/>
    <w:rsid w:val="00187E32"/>
    <w:rsid w:val="00194A97"/>
    <w:rsid w:val="00194E81"/>
    <w:rsid w:val="001A15E7"/>
    <w:rsid w:val="001A33C9"/>
    <w:rsid w:val="001A58F3"/>
    <w:rsid w:val="001B034E"/>
    <w:rsid w:val="001B19FE"/>
    <w:rsid w:val="001C2847"/>
    <w:rsid w:val="001C3BB5"/>
    <w:rsid w:val="001C3F8C"/>
    <w:rsid w:val="001C6097"/>
    <w:rsid w:val="001C7126"/>
    <w:rsid w:val="001D008A"/>
    <w:rsid w:val="001D55A7"/>
    <w:rsid w:val="001E0152"/>
    <w:rsid w:val="001E0FF5"/>
    <w:rsid w:val="001F0095"/>
    <w:rsid w:val="001F36B0"/>
    <w:rsid w:val="001F4CA3"/>
    <w:rsid w:val="001F59E0"/>
    <w:rsid w:val="002002ED"/>
    <w:rsid w:val="002044DD"/>
    <w:rsid w:val="002170E5"/>
    <w:rsid w:val="00220D57"/>
    <w:rsid w:val="0022721A"/>
    <w:rsid w:val="00227492"/>
    <w:rsid w:val="00230BB9"/>
    <w:rsid w:val="002367B9"/>
    <w:rsid w:val="00241CEF"/>
    <w:rsid w:val="00243AE3"/>
    <w:rsid w:val="00250FB8"/>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FAE"/>
    <w:rsid w:val="002A6F30"/>
    <w:rsid w:val="002B3111"/>
    <w:rsid w:val="002B65A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14E46"/>
    <w:rsid w:val="003231C7"/>
    <w:rsid w:val="00323839"/>
    <w:rsid w:val="003270C4"/>
    <w:rsid w:val="00331ED0"/>
    <w:rsid w:val="00332B0A"/>
    <w:rsid w:val="00332EE3"/>
    <w:rsid w:val="00333A41"/>
    <w:rsid w:val="00345434"/>
    <w:rsid w:val="0035495B"/>
    <w:rsid w:val="00355A93"/>
    <w:rsid w:val="00361522"/>
    <w:rsid w:val="0037196E"/>
    <w:rsid w:val="003744F5"/>
    <w:rsid w:val="00382C6A"/>
    <w:rsid w:val="003875A9"/>
    <w:rsid w:val="00387BDE"/>
    <w:rsid w:val="00390DD8"/>
    <w:rsid w:val="0039398E"/>
    <w:rsid w:val="00394DC6"/>
    <w:rsid w:val="00397C3E"/>
    <w:rsid w:val="003A1370"/>
    <w:rsid w:val="003A2093"/>
    <w:rsid w:val="003A735F"/>
    <w:rsid w:val="003B1A09"/>
    <w:rsid w:val="003B48E4"/>
    <w:rsid w:val="003C0431"/>
    <w:rsid w:val="003C71D9"/>
    <w:rsid w:val="003D3989"/>
    <w:rsid w:val="003D4CCA"/>
    <w:rsid w:val="003D52A6"/>
    <w:rsid w:val="003D6416"/>
    <w:rsid w:val="003E1D48"/>
    <w:rsid w:val="003E711F"/>
    <w:rsid w:val="003F1D2B"/>
    <w:rsid w:val="003F49A6"/>
    <w:rsid w:val="003F518F"/>
    <w:rsid w:val="003F7445"/>
    <w:rsid w:val="00400A44"/>
    <w:rsid w:val="00411DF2"/>
    <w:rsid w:val="00411E8F"/>
    <w:rsid w:val="004247F5"/>
    <w:rsid w:val="0042527B"/>
    <w:rsid w:val="00427EAC"/>
    <w:rsid w:val="0043153C"/>
    <w:rsid w:val="00431CE9"/>
    <w:rsid w:val="00436EAC"/>
    <w:rsid w:val="0044313A"/>
    <w:rsid w:val="004431B4"/>
    <w:rsid w:val="0045537F"/>
    <w:rsid w:val="00457DC7"/>
    <w:rsid w:val="004640B3"/>
    <w:rsid w:val="00472BCC"/>
    <w:rsid w:val="00473FBF"/>
    <w:rsid w:val="00477699"/>
    <w:rsid w:val="00490D1B"/>
    <w:rsid w:val="004A2329"/>
    <w:rsid w:val="004A25CD"/>
    <w:rsid w:val="004A26CC"/>
    <w:rsid w:val="004B2108"/>
    <w:rsid w:val="004B3A2B"/>
    <w:rsid w:val="004B4612"/>
    <w:rsid w:val="004B4E56"/>
    <w:rsid w:val="004B70D3"/>
    <w:rsid w:val="004C312D"/>
    <w:rsid w:val="004D2D1B"/>
    <w:rsid w:val="004D5067"/>
    <w:rsid w:val="004D6838"/>
    <w:rsid w:val="004D72BC"/>
    <w:rsid w:val="004E1CE5"/>
    <w:rsid w:val="004E469D"/>
    <w:rsid w:val="004E7F4F"/>
    <w:rsid w:val="004F077C"/>
    <w:rsid w:val="004F239F"/>
    <w:rsid w:val="004F2DDE"/>
    <w:rsid w:val="004F5A55"/>
    <w:rsid w:val="004F7826"/>
    <w:rsid w:val="0050097F"/>
    <w:rsid w:val="00514B1F"/>
    <w:rsid w:val="00523C5C"/>
    <w:rsid w:val="00525E93"/>
    <w:rsid w:val="0052671D"/>
    <w:rsid w:val="005300C0"/>
    <w:rsid w:val="00533EF6"/>
    <w:rsid w:val="00540E6B"/>
    <w:rsid w:val="005543E7"/>
    <w:rsid w:val="0055595D"/>
    <w:rsid w:val="00556A10"/>
    <w:rsid w:val="00557F50"/>
    <w:rsid w:val="00571D3D"/>
    <w:rsid w:val="0058264B"/>
    <w:rsid w:val="00586368"/>
    <w:rsid w:val="005868AA"/>
    <w:rsid w:val="00590845"/>
    <w:rsid w:val="005963C2"/>
    <w:rsid w:val="005A0D69"/>
    <w:rsid w:val="005A31F4"/>
    <w:rsid w:val="005A73EA"/>
    <w:rsid w:val="005B101C"/>
    <w:rsid w:val="005B45F7"/>
    <w:rsid w:val="005B63EA"/>
    <w:rsid w:val="005C1A88"/>
    <w:rsid w:val="005C5033"/>
    <w:rsid w:val="005D4E1B"/>
    <w:rsid w:val="005D6D65"/>
    <w:rsid w:val="005E102D"/>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2C42"/>
    <w:rsid w:val="00691303"/>
    <w:rsid w:val="00693483"/>
    <w:rsid w:val="006A0BF3"/>
    <w:rsid w:val="006B0036"/>
    <w:rsid w:val="006B0DA6"/>
    <w:rsid w:val="006B3FA9"/>
    <w:rsid w:val="006C2A88"/>
    <w:rsid w:val="006C5392"/>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47467"/>
    <w:rsid w:val="0076170F"/>
    <w:rsid w:val="0076335E"/>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6E8"/>
    <w:rsid w:val="007C0FBC"/>
    <w:rsid w:val="007C29C9"/>
    <w:rsid w:val="007C35B8"/>
    <w:rsid w:val="007C36E3"/>
    <w:rsid w:val="007C3ABB"/>
    <w:rsid w:val="007C7134"/>
    <w:rsid w:val="007C7ECF"/>
    <w:rsid w:val="007D3D20"/>
    <w:rsid w:val="007D44F9"/>
    <w:rsid w:val="007D742E"/>
    <w:rsid w:val="007E3AFD"/>
    <w:rsid w:val="007F0FDA"/>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1BA4"/>
    <w:rsid w:val="00892B20"/>
    <w:rsid w:val="008931BC"/>
    <w:rsid w:val="0089695B"/>
    <w:rsid w:val="00897740"/>
    <w:rsid w:val="008A12EC"/>
    <w:rsid w:val="008B19A6"/>
    <w:rsid w:val="008B4EFB"/>
    <w:rsid w:val="008B5051"/>
    <w:rsid w:val="008C21C8"/>
    <w:rsid w:val="008C6375"/>
    <w:rsid w:val="008C6A5B"/>
    <w:rsid w:val="008C7DE1"/>
    <w:rsid w:val="008D441D"/>
    <w:rsid w:val="008D498D"/>
    <w:rsid w:val="008D6D36"/>
    <w:rsid w:val="008D6D8B"/>
    <w:rsid w:val="008E0693"/>
    <w:rsid w:val="008E26A5"/>
    <w:rsid w:val="008E42D2"/>
    <w:rsid w:val="008E6328"/>
    <w:rsid w:val="008F578F"/>
    <w:rsid w:val="008F5D04"/>
    <w:rsid w:val="009040EE"/>
    <w:rsid w:val="009057FD"/>
    <w:rsid w:val="00906FBA"/>
    <w:rsid w:val="009163E8"/>
    <w:rsid w:val="00921BD3"/>
    <w:rsid w:val="009224EA"/>
    <w:rsid w:val="009228C7"/>
    <w:rsid w:val="00922A7F"/>
    <w:rsid w:val="00923A5E"/>
    <w:rsid w:val="00924FE7"/>
    <w:rsid w:val="00926E27"/>
    <w:rsid w:val="00931C8C"/>
    <w:rsid w:val="00937EE6"/>
    <w:rsid w:val="00943D21"/>
    <w:rsid w:val="0094504B"/>
    <w:rsid w:val="00954198"/>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7144"/>
    <w:rsid w:val="00A22B28"/>
    <w:rsid w:val="00A4303C"/>
    <w:rsid w:val="00A46CAF"/>
    <w:rsid w:val="00A470FD"/>
    <w:rsid w:val="00A50B5E"/>
    <w:rsid w:val="00A62DAB"/>
    <w:rsid w:val="00A65F24"/>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5D0"/>
    <w:rsid w:val="00B76B66"/>
    <w:rsid w:val="00B859A2"/>
    <w:rsid w:val="00B86EF0"/>
    <w:rsid w:val="00B96969"/>
    <w:rsid w:val="00B97900"/>
    <w:rsid w:val="00BA1229"/>
    <w:rsid w:val="00BA44A8"/>
    <w:rsid w:val="00BA49C5"/>
    <w:rsid w:val="00BB0182"/>
    <w:rsid w:val="00BB726B"/>
    <w:rsid w:val="00BC786E"/>
    <w:rsid w:val="00BD58FB"/>
    <w:rsid w:val="00BD5C92"/>
    <w:rsid w:val="00BE50E6"/>
    <w:rsid w:val="00BE7A0C"/>
    <w:rsid w:val="00BF2928"/>
    <w:rsid w:val="00BF6691"/>
    <w:rsid w:val="00C028FC"/>
    <w:rsid w:val="00C02CA9"/>
    <w:rsid w:val="00C037F2"/>
    <w:rsid w:val="00C0386D"/>
    <w:rsid w:val="00C065A1"/>
    <w:rsid w:val="00C10ED5"/>
    <w:rsid w:val="00C12574"/>
    <w:rsid w:val="00C151A6"/>
    <w:rsid w:val="00C24098"/>
    <w:rsid w:val="00C30A4E"/>
    <w:rsid w:val="00C411F3"/>
    <w:rsid w:val="00C44105"/>
    <w:rsid w:val="00C523EC"/>
    <w:rsid w:val="00C55A33"/>
    <w:rsid w:val="00C65384"/>
    <w:rsid w:val="00C66692"/>
    <w:rsid w:val="00C673B5"/>
    <w:rsid w:val="00C7063D"/>
    <w:rsid w:val="00C830BC"/>
    <w:rsid w:val="00C8524D"/>
    <w:rsid w:val="00C90904"/>
    <w:rsid w:val="00C91123"/>
    <w:rsid w:val="00C92340"/>
    <w:rsid w:val="00CA71FF"/>
    <w:rsid w:val="00CB5276"/>
    <w:rsid w:val="00CB5BFC"/>
    <w:rsid w:val="00CB68D7"/>
    <w:rsid w:val="00CB785B"/>
    <w:rsid w:val="00CC7E68"/>
    <w:rsid w:val="00CD35F7"/>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861"/>
    <w:rsid w:val="00D269CA"/>
    <w:rsid w:val="00D30B48"/>
    <w:rsid w:val="00D3168A"/>
    <w:rsid w:val="00D46FAA"/>
    <w:rsid w:val="00D47A40"/>
    <w:rsid w:val="00D51D33"/>
    <w:rsid w:val="00D57BB2"/>
    <w:rsid w:val="00D57E57"/>
    <w:rsid w:val="00D70752"/>
    <w:rsid w:val="00D71548"/>
    <w:rsid w:val="00D7723A"/>
    <w:rsid w:val="00D80E2D"/>
    <w:rsid w:val="00D81E2B"/>
    <w:rsid w:val="00D84D5E"/>
    <w:rsid w:val="00D8560E"/>
    <w:rsid w:val="00D8758F"/>
    <w:rsid w:val="00DA4EDD"/>
    <w:rsid w:val="00DA6B78"/>
    <w:rsid w:val="00DB122B"/>
    <w:rsid w:val="00DC1D94"/>
    <w:rsid w:val="00DC42CF"/>
    <w:rsid w:val="00DD382A"/>
    <w:rsid w:val="00DE057F"/>
    <w:rsid w:val="00DE10F4"/>
    <w:rsid w:val="00DE2082"/>
    <w:rsid w:val="00DE2289"/>
    <w:rsid w:val="00DF09A7"/>
    <w:rsid w:val="00DF2B51"/>
    <w:rsid w:val="00E001D6"/>
    <w:rsid w:val="00E03A76"/>
    <w:rsid w:val="00E04410"/>
    <w:rsid w:val="00E07484"/>
    <w:rsid w:val="00E11351"/>
    <w:rsid w:val="00E4225C"/>
    <w:rsid w:val="00E44879"/>
    <w:rsid w:val="00E522CE"/>
    <w:rsid w:val="00E67E8B"/>
    <w:rsid w:val="00E70D65"/>
    <w:rsid w:val="00E72914"/>
    <w:rsid w:val="00E74397"/>
    <w:rsid w:val="00E75AE0"/>
    <w:rsid w:val="00E76A8A"/>
    <w:rsid w:val="00E83C1F"/>
    <w:rsid w:val="00E85684"/>
    <w:rsid w:val="00E85DC1"/>
    <w:rsid w:val="00E8794B"/>
    <w:rsid w:val="00E91E5A"/>
    <w:rsid w:val="00E960B5"/>
    <w:rsid w:val="00E97656"/>
    <w:rsid w:val="00EA004A"/>
    <w:rsid w:val="00EA172C"/>
    <w:rsid w:val="00EA259B"/>
    <w:rsid w:val="00EA35A3"/>
    <w:rsid w:val="00EA3E6A"/>
    <w:rsid w:val="00EB18EF"/>
    <w:rsid w:val="00EB3482"/>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77A1"/>
    <w:rsid w:val="00F54380"/>
    <w:rsid w:val="00F54B47"/>
    <w:rsid w:val="00F61247"/>
    <w:rsid w:val="00F61F61"/>
    <w:rsid w:val="00F63191"/>
    <w:rsid w:val="00F6702E"/>
    <w:rsid w:val="00F70E16"/>
    <w:rsid w:val="00F70E84"/>
    <w:rsid w:val="00F812CA"/>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4577"/>
    <o:shapelayout v:ext="edit">
      <o:idmap v:ext="edit" data="1"/>
    </o:shapelayout>
  </w:shapeDefaults>
  <w:decimalSymbol w:val="."/>
  <w:listSeparator w:val=","/>
  <w14:docId w14:val="6372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E102D"/>
    <w:pPr>
      <w:autoSpaceDE w:val="0"/>
      <w:autoSpaceDN w:val="0"/>
      <w:adjustRightInd w:val="0"/>
      <w:ind w:left="1440"/>
    </w:pPr>
    <w:rPr>
      <w:sz w:val="24"/>
      <w:szCs w:val="24"/>
    </w:rPr>
  </w:style>
  <w:style w:type="character" w:customStyle="1" w:styleId="FootnoteTextChar">
    <w:name w:val="Footnote Text Char"/>
    <w:link w:val="FootnoteText"/>
    <w:uiPriority w:val="99"/>
    <w:rsid w:val="005E102D"/>
  </w:style>
  <w:style w:type="paragraph" w:styleId="NoSpacing">
    <w:name w:val="No Spacing"/>
    <w:uiPriority w:val="1"/>
    <w:qFormat/>
    <w:rsid w:val="00891BA4"/>
    <w:rPr>
      <w:rFonts w:ascii="Calibri" w:eastAsia="Calibri" w:hAnsi="Calibri"/>
      <w:sz w:val="22"/>
      <w:szCs w:val="22"/>
    </w:rPr>
  </w:style>
  <w:style w:type="paragraph" w:styleId="ListParagraph">
    <w:name w:val="List Paragraph"/>
    <w:basedOn w:val="Normal"/>
    <w:uiPriority w:val="34"/>
    <w:qFormat/>
    <w:rsid w:val="006C5392"/>
    <w:pPr>
      <w:ind w:left="720"/>
      <w:contextualSpacing/>
    </w:pPr>
  </w:style>
  <w:style w:type="character" w:styleId="CommentReference">
    <w:name w:val="annotation reference"/>
    <w:basedOn w:val="DefaultParagraphFont"/>
    <w:semiHidden/>
    <w:unhideWhenUsed/>
    <w:rsid w:val="005B101C"/>
    <w:rPr>
      <w:sz w:val="16"/>
      <w:szCs w:val="16"/>
    </w:rPr>
  </w:style>
  <w:style w:type="paragraph" w:styleId="CommentText">
    <w:name w:val="annotation text"/>
    <w:basedOn w:val="Normal"/>
    <w:link w:val="CommentTextChar"/>
    <w:semiHidden/>
    <w:unhideWhenUsed/>
    <w:rsid w:val="005B101C"/>
    <w:rPr>
      <w:sz w:val="20"/>
      <w:szCs w:val="20"/>
    </w:rPr>
  </w:style>
  <w:style w:type="character" w:customStyle="1" w:styleId="CommentTextChar">
    <w:name w:val="Comment Text Char"/>
    <w:basedOn w:val="DefaultParagraphFont"/>
    <w:link w:val="CommentText"/>
    <w:semiHidden/>
    <w:rsid w:val="005B101C"/>
  </w:style>
  <w:style w:type="paragraph" w:styleId="CommentSubject">
    <w:name w:val="annotation subject"/>
    <w:basedOn w:val="CommentText"/>
    <w:next w:val="CommentText"/>
    <w:link w:val="CommentSubjectChar"/>
    <w:semiHidden/>
    <w:unhideWhenUsed/>
    <w:rsid w:val="005B101C"/>
    <w:rPr>
      <w:b/>
      <w:bCs/>
    </w:rPr>
  </w:style>
  <w:style w:type="character" w:customStyle="1" w:styleId="CommentSubjectChar">
    <w:name w:val="Comment Subject Char"/>
    <w:basedOn w:val="CommentTextChar"/>
    <w:link w:val="CommentSubject"/>
    <w:semiHidden/>
    <w:rsid w:val="005B101C"/>
    <w:rPr>
      <w:b/>
      <w:bCs/>
    </w:rPr>
  </w:style>
  <w:style w:type="paragraph" w:styleId="BalloonText">
    <w:name w:val="Balloon Text"/>
    <w:basedOn w:val="Normal"/>
    <w:link w:val="BalloonTextChar"/>
    <w:semiHidden/>
    <w:unhideWhenUsed/>
    <w:rsid w:val="005B101C"/>
    <w:rPr>
      <w:rFonts w:ascii="Segoe UI" w:hAnsi="Segoe UI" w:cs="Segoe UI"/>
      <w:sz w:val="18"/>
      <w:szCs w:val="18"/>
    </w:rPr>
  </w:style>
  <w:style w:type="character" w:customStyle="1" w:styleId="BalloonTextChar">
    <w:name w:val="Balloon Text Char"/>
    <w:basedOn w:val="DefaultParagraphFont"/>
    <w:link w:val="BalloonText"/>
    <w:semiHidden/>
    <w:rsid w:val="005B1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4C5A-9D45-468A-B22D-D452BB9E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20</Pages>
  <Words>5594</Words>
  <Characters>31890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2022-01-28T18:51:00Z</dcterms:created>
  <dcterms:modified xsi:type="dcterms:W3CDTF">2022-01-28T19:54:00Z</dcterms:modified>
</cp:coreProperties>
</file>