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85230">
            <w:pPr>
              <w:pStyle w:val="MemoHeading"/>
            </w:pPr>
            <w:bookmarkStart w:id="1" w:name="FilingDate"/>
            <w:r>
              <w:t>February 17,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85230" w:rsidRDefault="00385230">
            <w:pPr>
              <w:pStyle w:val="MemoHeading"/>
            </w:pPr>
            <w:bookmarkStart w:id="2" w:name="From"/>
            <w:r>
              <w:t>Division of Accounting and Finance (Mathis, Buys, Cicchetti)</w:t>
            </w:r>
          </w:p>
          <w:p w:rsidR="007C0528" w:rsidRDefault="00385230">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85230">
            <w:pPr>
              <w:pStyle w:val="MemoHeadingRe"/>
            </w:pPr>
            <w:bookmarkStart w:id="3" w:name="Re"/>
            <w:r>
              <w:t>Docket No. 20210153-EI – Application for authority to issue and sell securities for 12 months ending December 31, 2022,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85230" w:rsidP="001851C9">
            <w:pPr>
              <w:pStyle w:val="MemoHeading"/>
            </w:pPr>
            <w:bookmarkStart w:id="4" w:name="AgendaDate"/>
            <w:r>
              <w:t>03/01/22</w:t>
            </w:r>
            <w:bookmarkEnd w:id="4"/>
            <w:r w:rsidR="007C0528">
              <w:t xml:space="preserve"> – </w:t>
            </w:r>
            <w:bookmarkStart w:id="5" w:name="PermittedStatus"/>
            <w:r>
              <w:t xml:space="preserve">Regular Agenda – </w:t>
            </w:r>
            <w:r w:rsidR="001851C9">
              <w:t>Final Action</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8523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8523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8523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8523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757EBC">
      <w:pPr>
        <w:pStyle w:val="BodyText"/>
      </w:pPr>
      <w:r>
        <w:t xml:space="preserve">On September 3, 2021, </w:t>
      </w:r>
      <w:r w:rsidR="00385230">
        <w:t>Tampa Electric Company (TECO</w:t>
      </w:r>
      <w:r>
        <w:t xml:space="preserve"> or Company</w:t>
      </w:r>
      <w:r w:rsidR="00385230">
        <w:t xml:space="preserve">) </w:t>
      </w:r>
      <w:r>
        <w:t xml:space="preserve">filed an Application </w:t>
      </w:r>
      <w:r w:rsidR="00DB1D33">
        <w:t xml:space="preserve">with the Commission </w:t>
      </w:r>
      <w:r>
        <w:t>for Authority</w:t>
      </w:r>
      <w:r w:rsidR="001851C9">
        <w:t xml:space="preserve"> to Issue and Sell Securities (Initial Application</w:t>
      </w:r>
      <w:r>
        <w:t>). TECO’s Initial Application</w:t>
      </w:r>
      <w:r w:rsidR="00C337EF">
        <w:t xml:space="preserve"> requested authority for up to </w:t>
      </w:r>
      <w:r>
        <w:t>$800 million i</w:t>
      </w:r>
      <w:r w:rsidR="00905762">
        <w:t>n outstanding short-term debt. On November 5, 2021, t</w:t>
      </w:r>
      <w:r>
        <w:t xml:space="preserve">he Commission </w:t>
      </w:r>
      <w:r w:rsidR="000C0CBB">
        <w:t>issued</w:t>
      </w:r>
      <w:r>
        <w:t xml:space="preserve"> </w:t>
      </w:r>
      <w:r w:rsidR="00385230">
        <w:t xml:space="preserve">Order No. </w:t>
      </w:r>
      <w:r w:rsidR="00385230">
        <w:rPr>
          <w:rFonts w:ascii="TimesNewRomanPSMT" w:hAnsi="TimesNewRomanPSMT" w:cs="TimesNewRomanPSMT"/>
        </w:rPr>
        <w:t xml:space="preserve">PSC-2021-0414-FOF-EI, </w:t>
      </w:r>
      <w:r w:rsidR="000C0CBB">
        <w:rPr>
          <w:rFonts w:ascii="TimesNewRomanPSMT" w:hAnsi="TimesNewRomanPSMT" w:cs="TimesNewRomanPSMT"/>
        </w:rPr>
        <w:t xml:space="preserve">approving </w:t>
      </w:r>
      <w:r>
        <w:rPr>
          <w:rFonts w:ascii="TimesNewRomanPSMT" w:hAnsi="TimesNewRomanPSMT" w:cs="TimesNewRomanPSMT"/>
        </w:rPr>
        <w:t>TECO’s Initial Application</w:t>
      </w:r>
      <w:r w:rsidR="00A903D2">
        <w:rPr>
          <w:rFonts w:ascii="TimesNewRomanPSMT" w:hAnsi="TimesNewRomanPSMT" w:cs="TimesNewRomanPSMT"/>
        </w:rPr>
        <w:t>.</w:t>
      </w:r>
      <w:r w:rsidR="006525CC">
        <w:rPr>
          <w:rStyle w:val="FootnoteReference"/>
          <w:rFonts w:ascii="TimesNewRomanPSMT" w:hAnsi="TimesNewRomanPSMT" w:cs="TimesNewRomanPSMT"/>
        </w:rPr>
        <w:footnoteReference w:id="1"/>
      </w:r>
      <w:r w:rsidR="00A903D2">
        <w:rPr>
          <w:rFonts w:ascii="TimesNewRomanPSMT" w:hAnsi="TimesNewRomanPSMT" w:cs="TimesNewRomanPSMT"/>
        </w:rPr>
        <w:t xml:space="preserve"> On December 15, 2021, TECO filed a petition </w:t>
      </w:r>
      <w:r w:rsidR="000C0CBB">
        <w:rPr>
          <w:rFonts w:ascii="TimesNewRomanPSMT" w:hAnsi="TimesNewRomanPSMT" w:cs="TimesNewRomanPSMT"/>
        </w:rPr>
        <w:t xml:space="preserve">requesting </w:t>
      </w:r>
      <w:r w:rsidR="001E3CD1">
        <w:rPr>
          <w:rFonts w:ascii="TimesNewRomanPSMT" w:hAnsi="TimesNewRomanPSMT" w:cs="TimesNewRomanPSMT"/>
        </w:rPr>
        <w:t xml:space="preserve">that the Commission </w:t>
      </w:r>
      <w:r w:rsidR="00A903D2">
        <w:rPr>
          <w:rFonts w:ascii="TimesNewRomanPSMT" w:hAnsi="TimesNewRomanPSMT" w:cs="TimesNewRomanPSMT"/>
        </w:rPr>
        <w:t xml:space="preserve">amend Order No. PSC-2021-0414-FOF-EI by increasing </w:t>
      </w:r>
      <w:r w:rsidR="001851C9">
        <w:rPr>
          <w:rFonts w:ascii="TimesNewRomanPSMT" w:hAnsi="TimesNewRomanPSMT" w:cs="TimesNewRomanPSMT"/>
        </w:rPr>
        <w:t xml:space="preserve">the limit on </w:t>
      </w:r>
      <w:r w:rsidR="00A903D2">
        <w:rPr>
          <w:rFonts w:ascii="TimesNewRomanPSMT" w:hAnsi="TimesNewRomanPSMT" w:cs="TimesNewRomanPSMT"/>
        </w:rPr>
        <w:t xml:space="preserve">short-term </w:t>
      </w:r>
      <w:r w:rsidR="001851C9">
        <w:rPr>
          <w:rFonts w:ascii="TimesNewRomanPSMT" w:hAnsi="TimesNewRomanPSMT" w:cs="TimesNewRomanPSMT"/>
        </w:rPr>
        <w:t>debt</w:t>
      </w:r>
      <w:r w:rsidR="00A903D2">
        <w:rPr>
          <w:rFonts w:ascii="TimesNewRomanPSMT" w:hAnsi="TimesNewRomanPSMT" w:cs="TimesNewRomanPSMT"/>
        </w:rPr>
        <w:t xml:space="preserve"> for 2022 from $800 million to $1 billion</w:t>
      </w:r>
      <w:r w:rsidR="00A42C83">
        <w:rPr>
          <w:rFonts w:ascii="TimesNewRomanPSMT" w:hAnsi="TimesNewRomanPSMT" w:cs="TimesNewRomanPSMT"/>
        </w:rPr>
        <w:t xml:space="preserve">. </w:t>
      </w:r>
      <w:r w:rsidR="00BE17B3">
        <w:rPr>
          <w:rFonts w:ascii="TimesNewRomanPSMT" w:hAnsi="TimesNewRomanPSMT" w:cs="TimesNewRomanPSMT"/>
        </w:rPr>
        <w:t xml:space="preserve">The Commission has jurisdiction over this matter pursuant to Chapter 366, </w:t>
      </w:r>
      <w:r w:rsidR="00765AE4">
        <w:rPr>
          <w:rFonts w:ascii="TimesNewRomanPSMT" w:hAnsi="TimesNewRomanPSMT" w:cs="TimesNewRomanPSMT"/>
        </w:rPr>
        <w:t>Florida</w:t>
      </w:r>
      <w:r w:rsidR="00BE17B3">
        <w:rPr>
          <w:rFonts w:ascii="TimesNewRomanPSMT" w:hAnsi="TimesNewRomanPSMT" w:cs="TimesNewRomanPSMT"/>
        </w:rPr>
        <w:t xml:space="preserve"> Statutes (F.S.), including </w:t>
      </w:r>
      <w:r w:rsidR="00BE17B3" w:rsidRPr="0081005E">
        <w:t>Section 366.04, F.S.</w:t>
      </w:r>
    </w:p>
    <w:bookmarkEnd w:id="12"/>
    <w:p w:rsidR="00EA2273" w:rsidRDefault="00EA2273" w:rsidP="00AC1DBD">
      <w:pPr>
        <w:pStyle w:val="RecommendationMajorSectionHeading"/>
        <w:jc w:val="left"/>
        <w:sectPr w:rsidR="00EA2273">
          <w:headerReference w:type="default" r:id="rId9"/>
          <w:footerReference w:type="default" r:id="rId10"/>
          <w:footerReference w:type="firs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93552" w:rsidRDefault="00593552">
      <w:pPr>
        <w:pStyle w:val="IssueHeading"/>
        <w:rPr>
          <w:vanish/>
          <w:specVanish/>
        </w:rPr>
      </w:pPr>
      <w:r w:rsidRPr="004C3641">
        <w:t xml:space="preserve">Issue </w:t>
      </w:r>
      <w:fldSimple w:instr=" SEQ Issue \* MERGEFORMAT ">
        <w:r w:rsidR="00D4665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4665B">
        <w:rPr>
          <w:noProof/>
        </w:rPr>
        <w:instrText>1</w:instrText>
      </w:r>
      <w:r>
        <w:fldChar w:fldCharType="end"/>
      </w:r>
      <w:r>
        <w:tab/>
        <w:instrText xml:space="preserve">(Mathis)" \l 1 </w:instrText>
      </w:r>
      <w:r>
        <w:fldChar w:fldCharType="end"/>
      </w:r>
      <w:r>
        <w:t> </w:t>
      </w:r>
    </w:p>
    <w:p w:rsidR="00593552" w:rsidRDefault="00905762">
      <w:pPr>
        <w:pStyle w:val="BodyText"/>
      </w:pPr>
      <w:r>
        <w:t>Should t</w:t>
      </w:r>
      <w:r w:rsidR="00593552">
        <w:t xml:space="preserve">he Commission approve TECO's </w:t>
      </w:r>
      <w:r w:rsidR="000C0CBB">
        <w:t>petition</w:t>
      </w:r>
      <w:r w:rsidR="00593552">
        <w:t xml:space="preserve"> to amend</w:t>
      </w:r>
      <w:r w:rsidR="001851C9">
        <w:t xml:space="preserve"> the authority granted in </w:t>
      </w:r>
      <w:r w:rsidR="00593552">
        <w:t xml:space="preserve"> Order No. PSC-2021-0414-FOF-EI by increasing TECO's </w:t>
      </w:r>
      <w:r w:rsidR="001851C9">
        <w:t xml:space="preserve">limit on </w:t>
      </w:r>
      <w:r w:rsidR="00593552">
        <w:t xml:space="preserve">short-term </w:t>
      </w:r>
      <w:r w:rsidR="001851C9">
        <w:t>debt</w:t>
      </w:r>
      <w:r w:rsidR="00593552">
        <w:t xml:space="preserve"> for 2022 f</w:t>
      </w:r>
      <w:r w:rsidR="00AC1DBD">
        <w:t>rom $800 million to $1 billion?</w:t>
      </w:r>
    </w:p>
    <w:p w:rsidR="00593552" w:rsidRPr="004C3641" w:rsidRDefault="00593552">
      <w:pPr>
        <w:pStyle w:val="IssueSubsectionHeading"/>
        <w:rPr>
          <w:vanish/>
          <w:specVanish/>
        </w:rPr>
      </w:pPr>
      <w:r w:rsidRPr="004C3641">
        <w:t>Recommendation: </w:t>
      </w:r>
    </w:p>
    <w:p w:rsidR="00593552" w:rsidRDefault="00593552">
      <w:pPr>
        <w:pStyle w:val="BodyText"/>
      </w:pPr>
      <w:r>
        <w:t> </w:t>
      </w:r>
      <w:r w:rsidR="00AC1DBD">
        <w:t>Yes.</w:t>
      </w:r>
      <w:r w:rsidR="006525CC">
        <w:t xml:space="preserve"> </w:t>
      </w:r>
      <w:r w:rsidR="0084663B">
        <w:t>TECO’s</w:t>
      </w:r>
      <w:r w:rsidR="000C0CBB">
        <w:t xml:space="preserve"> petition to amend the authority granted in Order No. PSC-2021-0414-FOF-EI by increasing TECO's limit on short-term debt for 2022 from $800 million to $1 billion should be approved</w:t>
      </w:r>
      <w:r w:rsidR="001851C9">
        <w:t>.</w:t>
      </w:r>
      <w:r w:rsidR="0084663B">
        <w:t xml:space="preserve"> </w:t>
      </w:r>
      <w:r w:rsidR="00671FB7">
        <w:t>(Mathis)</w:t>
      </w:r>
    </w:p>
    <w:p w:rsidR="00E921E2" w:rsidRDefault="00D5632D" w:rsidP="00D5632D">
      <w:pPr>
        <w:pStyle w:val="IssueSubsectionHeading"/>
        <w:rPr>
          <w:rFonts w:ascii="Times New Roman" w:hAnsi="Times New Roman" w:cs="Times New Roman"/>
          <w:b w:val="0"/>
          <w:i w:val="0"/>
        </w:rPr>
      </w:pPr>
      <w:r>
        <w:t xml:space="preserve">Staff Analysis: </w:t>
      </w:r>
      <w:r>
        <w:rPr>
          <w:b w:val="0"/>
          <w:i w:val="0"/>
        </w:rPr>
        <w:t xml:space="preserve">On </w:t>
      </w:r>
      <w:r w:rsidRPr="00362838">
        <w:rPr>
          <w:rFonts w:ascii="Times New Roman" w:hAnsi="Times New Roman" w:cs="Times New Roman"/>
          <w:b w:val="0"/>
          <w:i w:val="0"/>
        </w:rPr>
        <w:t xml:space="preserve">September 3, 2021, TECO filed its Initial Application for authority to issue and sell securities for the fiscal period of 12 months ending December 31, 2022, pursuant to Section 366.04, F.S., and Chapter 25-8, </w:t>
      </w:r>
      <w:r>
        <w:rPr>
          <w:rFonts w:ascii="Times New Roman" w:hAnsi="Times New Roman" w:cs="Times New Roman"/>
          <w:b w:val="0"/>
          <w:i w:val="0"/>
        </w:rPr>
        <w:t>Florida Administrative Code (</w:t>
      </w:r>
      <w:r w:rsidRPr="00362838">
        <w:rPr>
          <w:rFonts w:ascii="Times New Roman" w:hAnsi="Times New Roman" w:cs="Times New Roman"/>
          <w:b w:val="0"/>
          <w:i w:val="0"/>
        </w:rPr>
        <w:t>F.A.C.</w:t>
      </w:r>
      <w:r>
        <w:rPr>
          <w:rFonts w:ascii="Times New Roman" w:hAnsi="Times New Roman" w:cs="Times New Roman"/>
          <w:b w:val="0"/>
          <w:i w:val="0"/>
        </w:rPr>
        <w:t>).</w:t>
      </w:r>
      <w:r w:rsidRPr="00362838">
        <w:rPr>
          <w:rFonts w:ascii="Times New Roman" w:hAnsi="Times New Roman" w:cs="Times New Roman"/>
          <w:b w:val="0"/>
          <w:i w:val="0"/>
        </w:rPr>
        <w:t xml:space="preserve"> The </w:t>
      </w:r>
      <w:r w:rsidR="00765AE4" w:rsidRPr="00362838">
        <w:rPr>
          <w:rFonts w:ascii="Times New Roman" w:hAnsi="Times New Roman" w:cs="Times New Roman"/>
          <w:b w:val="0"/>
          <w:i w:val="0"/>
        </w:rPr>
        <w:t>Commission</w:t>
      </w:r>
      <w:r w:rsidRPr="00362838">
        <w:rPr>
          <w:rFonts w:ascii="Times New Roman" w:hAnsi="Times New Roman" w:cs="Times New Roman"/>
          <w:b w:val="0"/>
          <w:i w:val="0"/>
        </w:rPr>
        <w:t xml:space="preserve"> approved the Initial Application </w:t>
      </w:r>
      <w:r>
        <w:rPr>
          <w:rFonts w:ascii="Times New Roman" w:hAnsi="Times New Roman" w:cs="Times New Roman"/>
          <w:b w:val="0"/>
          <w:i w:val="0"/>
        </w:rPr>
        <w:t>for</w:t>
      </w:r>
      <w:r w:rsidRPr="00362838">
        <w:rPr>
          <w:rFonts w:ascii="Times New Roman" w:hAnsi="Times New Roman" w:cs="Times New Roman"/>
          <w:b w:val="0"/>
          <w:i w:val="0"/>
        </w:rPr>
        <w:t xml:space="preserve"> authority to issue $800 million in short-term debt in 2022 by Order No. PSC-2021-0414-FOF-EI, issued November 5, 2021.</w:t>
      </w:r>
      <w:r w:rsidRPr="00362838">
        <w:rPr>
          <w:rStyle w:val="FootnoteReference"/>
          <w:rFonts w:ascii="Times New Roman" w:hAnsi="Times New Roman" w:cs="Times New Roman"/>
          <w:b w:val="0"/>
          <w:i w:val="0"/>
        </w:rPr>
        <w:footnoteReference w:id="2"/>
      </w:r>
      <w:r w:rsidRPr="00362838">
        <w:rPr>
          <w:rFonts w:ascii="Times New Roman" w:hAnsi="Times New Roman" w:cs="Times New Roman"/>
          <w:b w:val="0"/>
          <w:i w:val="0"/>
        </w:rPr>
        <w:t xml:space="preserve"> </w:t>
      </w:r>
    </w:p>
    <w:p w:rsidR="00D5632D" w:rsidRDefault="00D5632D" w:rsidP="00D5632D">
      <w:pPr>
        <w:pStyle w:val="IssueSubsectionHeading"/>
        <w:rPr>
          <w:rFonts w:ascii="Times New Roman" w:hAnsi="Times New Roman" w:cs="Times New Roman"/>
          <w:b w:val="0"/>
          <w:bCs w:val="0"/>
          <w:i w:val="0"/>
          <w:iCs w:val="0"/>
          <w:szCs w:val="24"/>
        </w:rPr>
      </w:pPr>
      <w:r w:rsidRPr="00362838">
        <w:rPr>
          <w:rFonts w:ascii="Times New Roman" w:hAnsi="Times New Roman" w:cs="Times New Roman"/>
          <w:b w:val="0"/>
          <w:i w:val="0"/>
        </w:rPr>
        <w:t>Beginning in March of 2020, the COVID-19 pandemic caused a tightening of credit markets</w:t>
      </w:r>
      <w:r>
        <w:rPr>
          <w:rFonts w:ascii="Times New Roman" w:hAnsi="Times New Roman" w:cs="Times New Roman"/>
          <w:b w:val="0"/>
          <w:i w:val="0"/>
        </w:rPr>
        <w:t>,</w:t>
      </w:r>
      <w:r w:rsidRPr="00362838">
        <w:rPr>
          <w:rFonts w:ascii="Times New Roman" w:hAnsi="Times New Roman" w:cs="Times New Roman"/>
          <w:b w:val="0"/>
          <w:i w:val="0"/>
        </w:rPr>
        <w:t xml:space="preserve"> which in turn increased borrowing rates for various products including term loans. As a result, the Company did not pursue any additional term loans by the time it filed its Initial Application.</w:t>
      </w:r>
      <w:r>
        <w:rPr>
          <w:rFonts w:ascii="Times New Roman" w:hAnsi="Times New Roman" w:cs="Times New Roman"/>
          <w:b w:val="0"/>
          <w:i w:val="0"/>
        </w:rPr>
        <w:t xml:space="preserve"> I</w:t>
      </w:r>
      <w:r w:rsidRPr="00362838">
        <w:rPr>
          <w:rFonts w:ascii="Times New Roman" w:hAnsi="Times New Roman" w:cs="Times New Roman"/>
          <w:b w:val="0"/>
          <w:i w:val="0"/>
        </w:rPr>
        <w:t>n the fourth quarter of 2021, short-term loan rates returned to favorable levels and once again became an a</w:t>
      </w:r>
      <w:r>
        <w:rPr>
          <w:rFonts w:ascii="Times New Roman" w:hAnsi="Times New Roman" w:cs="Times New Roman"/>
          <w:b w:val="0"/>
          <w:i w:val="0"/>
        </w:rPr>
        <w:t>ttractive source of liquidity for the Company</w:t>
      </w:r>
      <w:r w:rsidRPr="00362838">
        <w:rPr>
          <w:rFonts w:ascii="Times New Roman" w:hAnsi="Times New Roman" w:cs="Times New Roman"/>
          <w:b w:val="0"/>
          <w:i w:val="0"/>
        </w:rPr>
        <w:t xml:space="preserve">. In order to take advantage of the favorable rates, TECO entered </w:t>
      </w:r>
      <w:r w:rsidR="00D4665B">
        <w:rPr>
          <w:rFonts w:ascii="Times New Roman" w:hAnsi="Times New Roman" w:cs="Times New Roman"/>
          <w:b w:val="0"/>
          <w:i w:val="0"/>
        </w:rPr>
        <w:t xml:space="preserve">into </w:t>
      </w:r>
      <w:r w:rsidRPr="00362838">
        <w:rPr>
          <w:rFonts w:ascii="Times New Roman" w:hAnsi="Times New Roman" w:cs="Times New Roman"/>
          <w:b w:val="0"/>
          <w:i w:val="0"/>
        </w:rPr>
        <w:t>a new term loan</w:t>
      </w:r>
      <w:r w:rsidR="00D4665B">
        <w:rPr>
          <w:rFonts w:ascii="Times New Roman" w:hAnsi="Times New Roman" w:cs="Times New Roman"/>
          <w:b w:val="0"/>
          <w:i w:val="0"/>
        </w:rPr>
        <w:t xml:space="preserve"> agreement</w:t>
      </w:r>
      <w:r w:rsidRPr="00362838">
        <w:rPr>
          <w:rFonts w:ascii="Times New Roman" w:hAnsi="Times New Roman" w:cs="Times New Roman"/>
          <w:b w:val="0"/>
          <w:i w:val="0"/>
        </w:rPr>
        <w:t xml:space="preserve"> with a group of </w:t>
      </w:r>
      <w:r>
        <w:rPr>
          <w:rFonts w:ascii="Times New Roman" w:hAnsi="Times New Roman" w:cs="Times New Roman"/>
          <w:b w:val="0"/>
          <w:i w:val="0"/>
        </w:rPr>
        <w:t>b</w:t>
      </w:r>
      <w:r w:rsidRPr="00362838">
        <w:rPr>
          <w:rFonts w:ascii="Times New Roman" w:hAnsi="Times New Roman" w:cs="Times New Roman"/>
          <w:b w:val="0"/>
          <w:i w:val="0"/>
        </w:rPr>
        <w:t xml:space="preserve">anks on December 17, 2021. TECO had not considered entering </w:t>
      </w:r>
      <w:r w:rsidR="001E16DD">
        <w:rPr>
          <w:rFonts w:ascii="Times New Roman" w:hAnsi="Times New Roman" w:cs="Times New Roman"/>
          <w:b w:val="0"/>
          <w:i w:val="0"/>
        </w:rPr>
        <w:t xml:space="preserve">into </w:t>
      </w:r>
      <w:r w:rsidRPr="00362838">
        <w:rPr>
          <w:rFonts w:ascii="Times New Roman" w:hAnsi="Times New Roman" w:cs="Times New Roman"/>
          <w:b w:val="0"/>
          <w:i w:val="0"/>
        </w:rPr>
        <w:t xml:space="preserve">a new term loan prior to the updated pricing, and as a result </w:t>
      </w:r>
      <w:r w:rsidR="00BC2B68">
        <w:rPr>
          <w:rFonts w:ascii="Times New Roman" w:hAnsi="Times New Roman" w:cs="Times New Roman"/>
          <w:b w:val="0"/>
          <w:i w:val="0"/>
        </w:rPr>
        <w:t xml:space="preserve">the Company </w:t>
      </w:r>
      <w:r w:rsidRPr="00362838">
        <w:rPr>
          <w:rFonts w:ascii="Times New Roman" w:hAnsi="Times New Roman" w:cs="Times New Roman"/>
          <w:b w:val="0"/>
          <w:i w:val="0"/>
        </w:rPr>
        <w:t xml:space="preserve">did not factor the amount of a new term loan into its Initial Application. The </w:t>
      </w:r>
      <w:r>
        <w:rPr>
          <w:rFonts w:ascii="Times New Roman" w:hAnsi="Times New Roman" w:cs="Times New Roman"/>
          <w:b w:val="0"/>
          <w:i w:val="0"/>
        </w:rPr>
        <w:t>instant petition rectifies this</w:t>
      </w:r>
      <w:r w:rsidRPr="00362838">
        <w:rPr>
          <w:rFonts w:ascii="Times New Roman" w:hAnsi="Times New Roman" w:cs="Times New Roman"/>
          <w:b w:val="0"/>
          <w:i w:val="0"/>
        </w:rPr>
        <w:t xml:space="preserve"> issue by factoring in the amount of the new term loan and requesting that the s</w:t>
      </w:r>
      <w:r>
        <w:rPr>
          <w:rFonts w:ascii="Times New Roman" w:hAnsi="Times New Roman" w:cs="Times New Roman"/>
          <w:b w:val="0"/>
          <w:i w:val="0"/>
        </w:rPr>
        <w:t>hort-term debt limit for 2022 be</w:t>
      </w:r>
      <w:r w:rsidRPr="00362838">
        <w:rPr>
          <w:rFonts w:ascii="Times New Roman" w:hAnsi="Times New Roman" w:cs="Times New Roman"/>
          <w:b w:val="0"/>
          <w:i w:val="0"/>
        </w:rPr>
        <w:t xml:space="preserve"> increased from $800 million to $1 billion. The increase in short-term debt provides TECO with flexibility to </w:t>
      </w:r>
      <w:r>
        <w:rPr>
          <w:rFonts w:ascii="Times New Roman" w:hAnsi="Times New Roman" w:cs="Times New Roman"/>
          <w:b w:val="0"/>
          <w:i w:val="0"/>
        </w:rPr>
        <w:t xml:space="preserve">better </w:t>
      </w:r>
      <w:r w:rsidRPr="00362838">
        <w:rPr>
          <w:rFonts w:ascii="Times New Roman" w:hAnsi="Times New Roman" w:cs="Times New Roman"/>
          <w:b w:val="0"/>
          <w:i w:val="0"/>
        </w:rPr>
        <w:t>manage its short-term borrowing costs in 2022. The newly requested amount for the short-term debt limit in 2022 is consistent with the amount for the short-term debt limit in 2021 granted to TECO by Order No. PSC-2020-0468-FOF-EI</w:t>
      </w:r>
      <w:r>
        <w:rPr>
          <w:rFonts w:ascii="Times New Roman" w:hAnsi="Times New Roman" w:cs="Times New Roman"/>
          <w:b w:val="0"/>
          <w:i w:val="0"/>
        </w:rPr>
        <w:t>.</w:t>
      </w:r>
      <w:r w:rsidRPr="00362838">
        <w:rPr>
          <w:rStyle w:val="FootnoteReference"/>
          <w:rFonts w:ascii="Times New Roman" w:hAnsi="Times New Roman" w:cs="Times New Roman"/>
          <w:b w:val="0"/>
          <w:i w:val="0"/>
        </w:rPr>
        <w:footnoteReference w:id="3"/>
      </w:r>
      <w:r>
        <w:rPr>
          <w:rFonts w:ascii="Times New Roman" w:hAnsi="Times New Roman" w:cs="Times New Roman"/>
          <w:b w:val="0"/>
          <w:bCs w:val="0"/>
          <w:i w:val="0"/>
          <w:iCs w:val="0"/>
          <w:szCs w:val="24"/>
        </w:rPr>
        <w:t xml:space="preserve"> </w:t>
      </w:r>
    </w:p>
    <w:p w:rsidR="00760C74" w:rsidRPr="00D5632D" w:rsidRDefault="00671FB7" w:rsidP="00362838">
      <w:pPr>
        <w:pStyle w:val="IssueSubsectionHeading"/>
        <w:rPr>
          <w:rFonts w:ascii="Times New Roman" w:hAnsi="Times New Roman" w:cs="Times New Roman"/>
          <w:b w:val="0"/>
          <w:i w:val="0"/>
        </w:rPr>
      </w:pPr>
      <w:r>
        <w:rPr>
          <w:rFonts w:ascii="Times New Roman" w:hAnsi="Times New Roman" w:cs="Times New Roman"/>
          <w:b w:val="0"/>
          <w:i w:val="0"/>
        </w:rPr>
        <w:t xml:space="preserve">The requested amendment to </w:t>
      </w:r>
      <w:r w:rsidRPr="00760C74">
        <w:rPr>
          <w:rFonts w:ascii="Times New Roman" w:hAnsi="Times New Roman" w:cs="Times New Roman"/>
          <w:b w:val="0"/>
          <w:i w:val="0"/>
        </w:rPr>
        <w:t>Order No. PSC-2021-0414-FOF-EI</w:t>
      </w:r>
      <w:r>
        <w:rPr>
          <w:rFonts w:ascii="Times New Roman" w:hAnsi="Times New Roman" w:cs="Times New Roman"/>
        </w:rPr>
        <w:t xml:space="preserve"> </w:t>
      </w:r>
      <w:r>
        <w:rPr>
          <w:rFonts w:ascii="Times New Roman" w:hAnsi="Times New Roman" w:cs="Times New Roman"/>
          <w:b w:val="0"/>
          <w:i w:val="0"/>
        </w:rPr>
        <w:t>applies only to the limit on short-term debt outstanding for 2022.</w:t>
      </w:r>
      <w:r w:rsidRPr="00362838">
        <w:rPr>
          <w:rFonts w:ascii="Times New Roman" w:hAnsi="Times New Roman" w:cs="Times New Roman"/>
          <w:b w:val="0"/>
          <w:i w:val="0"/>
        </w:rPr>
        <w:t xml:space="preserve"> </w:t>
      </w:r>
      <w:r>
        <w:rPr>
          <w:rFonts w:ascii="Times New Roman" w:hAnsi="Times New Roman" w:cs="Times New Roman"/>
          <w:b w:val="0"/>
          <w:i w:val="0"/>
        </w:rPr>
        <w:t xml:space="preserve">TECO does not seek modification or amendment of any of the other terms set out in </w:t>
      </w:r>
      <w:r w:rsidRPr="00D36C8B">
        <w:rPr>
          <w:rFonts w:ascii="Times New Roman" w:hAnsi="Times New Roman" w:cs="Times New Roman"/>
          <w:b w:val="0"/>
          <w:i w:val="0"/>
        </w:rPr>
        <w:t>Order No. PSC-2021-0414-FOF-EI</w:t>
      </w:r>
      <w:r>
        <w:rPr>
          <w:rFonts w:ascii="Times New Roman" w:hAnsi="Times New Roman" w:cs="Times New Roman"/>
          <w:b w:val="0"/>
          <w:i w:val="0"/>
        </w:rPr>
        <w:t>.</w:t>
      </w:r>
      <w:r w:rsidRPr="00362838">
        <w:rPr>
          <w:rFonts w:ascii="Times New Roman" w:hAnsi="Times New Roman" w:cs="Times New Roman"/>
          <w:b w:val="0"/>
          <w:i w:val="0"/>
        </w:rPr>
        <w:t xml:space="preserve"> </w:t>
      </w:r>
    </w:p>
    <w:p w:rsidR="0084663B" w:rsidRDefault="008B2B3E" w:rsidP="0084663B">
      <w:pPr>
        <w:pStyle w:val="BodyText"/>
      </w:pPr>
      <w:r>
        <w:rPr>
          <w:rFonts w:ascii="TimesNewRomanPSMT" w:hAnsi="TimesNewRomanPSMT" w:cs="TimesNewRomanPSMT"/>
        </w:rPr>
        <w:t xml:space="preserve">Based on its review, staff believes </w:t>
      </w:r>
      <w:r w:rsidR="00760C74">
        <w:rPr>
          <w:rFonts w:ascii="TimesNewRomanPSMT" w:hAnsi="TimesNewRomanPSMT" w:cs="TimesNewRomanPSMT"/>
        </w:rPr>
        <w:t>TECO’s request to</w:t>
      </w:r>
      <w:r>
        <w:rPr>
          <w:rFonts w:ascii="TimesNewRomanPSMT" w:hAnsi="TimesNewRomanPSMT" w:cs="TimesNewRomanPSMT"/>
        </w:rPr>
        <w:t xml:space="preserve"> increase i</w:t>
      </w:r>
      <w:r w:rsidR="00760C74">
        <w:rPr>
          <w:rFonts w:ascii="TimesNewRomanPSMT" w:hAnsi="TimesNewRomanPSMT" w:cs="TimesNewRomanPSMT"/>
        </w:rPr>
        <w:t>ts</w:t>
      </w:r>
      <w:r w:rsidR="00905762">
        <w:rPr>
          <w:rFonts w:ascii="TimesNewRomanPSMT" w:hAnsi="TimesNewRomanPSMT" w:cs="TimesNewRomanPSMT"/>
        </w:rPr>
        <w:t xml:space="preserve"> </w:t>
      </w:r>
      <w:r>
        <w:rPr>
          <w:rFonts w:ascii="TimesNewRomanPSMT" w:hAnsi="TimesNewRomanPSMT" w:cs="TimesNewRomanPSMT"/>
        </w:rPr>
        <w:t xml:space="preserve">short-term </w:t>
      </w:r>
      <w:r w:rsidR="00905762">
        <w:rPr>
          <w:rFonts w:ascii="TimesNewRomanPSMT" w:hAnsi="TimesNewRomanPSMT" w:cs="TimesNewRomanPSMT"/>
        </w:rPr>
        <w:t>debt limit</w:t>
      </w:r>
      <w:r>
        <w:rPr>
          <w:rFonts w:ascii="TimesNewRomanPSMT" w:hAnsi="TimesNewRomanPSMT" w:cs="TimesNewRomanPSMT"/>
        </w:rPr>
        <w:t xml:space="preserve"> from $800 milli</w:t>
      </w:r>
      <w:r w:rsidR="00905762">
        <w:rPr>
          <w:rFonts w:ascii="TimesNewRomanPSMT" w:hAnsi="TimesNewRomanPSMT" w:cs="TimesNewRomanPSMT"/>
        </w:rPr>
        <w:t>on to $1 billion is appropriate</w:t>
      </w:r>
      <w:r>
        <w:rPr>
          <w:rFonts w:ascii="TimesNewRomanPSMT" w:hAnsi="TimesNewRomanPSMT" w:cs="TimesNewRomanPSMT"/>
        </w:rPr>
        <w:t xml:space="preserve"> </w:t>
      </w:r>
      <w:r w:rsidR="00BE17B3">
        <w:t>and recommends it be approved.</w:t>
      </w:r>
    </w:p>
    <w:p w:rsidR="00AC1DBD" w:rsidRDefault="00AC1DBD" w:rsidP="00AC1DBD"/>
    <w:p w:rsidR="00671FB7" w:rsidRDefault="00671FB7">
      <w:pPr>
        <w:pStyle w:val="IssueHeading"/>
      </w:pPr>
    </w:p>
    <w:p w:rsidR="006939C1" w:rsidRPr="006939C1" w:rsidRDefault="006939C1" w:rsidP="006939C1">
      <w:pPr>
        <w:pStyle w:val="BodyText"/>
      </w:pPr>
    </w:p>
    <w:p w:rsidR="00671FB7" w:rsidRDefault="00671FB7">
      <w:pPr>
        <w:pStyle w:val="IssueHeading"/>
      </w:pPr>
    </w:p>
    <w:p w:rsidR="00AC1DBD" w:rsidRDefault="00AC1DBD">
      <w:pPr>
        <w:pStyle w:val="IssueHeading"/>
        <w:rPr>
          <w:vanish/>
          <w:specVanish/>
        </w:rPr>
      </w:pPr>
      <w:r w:rsidRPr="004C3641">
        <w:t xml:space="preserve">Issue </w:t>
      </w:r>
      <w:fldSimple w:instr=" SEQ Issue \* MERGEFORMAT ">
        <w:r w:rsidR="00D4665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4665B">
        <w:rPr>
          <w:noProof/>
        </w:rPr>
        <w:instrText>2</w:instrText>
      </w:r>
      <w:r>
        <w:fldChar w:fldCharType="end"/>
      </w:r>
      <w:r>
        <w:tab/>
        <w:instrText xml:space="preserve">(Sandy)" \l 1 </w:instrText>
      </w:r>
      <w:r>
        <w:fldChar w:fldCharType="end"/>
      </w:r>
      <w:r>
        <w:t> </w:t>
      </w:r>
    </w:p>
    <w:p w:rsidR="00AC1DBD" w:rsidRDefault="00AC1DBD">
      <w:pPr>
        <w:pStyle w:val="BodyText"/>
      </w:pPr>
      <w:r>
        <w:t> Should this docket be closed?</w:t>
      </w:r>
    </w:p>
    <w:p w:rsidR="00AC1DBD" w:rsidRPr="004C3641" w:rsidRDefault="00AC1DBD">
      <w:pPr>
        <w:pStyle w:val="IssueSubsectionHeading"/>
        <w:rPr>
          <w:vanish/>
          <w:specVanish/>
        </w:rPr>
      </w:pPr>
      <w:r w:rsidRPr="004C3641">
        <w:t>Recommendation: </w:t>
      </w:r>
    </w:p>
    <w:p w:rsidR="00AC1DBD" w:rsidRDefault="00AC1DBD" w:rsidP="00AC1DBD">
      <w:pPr>
        <w:spacing w:after="120"/>
        <w:jc w:val="both"/>
      </w:pPr>
      <w:r w:rsidRPr="00AC1DBD">
        <w:t>For monitoring purposes, this docket should remain open until May 5, 2023, to allow the Company time to file the required Consummation Re</w:t>
      </w:r>
      <w:r>
        <w:t>port. (Sandy)</w:t>
      </w:r>
    </w:p>
    <w:p w:rsidR="00AC1DBD" w:rsidRPr="004C3641" w:rsidRDefault="00AC1DBD">
      <w:pPr>
        <w:pStyle w:val="IssueSubsectionHeading"/>
        <w:rPr>
          <w:vanish/>
          <w:specVanish/>
        </w:rPr>
      </w:pPr>
      <w:r>
        <w:t>Staff Analysis:</w:t>
      </w:r>
    </w:p>
    <w:p w:rsidR="00AC1DBD" w:rsidRPr="00AC1DBD" w:rsidRDefault="00AC1DBD" w:rsidP="00AC1DBD">
      <w:pPr>
        <w:pStyle w:val="BodyText"/>
      </w:pPr>
      <w:r>
        <w:t> </w:t>
      </w:r>
      <w:r w:rsidRPr="00AC1DBD">
        <w:t>For monitoring purposes, this docket should remain open until May 5, 2023, to allow the Company time to file the required Consummation Report.</w:t>
      </w:r>
    </w:p>
    <w:p w:rsidR="00AC1DBD" w:rsidRDefault="00AC1DBD">
      <w:pPr>
        <w:pStyle w:val="BodyText"/>
      </w:pP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30" w:rsidRDefault="00385230">
      <w:r>
        <w:separator/>
      </w:r>
    </w:p>
  </w:endnote>
  <w:endnote w:type="continuationSeparator" w:id="0">
    <w:p w:rsidR="00385230" w:rsidRDefault="0038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F69E9">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3D2" w:rsidRDefault="00A903D2">
    <w:pPr>
      <w:pStyle w:val="Footer"/>
    </w:pPr>
  </w:p>
  <w:p w:rsidR="00385230" w:rsidRDefault="00385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30" w:rsidRDefault="00385230">
      <w:r>
        <w:separator/>
      </w:r>
    </w:p>
  </w:footnote>
  <w:footnote w:type="continuationSeparator" w:id="0">
    <w:p w:rsidR="00385230" w:rsidRDefault="00385230">
      <w:r>
        <w:continuationSeparator/>
      </w:r>
    </w:p>
  </w:footnote>
  <w:footnote w:id="1">
    <w:p w:rsidR="006525CC" w:rsidRPr="000C0CBB" w:rsidRDefault="006525CC" w:rsidP="006525CC">
      <w:pPr>
        <w:pStyle w:val="FootnoteText"/>
        <w:rPr>
          <w:i/>
        </w:rPr>
      </w:pPr>
      <w:r>
        <w:rPr>
          <w:rStyle w:val="FootnoteReference"/>
        </w:rPr>
        <w:footnoteRef/>
      </w:r>
      <w:r>
        <w:t xml:space="preserve">Order No. </w:t>
      </w:r>
      <w:r w:rsidRPr="00066710">
        <w:t>PSC-2021-0414-FOF-E</w:t>
      </w:r>
      <w:r>
        <w:t xml:space="preserve">I, issued November 05, 2021, in Docket No. 20210153-EI, </w:t>
      </w:r>
      <w:r w:rsidRPr="00066710">
        <w:rPr>
          <w:i/>
        </w:rPr>
        <w:t>In re:</w:t>
      </w:r>
      <w:r>
        <w:t xml:space="preserve"> </w:t>
      </w:r>
      <w:r w:rsidR="00954899">
        <w:rPr>
          <w:i/>
        </w:rPr>
        <w:t>Application for</w:t>
      </w:r>
      <w:r w:rsidRPr="000C0CBB">
        <w:rPr>
          <w:i/>
        </w:rPr>
        <w:t xml:space="preserve"> authority to issue and sell securities for 12 months ending December 31, 2022, by Tampa Electric Company.</w:t>
      </w:r>
    </w:p>
  </w:footnote>
  <w:footnote w:id="2">
    <w:p w:rsidR="00D5632D" w:rsidRDefault="00D5632D" w:rsidP="00D5632D">
      <w:pPr>
        <w:pStyle w:val="FootnoteText"/>
      </w:pPr>
      <w:r>
        <w:rPr>
          <w:rStyle w:val="FootnoteReference"/>
        </w:rPr>
        <w:footnoteRef/>
      </w:r>
      <w:r>
        <w:t>Id.</w:t>
      </w:r>
    </w:p>
  </w:footnote>
  <w:footnote w:id="3">
    <w:p w:rsidR="00D5632D" w:rsidRPr="000C0CBB" w:rsidRDefault="00D5632D" w:rsidP="00D5632D">
      <w:pPr>
        <w:pStyle w:val="FootnoteText"/>
        <w:rPr>
          <w:i/>
        </w:rPr>
      </w:pPr>
      <w:r>
        <w:rPr>
          <w:rStyle w:val="FootnoteReference"/>
        </w:rPr>
        <w:footnoteRef/>
      </w:r>
      <w:r>
        <w:t xml:space="preserve">Order No. PSC-2020-0468-FOF-EI, issued November 23, 2020, in Docket No.20200208-EI, </w:t>
      </w:r>
      <w:r w:rsidRPr="00066710">
        <w:rPr>
          <w:i/>
        </w:rPr>
        <w:t>In re:</w:t>
      </w:r>
      <w:r>
        <w:t xml:space="preserve"> </w:t>
      </w:r>
      <w:r w:rsidR="00954899">
        <w:rPr>
          <w:i/>
        </w:rPr>
        <w:t xml:space="preserve">Application for </w:t>
      </w:r>
      <w:r w:rsidRPr="000C0CBB">
        <w:rPr>
          <w:i/>
        </w:rPr>
        <w:t xml:space="preserve">authority to issue and sell securities for 12 months ending December 31, 2021, by Tampa Electric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8523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20210153-EI</w:t>
    </w:r>
    <w:bookmarkEnd w:id="15"/>
  </w:p>
  <w:p w:rsidR="00BC402E" w:rsidRDefault="00BC402E">
    <w:pPr>
      <w:pStyle w:val="Header"/>
    </w:pPr>
    <w:r>
      <w:t xml:space="preserve">Date: </w:t>
    </w:r>
    <w:fldSimple w:instr=" REF FilingDate ">
      <w:r w:rsidR="00D4665B">
        <w:t>February 17,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4665B">
      <w:t>Docket No.</w:t>
    </w:r>
    <w:r>
      <w:fldChar w:fldCharType="end"/>
    </w:r>
    <w:r>
      <w:t xml:space="preserve"> </w:t>
    </w:r>
    <w:r>
      <w:fldChar w:fldCharType="begin"/>
    </w:r>
    <w:r>
      <w:instrText xml:space="preserve"> REF DocketList</w:instrText>
    </w:r>
    <w:r>
      <w:fldChar w:fldCharType="separate"/>
    </w:r>
    <w:r w:rsidR="00D4665B">
      <w:t>20210153-EI</w:t>
    </w:r>
    <w:r>
      <w:fldChar w:fldCharType="end"/>
    </w:r>
    <w:r>
      <w:tab/>
      <w:t xml:space="preserve">Issue </w:t>
    </w:r>
    <w:r w:rsidR="00C35CAF">
      <w:fldChar w:fldCharType="begin"/>
    </w:r>
    <w:r w:rsidR="00C35CAF">
      <w:instrText xml:space="preserve"> Seq Issue \c \* Arabic </w:instrText>
    </w:r>
    <w:r w:rsidR="00C35CAF">
      <w:fldChar w:fldCharType="separate"/>
    </w:r>
    <w:r w:rsidR="00FF69E9">
      <w:rPr>
        <w:noProof/>
      </w:rPr>
      <w:t>2</w:t>
    </w:r>
    <w:r w:rsidR="00C35CAF">
      <w:rPr>
        <w:noProof/>
      </w:rPr>
      <w:fldChar w:fldCharType="end"/>
    </w:r>
  </w:p>
  <w:p w:rsidR="00BC402E" w:rsidRDefault="00BC402E">
    <w:pPr>
      <w:pStyle w:val="Header"/>
    </w:pPr>
    <w:r>
      <w:t xml:space="preserve">Date: </w:t>
    </w:r>
    <w:fldSimple w:instr=" REF FilingDate ">
      <w:r w:rsidR="00D4665B">
        <w:t>February 17,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85230"/>
    <w:rsid w:val="000043D5"/>
    <w:rsid w:val="00006170"/>
    <w:rsid w:val="00007EB4"/>
    <w:rsid w:val="00010E37"/>
    <w:rsid w:val="000172DA"/>
    <w:rsid w:val="000247C5"/>
    <w:rsid w:val="000277C2"/>
    <w:rsid w:val="00035B48"/>
    <w:rsid w:val="00036CE2"/>
    <w:rsid w:val="000437FE"/>
    <w:rsid w:val="000513BE"/>
    <w:rsid w:val="00065A06"/>
    <w:rsid w:val="000666F3"/>
    <w:rsid w:val="00066710"/>
    <w:rsid w:val="00070DCB"/>
    <w:rsid w:val="00072CCA"/>
    <w:rsid w:val="00073120"/>
    <w:rsid w:val="000764D0"/>
    <w:rsid w:val="000828D3"/>
    <w:rsid w:val="000A2B57"/>
    <w:rsid w:val="000A418B"/>
    <w:rsid w:val="000C0CBB"/>
    <w:rsid w:val="000C1857"/>
    <w:rsid w:val="000C4431"/>
    <w:rsid w:val="000D1C06"/>
    <w:rsid w:val="000D4319"/>
    <w:rsid w:val="000F374A"/>
    <w:rsid w:val="001076AF"/>
    <w:rsid w:val="00117C8C"/>
    <w:rsid w:val="00124C38"/>
    <w:rsid w:val="00124E2E"/>
    <w:rsid w:val="00125ED4"/>
    <w:rsid w:val="001305E9"/>
    <w:rsid w:val="001307AF"/>
    <w:rsid w:val="0013498A"/>
    <w:rsid w:val="00135687"/>
    <w:rsid w:val="0015108F"/>
    <w:rsid w:val="0015506E"/>
    <w:rsid w:val="00163031"/>
    <w:rsid w:val="00171A90"/>
    <w:rsid w:val="00180254"/>
    <w:rsid w:val="001851C9"/>
    <w:rsid w:val="00191E1F"/>
    <w:rsid w:val="00192943"/>
    <w:rsid w:val="001A7406"/>
    <w:rsid w:val="001B4FEE"/>
    <w:rsid w:val="001B51C5"/>
    <w:rsid w:val="001B6F3F"/>
    <w:rsid w:val="001C52B5"/>
    <w:rsid w:val="001D0D3E"/>
    <w:rsid w:val="001E16DD"/>
    <w:rsid w:val="001E3CD1"/>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2838"/>
    <w:rsid w:val="003632FD"/>
    <w:rsid w:val="00372805"/>
    <w:rsid w:val="00373180"/>
    <w:rsid w:val="00375AB9"/>
    <w:rsid w:val="003821A0"/>
    <w:rsid w:val="00385230"/>
    <w:rsid w:val="00385B04"/>
    <w:rsid w:val="003864CF"/>
    <w:rsid w:val="003948AE"/>
    <w:rsid w:val="003A22A6"/>
    <w:rsid w:val="003A5494"/>
    <w:rsid w:val="003B0782"/>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3552"/>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25CC"/>
    <w:rsid w:val="006554D3"/>
    <w:rsid w:val="00667036"/>
    <w:rsid w:val="00671FB7"/>
    <w:rsid w:val="00673BDB"/>
    <w:rsid w:val="00674341"/>
    <w:rsid w:val="006771B8"/>
    <w:rsid w:val="006843B6"/>
    <w:rsid w:val="0068481F"/>
    <w:rsid w:val="006939C1"/>
    <w:rsid w:val="00696F5D"/>
    <w:rsid w:val="00697249"/>
    <w:rsid w:val="006A6465"/>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57EBC"/>
    <w:rsid w:val="00760C74"/>
    <w:rsid w:val="00760D80"/>
    <w:rsid w:val="00765AE4"/>
    <w:rsid w:val="00780C09"/>
    <w:rsid w:val="00780DDF"/>
    <w:rsid w:val="007834E9"/>
    <w:rsid w:val="00787DBC"/>
    <w:rsid w:val="0079019A"/>
    <w:rsid w:val="00792935"/>
    <w:rsid w:val="007A04A1"/>
    <w:rsid w:val="007A1840"/>
    <w:rsid w:val="007B13DA"/>
    <w:rsid w:val="007C018D"/>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4663B"/>
    <w:rsid w:val="00850BAC"/>
    <w:rsid w:val="00854A3E"/>
    <w:rsid w:val="00855D08"/>
    <w:rsid w:val="00874344"/>
    <w:rsid w:val="00882155"/>
    <w:rsid w:val="0088233B"/>
    <w:rsid w:val="0088599E"/>
    <w:rsid w:val="00886C37"/>
    <w:rsid w:val="00892D99"/>
    <w:rsid w:val="00893315"/>
    <w:rsid w:val="008B2B3E"/>
    <w:rsid w:val="008B62AE"/>
    <w:rsid w:val="008C04B5"/>
    <w:rsid w:val="008C14FA"/>
    <w:rsid w:val="008C7B0B"/>
    <w:rsid w:val="008D4057"/>
    <w:rsid w:val="008E1F19"/>
    <w:rsid w:val="008F2262"/>
    <w:rsid w:val="008F4D2B"/>
    <w:rsid w:val="008F7736"/>
    <w:rsid w:val="0090019E"/>
    <w:rsid w:val="00901086"/>
    <w:rsid w:val="00901C8A"/>
    <w:rsid w:val="00905762"/>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4899"/>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9F69E3"/>
    <w:rsid w:val="00A019B9"/>
    <w:rsid w:val="00A12508"/>
    <w:rsid w:val="00A1282B"/>
    <w:rsid w:val="00A13A27"/>
    <w:rsid w:val="00A175B6"/>
    <w:rsid w:val="00A21835"/>
    <w:rsid w:val="00A2374B"/>
    <w:rsid w:val="00A27D6E"/>
    <w:rsid w:val="00A328EC"/>
    <w:rsid w:val="00A33A51"/>
    <w:rsid w:val="00A41CA6"/>
    <w:rsid w:val="00A42C83"/>
    <w:rsid w:val="00A47927"/>
    <w:rsid w:val="00A47FFC"/>
    <w:rsid w:val="00A5442F"/>
    <w:rsid w:val="00A54FF9"/>
    <w:rsid w:val="00A56765"/>
    <w:rsid w:val="00A675AC"/>
    <w:rsid w:val="00A7581F"/>
    <w:rsid w:val="00A80E59"/>
    <w:rsid w:val="00A903D2"/>
    <w:rsid w:val="00A92FB1"/>
    <w:rsid w:val="00A95A0C"/>
    <w:rsid w:val="00AA2765"/>
    <w:rsid w:val="00AA77B5"/>
    <w:rsid w:val="00AB6C5D"/>
    <w:rsid w:val="00AC1DB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2B68"/>
    <w:rsid w:val="00BC402E"/>
    <w:rsid w:val="00BD0F48"/>
    <w:rsid w:val="00BD1C74"/>
    <w:rsid w:val="00BE17B3"/>
    <w:rsid w:val="00BE6DDB"/>
    <w:rsid w:val="00BF5010"/>
    <w:rsid w:val="00C03D5F"/>
    <w:rsid w:val="00C13791"/>
    <w:rsid w:val="00C31BB3"/>
    <w:rsid w:val="00C337EF"/>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6C8B"/>
    <w:rsid w:val="00D4665B"/>
    <w:rsid w:val="00D5632D"/>
    <w:rsid w:val="00D60B16"/>
    <w:rsid w:val="00D60F02"/>
    <w:rsid w:val="00D63590"/>
    <w:rsid w:val="00D66E49"/>
    <w:rsid w:val="00D70D71"/>
    <w:rsid w:val="00D72F74"/>
    <w:rsid w:val="00D81563"/>
    <w:rsid w:val="00D85907"/>
    <w:rsid w:val="00D9073E"/>
    <w:rsid w:val="00D9221D"/>
    <w:rsid w:val="00D958DF"/>
    <w:rsid w:val="00D96DA1"/>
    <w:rsid w:val="00DA51E7"/>
    <w:rsid w:val="00DB0260"/>
    <w:rsid w:val="00DB1C78"/>
    <w:rsid w:val="00DB1D33"/>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67B10"/>
    <w:rsid w:val="00E73432"/>
    <w:rsid w:val="00E77B0C"/>
    <w:rsid w:val="00E77FB8"/>
    <w:rsid w:val="00E838B0"/>
    <w:rsid w:val="00E86A7C"/>
    <w:rsid w:val="00E878E1"/>
    <w:rsid w:val="00E87F2C"/>
    <w:rsid w:val="00E921E2"/>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19D7"/>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00E097C-F73A-4865-A9B5-97904C23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A903D2"/>
    <w:rPr>
      <w:sz w:val="24"/>
      <w:szCs w:val="24"/>
    </w:rPr>
  </w:style>
  <w:style w:type="character" w:styleId="FootnoteReference">
    <w:name w:val="footnote reference"/>
    <w:basedOn w:val="DefaultParagraphFont"/>
    <w:semiHidden/>
    <w:unhideWhenUsed/>
    <w:rsid w:val="00A90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505E7-C71B-40E5-9C70-6D2698C3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3</Pages>
  <Words>661</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Kaleb  Mathis</dc:creator>
  <cp:lastModifiedBy>Hanna Black</cp:lastModifiedBy>
  <cp:revision>2</cp:revision>
  <cp:lastPrinted>2022-02-14T18:33:00Z</cp:lastPrinted>
  <dcterms:created xsi:type="dcterms:W3CDTF">2022-02-17T14:42:00Z</dcterms:created>
  <dcterms:modified xsi:type="dcterms:W3CDTF">2022-02-17T14:42:00Z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20210153-EI</vt:lpwstr>
  </property>
  <property fmtid="{D5CDD505-2E9C-101B-9397-08002B2CF9AE}" pid="3" name="MasterDocument">
    <vt:bool>false</vt:bool>
  </property>
</Properties>
</file>