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2CEC" w:rsidP="00B92CEC">
      <w:pPr>
        <w:pStyle w:val="OrderHeading"/>
      </w:pPr>
      <w:r>
        <w:t>BEFORE THE FLORIDA PUBLIC SERVICE COMMISSION</w:t>
      </w:r>
    </w:p>
    <w:p w:rsidR="00B92CEC" w:rsidRDefault="00B92CEC" w:rsidP="00B92CEC">
      <w:pPr>
        <w:pStyle w:val="OrderBody"/>
      </w:pPr>
    </w:p>
    <w:p w:rsidR="00B92CEC" w:rsidRDefault="00B92CEC" w:rsidP="00B92C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2CEC" w:rsidRPr="00C63FCF" w:rsidTr="00412032">
        <w:trPr>
          <w:trHeight w:val="828"/>
        </w:trPr>
        <w:tc>
          <w:tcPr>
            <w:tcW w:w="4788" w:type="dxa"/>
            <w:tcBorders>
              <w:bottom w:val="single" w:sz="8" w:space="0" w:color="auto"/>
              <w:right w:val="double" w:sz="6" w:space="0" w:color="auto"/>
            </w:tcBorders>
            <w:shd w:val="clear" w:color="auto" w:fill="auto"/>
          </w:tcPr>
          <w:p w:rsidR="00B92CEC" w:rsidRDefault="00B92CEC" w:rsidP="00412032">
            <w:pPr>
              <w:pStyle w:val="OrderBody"/>
              <w:tabs>
                <w:tab w:val="center" w:pos="4320"/>
                <w:tab w:val="right" w:pos="8640"/>
              </w:tabs>
              <w:jc w:val="left"/>
            </w:pPr>
            <w:r>
              <w:t xml:space="preserve">In re: </w:t>
            </w:r>
            <w:bookmarkStart w:id="0" w:name="SSInRe"/>
            <w:bookmarkEnd w:id="0"/>
            <w:r>
              <w:t>Petition for approval of depreciation rates for direct current microgrid pilot equipment by Tampa Electric Company.</w:t>
            </w:r>
          </w:p>
        </w:tc>
        <w:tc>
          <w:tcPr>
            <w:tcW w:w="4788" w:type="dxa"/>
            <w:tcBorders>
              <w:left w:val="double" w:sz="6" w:space="0" w:color="auto"/>
            </w:tcBorders>
            <w:shd w:val="clear" w:color="auto" w:fill="auto"/>
          </w:tcPr>
          <w:p w:rsidR="00B92CEC" w:rsidRDefault="00B92CEC" w:rsidP="00B92CEC">
            <w:pPr>
              <w:pStyle w:val="OrderBody"/>
            </w:pPr>
            <w:r>
              <w:t xml:space="preserve">DOCKET NO. </w:t>
            </w:r>
            <w:bookmarkStart w:id="1" w:name="SSDocketNo"/>
            <w:bookmarkEnd w:id="1"/>
            <w:r>
              <w:t>20210181-EI</w:t>
            </w:r>
          </w:p>
          <w:p w:rsidR="00B92CEC" w:rsidRDefault="00B92CEC" w:rsidP="00412032">
            <w:pPr>
              <w:pStyle w:val="OrderBody"/>
              <w:tabs>
                <w:tab w:val="center" w:pos="4320"/>
                <w:tab w:val="right" w:pos="8640"/>
              </w:tabs>
              <w:jc w:val="left"/>
            </w:pPr>
            <w:r>
              <w:t xml:space="preserve">ORDER NO. </w:t>
            </w:r>
            <w:bookmarkStart w:id="2" w:name="OrderNo0121"/>
            <w:r w:rsidR="00B0471D">
              <w:t>PSC-2022-0121-PAA-EI</w:t>
            </w:r>
            <w:bookmarkEnd w:id="2"/>
          </w:p>
          <w:p w:rsidR="00B92CEC" w:rsidRDefault="00B92CEC" w:rsidP="00412032">
            <w:pPr>
              <w:pStyle w:val="OrderBody"/>
              <w:tabs>
                <w:tab w:val="center" w:pos="4320"/>
                <w:tab w:val="right" w:pos="8640"/>
              </w:tabs>
              <w:jc w:val="left"/>
            </w:pPr>
            <w:r>
              <w:t xml:space="preserve">ISSUED: </w:t>
            </w:r>
            <w:r w:rsidR="00B0471D">
              <w:t>March 18, 2022</w:t>
            </w:r>
          </w:p>
        </w:tc>
      </w:tr>
    </w:tbl>
    <w:p w:rsidR="00B92CEC" w:rsidRDefault="00B92CEC" w:rsidP="00B92CEC"/>
    <w:p w:rsidR="00B92CEC" w:rsidRDefault="00B92CEC" w:rsidP="00B67A43">
      <w:pPr>
        <w:ind w:firstLine="720"/>
        <w:jc w:val="both"/>
      </w:pPr>
      <w:bookmarkStart w:id="3" w:name="Commissioners"/>
      <w:bookmarkEnd w:id="3"/>
      <w:r>
        <w:t>The following Commissioners participated in the disposition of this matter:</w:t>
      </w:r>
    </w:p>
    <w:p w:rsidR="00B92CEC" w:rsidRDefault="00B92CEC" w:rsidP="00B67A43"/>
    <w:p w:rsidR="00B92CEC" w:rsidRDefault="00B92CEC" w:rsidP="00477699">
      <w:pPr>
        <w:jc w:val="center"/>
      </w:pPr>
      <w:r>
        <w:t>ANDREW GILES FAY, Chairman</w:t>
      </w:r>
    </w:p>
    <w:p w:rsidR="00B92CEC" w:rsidRDefault="00B92CEC" w:rsidP="00B67A43">
      <w:pPr>
        <w:jc w:val="center"/>
      </w:pPr>
      <w:r>
        <w:t>ART GRAHAM</w:t>
      </w:r>
    </w:p>
    <w:p w:rsidR="00B92CEC" w:rsidRDefault="00B92CEC" w:rsidP="00B67A43">
      <w:pPr>
        <w:jc w:val="center"/>
      </w:pPr>
      <w:r>
        <w:t>GARY F. CLARK</w:t>
      </w:r>
    </w:p>
    <w:p w:rsidR="00B92CEC" w:rsidRDefault="00B92CEC" w:rsidP="00B67A43">
      <w:pPr>
        <w:jc w:val="center"/>
      </w:pPr>
      <w:r>
        <w:t>MIKE LA ROSA</w:t>
      </w:r>
    </w:p>
    <w:p w:rsidR="00B92CEC" w:rsidRPr="005F2751" w:rsidRDefault="00B92CEC" w:rsidP="00B67A43">
      <w:pPr>
        <w:jc w:val="center"/>
      </w:pPr>
      <w:r w:rsidRPr="005F2751">
        <w:rPr>
          <w:lang w:val="en"/>
        </w:rPr>
        <w:t>GABRIELLA PASSIDOMO</w:t>
      </w:r>
    </w:p>
    <w:p w:rsidR="00B92CEC" w:rsidRDefault="00B92CEC" w:rsidP="00B92CEC">
      <w:pPr>
        <w:pStyle w:val="OrderBody"/>
      </w:pPr>
    </w:p>
    <w:bookmarkStart w:id="4" w:name="OrderText"/>
    <w:bookmarkEnd w:id="4"/>
    <w:p w:rsidR="00B92CEC" w:rsidRPr="003E4B2D" w:rsidRDefault="00B92CE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92CEC" w:rsidRPr="00B92CEC" w:rsidRDefault="00B92CEC">
      <w:pPr>
        <w:pStyle w:val="OrderBody"/>
        <w:jc w:val="center"/>
        <w:rPr>
          <w:u w:val="single"/>
        </w:rPr>
      </w:pPr>
      <w:r w:rsidRPr="003E4B2D">
        <w:rPr>
          <w:u w:val="single"/>
        </w:rPr>
        <w:t>ORDER</w:t>
      </w:r>
      <w:bookmarkStart w:id="5" w:name="OrderTitle"/>
      <w:r>
        <w:rPr>
          <w:u w:val="single"/>
        </w:rPr>
        <w:t xml:space="preserve"> </w:t>
      </w:r>
      <w:bookmarkEnd w:id="5"/>
      <w:r w:rsidRPr="00B92CEC">
        <w:rPr>
          <w:u w:val="single"/>
        </w:rPr>
        <w:t>APPROVING DEPRECIATION RATES</w:t>
      </w:r>
    </w:p>
    <w:p w:rsidR="00B92CEC" w:rsidRPr="003E4B2D" w:rsidRDefault="00B92CEC">
      <w:pPr>
        <w:pStyle w:val="OrderBody"/>
        <w:jc w:val="center"/>
        <w:rPr>
          <w:u w:val="single"/>
        </w:rPr>
      </w:pPr>
      <w:r w:rsidRPr="00B92CEC">
        <w:rPr>
          <w:u w:val="single"/>
        </w:rPr>
        <w:t>FOR MICROGRID PILOT EQUIPMENT</w:t>
      </w:r>
    </w:p>
    <w:p w:rsidR="00B92CEC" w:rsidRPr="003E4B2D" w:rsidRDefault="00B92CEC">
      <w:pPr>
        <w:pStyle w:val="OrderBody"/>
      </w:pPr>
    </w:p>
    <w:p w:rsidR="00B92CEC" w:rsidRPr="003E4B2D" w:rsidRDefault="00B92CEC">
      <w:pPr>
        <w:pStyle w:val="OrderBody"/>
      </w:pPr>
      <w:r w:rsidRPr="003E4B2D">
        <w:t>BY THE COMMISSION:</w:t>
      </w:r>
    </w:p>
    <w:p w:rsidR="00B92CEC" w:rsidRPr="003E4B2D" w:rsidRDefault="00B92CEC">
      <w:pPr>
        <w:pStyle w:val="OrderBody"/>
      </w:pPr>
    </w:p>
    <w:p w:rsidR="00B92CEC" w:rsidRDefault="00B92CE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92CEC"/>
    <w:p w:rsidR="005F2751" w:rsidRDefault="00B92CEC" w:rsidP="00B92CEC">
      <w:pPr>
        <w:jc w:val="center"/>
        <w:rPr>
          <w:u w:val="single"/>
        </w:rPr>
      </w:pPr>
      <w:r>
        <w:rPr>
          <w:u w:val="single"/>
        </w:rPr>
        <w:t>BACKGROUND</w:t>
      </w:r>
    </w:p>
    <w:p w:rsidR="00B92CEC" w:rsidRDefault="00B92CEC" w:rsidP="00B92CEC">
      <w:pPr>
        <w:jc w:val="center"/>
        <w:rPr>
          <w:u w:val="single"/>
        </w:rPr>
      </w:pPr>
    </w:p>
    <w:p w:rsidR="005F5DEB" w:rsidRDefault="005F5DEB" w:rsidP="00225360">
      <w:pPr>
        <w:autoSpaceDE w:val="0"/>
        <w:autoSpaceDN w:val="0"/>
        <w:adjustRightInd w:val="0"/>
        <w:jc w:val="both"/>
        <w:rPr>
          <w:color w:val="222222"/>
          <w:sz w:val="23"/>
          <w:szCs w:val="23"/>
        </w:rPr>
      </w:pPr>
      <w:r>
        <w:rPr>
          <w:color w:val="0B0B0B"/>
          <w:sz w:val="23"/>
          <w:szCs w:val="23"/>
        </w:rPr>
        <w:tab/>
      </w:r>
      <w:r w:rsidR="00225360">
        <w:rPr>
          <w:color w:val="0B0B0B"/>
          <w:sz w:val="23"/>
          <w:szCs w:val="23"/>
        </w:rPr>
        <w:t xml:space="preserve">Pursuant to Rule </w:t>
      </w:r>
      <w:r w:rsidR="00225360">
        <w:rPr>
          <w:color w:val="222222"/>
          <w:sz w:val="23"/>
          <w:szCs w:val="23"/>
        </w:rPr>
        <w:t xml:space="preserve">25-6.0436(3)(a), F.A.C., </w:t>
      </w:r>
      <w:r w:rsidR="00D56218">
        <w:rPr>
          <w:color w:val="222222"/>
        </w:rPr>
        <w:t xml:space="preserve">Florida’s </w:t>
      </w:r>
      <w:r w:rsidR="00225360">
        <w:rPr>
          <w:color w:val="0B0B0B"/>
          <w:sz w:val="23"/>
          <w:szCs w:val="23"/>
        </w:rPr>
        <w:t>investor-</w:t>
      </w:r>
      <w:r w:rsidR="00225360">
        <w:rPr>
          <w:color w:val="222222"/>
          <w:sz w:val="23"/>
          <w:szCs w:val="23"/>
        </w:rPr>
        <w:t xml:space="preserve">owned electric </w:t>
      </w:r>
      <w:r w:rsidR="00225360">
        <w:rPr>
          <w:color w:val="0B0B0B"/>
          <w:sz w:val="23"/>
          <w:szCs w:val="23"/>
        </w:rPr>
        <w:t xml:space="preserve">utilities </w:t>
      </w:r>
      <w:r w:rsidR="00225360">
        <w:rPr>
          <w:color w:val="222222"/>
          <w:sz w:val="23"/>
          <w:szCs w:val="23"/>
        </w:rPr>
        <w:t xml:space="preserve">are </w:t>
      </w:r>
      <w:r w:rsidR="00225360">
        <w:rPr>
          <w:color w:val="0B0B0B"/>
          <w:sz w:val="23"/>
          <w:szCs w:val="23"/>
        </w:rPr>
        <w:t xml:space="preserve">required to maintain depreciation rates </w:t>
      </w:r>
      <w:r w:rsidR="00225360">
        <w:rPr>
          <w:color w:val="222222"/>
          <w:sz w:val="23"/>
          <w:szCs w:val="23"/>
        </w:rPr>
        <w:t xml:space="preserve">and accumulated </w:t>
      </w:r>
      <w:r w:rsidR="00225360">
        <w:rPr>
          <w:color w:val="0B0B0B"/>
          <w:sz w:val="23"/>
          <w:szCs w:val="23"/>
        </w:rPr>
        <w:t xml:space="preserve">depreciation reserves in </w:t>
      </w:r>
      <w:r w:rsidR="00225360">
        <w:rPr>
          <w:color w:val="222222"/>
          <w:sz w:val="23"/>
          <w:szCs w:val="23"/>
        </w:rPr>
        <w:t xml:space="preserve">accounts or subaccounts </w:t>
      </w:r>
      <w:r w:rsidR="00225360" w:rsidRPr="00225360">
        <w:rPr>
          <w:bCs/>
          <w:color w:val="0B0B0B"/>
          <w:sz w:val="23"/>
          <w:szCs w:val="23"/>
        </w:rPr>
        <w:t>in</w:t>
      </w:r>
      <w:r w:rsidR="00225360">
        <w:rPr>
          <w:b/>
          <w:bCs/>
          <w:color w:val="0B0B0B"/>
          <w:sz w:val="23"/>
          <w:szCs w:val="23"/>
        </w:rPr>
        <w:t xml:space="preserve"> </w:t>
      </w:r>
      <w:r w:rsidR="00225360">
        <w:rPr>
          <w:color w:val="222222"/>
          <w:sz w:val="23"/>
          <w:szCs w:val="23"/>
        </w:rPr>
        <w:t xml:space="preserve">accordance </w:t>
      </w:r>
      <w:r w:rsidR="00225360">
        <w:rPr>
          <w:color w:val="0B0B0B"/>
          <w:sz w:val="23"/>
          <w:szCs w:val="23"/>
        </w:rPr>
        <w:t xml:space="preserve">with the </w:t>
      </w:r>
      <w:r w:rsidR="00225360">
        <w:rPr>
          <w:color w:val="222222"/>
          <w:sz w:val="23"/>
          <w:szCs w:val="23"/>
        </w:rPr>
        <w:t xml:space="preserve">Uniform System of Accounts for Public Utilities and Licensees, as </w:t>
      </w:r>
      <w:r w:rsidR="00225360">
        <w:rPr>
          <w:color w:val="0B0B0B"/>
          <w:sz w:val="23"/>
          <w:szCs w:val="23"/>
        </w:rPr>
        <w:t xml:space="preserve">found in the </w:t>
      </w:r>
      <w:r w:rsidR="00225360">
        <w:rPr>
          <w:color w:val="222222"/>
          <w:sz w:val="23"/>
          <w:szCs w:val="23"/>
        </w:rPr>
        <w:t xml:space="preserve">Code of </w:t>
      </w:r>
      <w:r w:rsidR="00225360">
        <w:rPr>
          <w:color w:val="0B0B0B"/>
          <w:sz w:val="23"/>
          <w:szCs w:val="23"/>
        </w:rPr>
        <w:t>Federal Regulations</w:t>
      </w:r>
      <w:r w:rsidR="00225360">
        <w:rPr>
          <w:color w:val="3A3A3A"/>
          <w:sz w:val="23"/>
          <w:szCs w:val="23"/>
        </w:rPr>
        <w:t xml:space="preserve">, </w:t>
      </w:r>
      <w:r w:rsidR="00225360">
        <w:rPr>
          <w:color w:val="222222"/>
          <w:sz w:val="23"/>
          <w:szCs w:val="23"/>
        </w:rPr>
        <w:t xml:space="preserve">which </w:t>
      </w:r>
      <w:r w:rsidR="00225360">
        <w:rPr>
          <w:color w:val="0B0B0B"/>
          <w:sz w:val="23"/>
          <w:szCs w:val="23"/>
        </w:rPr>
        <w:t>is incorporated by reference</w:t>
      </w:r>
      <w:r w:rsidR="00225360" w:rsidRPr="005F5DEB">
        <w:rPr>
          <w:color w:val="0B0B0B"/>
          <w:sz w:val="23"/>
          <w:szCs w:val="23"/>
        </w:rPr>
        <w:t xml:space="preserve"> </w:t>
      </w:r>
      <w:r w:rsidR="00225360" w:rsidRPr="005F5DEB">
        <w:rPr>
          <w:bCs/>
          <w:color w:val="0B0B0B"/>
          <w:sz w:val="23"/>
          <w:szCs w:val="23"/>
        </w:rPr>
        <w:t>in</w:t>
      </w:r>
      <w:r w:rsidR="00225360">
        <w:rPr>
          <w:b/>
          <w:bCs/>
          <w:color w:val="0B0B0B"/>
          <w:sz w:val="23"/>
          <w:szCs w:val="23"/>
        </w:rPr>
        <w:t xml:space="preserve"> </w:t>
      </w:r>
      <w:r w:rsidR="00225360">
        <w:rPr>
          <w:color w:val="0B0B0B"/>
          <w:sz w:val="23"/>
          <w:szCs w:val="23"/>
        </w:rPr>
        <w:t xml:space="preserve">Rule </w:t>
      </w:r>
      <w:r w:rsidR="00225360">
        <w:rPr>
          <w:color w:val="222222"/>
          <w:sz w:val="23"/>
          <w:szCs w:val="23"/>
        </w:rPr>
        <w:t xml:space="preserve">25-6.014(1), </w:t>
      </w:r>
      <w:r w:rsidR="00225360">
        <w:rPr>
          <w:color w:val="0B0B0B"/>
          <w:sz w:val="23"/>
          <w:szCs w:val="23"/>
        </w:rPr>
        <w:t>F.A.C</w:t>
      </w:r>
      <w:r>
        <w:rPr>
          <w:color w:val="0B0B0B"/>
          <w:sz w:val="23"/>
          <w:szCs w:val="23"/>
        </w:rPr>
        <w:t>.</w:t>
      </w:r>
      <w:r>
        <w:rPr>
          <w:rStyle w:val="FootnoteReference"/>
          <w:color w:val="0B0B0B"/>
          <w:sz w:val="23"/>
          <w:szCs w:val="23"/>
        </w:rPr>
        <w:footnoteReference w:id="1"/>
      </w:r>
      <w:r w:rsidR="00D56218">
        <w:rPr>
          <w:color w:val="0B0B0B"/>
          <w:sz w:val="23"/>
          <w:szCs w:val="23"/>
        </w:rPr>
        <w:t xml:space="preserve">  </w:t>
      </w:r>
      <w:r w:rsidR="00225360">
        <w:rPr>
          <w:color w:val="0B0B0B"/>
          <w:sz w:val="23"/>
          <w:szCs w:val="23"/>
        </w:rPr>
        <w:t xml:space="preserve">In </w:t>
      </w:r>
      <w:r w:rsidR="00225360">
        <w:rPr>
          <w:color w:val="3A3A3A"/>
          <w:sz w:val="23"/>
          <w:szCs w:val="23"/>
        </w:rPr>
        <w:t>a</w:t>
      </w:r>
      <w:r w:rsidR="00225360">
        <w:rPr>
          <w:color w:val="0B0B0B"/>
          <w:sz w:val="23"/>
          <w:szCs w:val="23"/>
        </w:rPr>
        <w:t>ddition to this requirement</w:t>
      </w:r>
      <w:r w:rsidR="00225360">
        <w:rPr>
          <w:color w:val="3A3A3A"/>
          <w:sz w:val="23"/>
          <w:szCs w:val="23"/>
        </w:rPr>
        <w:t xml:space="preserve">, </w:t>
      </w:r>
      <w:r w:rsidR="00225360">
        <w:rPr>
          <w:color w:val="0B0B0B"/>
          <w:sz w:val="23"/>
          <w:szCs w:val="23"/>
        </w:rPr>
        <w:t xml:space="preserve">Rule </w:t>
      </w:r>
      <w:r w:rsidR="00225360">
        <w:rPr>
          <w:color w:val="222222"/>
          <w:sz w:val="23"/>
          <w:szCs w:val="23"/>
        </w:rPr>
        <w:t xml:space="preserve">25-6.0436(3)(b), </w:t>
      </w:r>
      <w:r w:rsidR="00225360">
        <w:rPr>
          <w:color w:val="0B0B0B"/>
          <w:sz w:val="23"/>
          <w:szCs w:val="23"/>
        </w:rPr>
        <w:t>F</w:t>
      </w:r>
      <w:r w:rsidR="00225360">
        <w:rPr>
          <w:color w:val="3A3A3A"/>
          <w:sz w:val="23"/>
          <w:szCs w:val="23"/>
        </w:rPr>
        <w:t xml:space="preserve">.A.C., </w:t>
      </w:r>
      <w:r w:rsidR="00225360">
        <w:rPr>
          <w:color w:val="0B0B0B"/>
          <w:sz w:val="23"/>
          <w:szCs w:val="23"/>
        </w:rPr>
        <w:t>requires th</w:t>
      </w:r>
      <w:r w:rsidR="00225360">
        <w:rPr>
          <w:color w:val="3A3A3A"/>
          <w:sz w:val="23"/>
          <w:szCs w:val="23"/>
        </w:rPr>
        <w:t>at: "</w:t>
      </w:r>
      <w:r w:rsidR="00225360">
        <w:rPr>
          <w:color w:val="0B0B0B"/>
          <w:sz w:val="23"/>
          <w:szCs w:val="23"/>
        </w:rPr>
        <w:t xml:space="preserve">[u]pon </w:t>
      </w:r>
      <w:r w:rsidR="00225360">
        <w:rPr>
          <w:color w:val="222222"/>
          <w:sz w:val="23"/>
          <w:szCs w:val="23"/>
        </w:rPr>
        <w:t xml:space="preserve">establishing a </w:t>
      </w:r>
      <w:r w:rsidR="00225360">
        <w:rPr>
          <w:color w:val="0B0B0B"/>
          <w:sz w:val="23"/>
          <w:szCs w:val="23"/>
        </w:rPr>
        <w:t xml:space="preserve">new </w:t>
      </w:r>
      <w:r w:rsidR="00225360">
        <w:rPr>
          <w:color w:val="3A3A3A"/>
          <w:sz w:val="23"/>
          <w:szCs w:val="23"/>
        </w:rPr>
        <w:t>acco</w:t>
      </w:r>
      <w:r w:rsidR="00225360">
        <w:rPr>
          <w:color w:val="0B0B0B"/>
          <w:sz w:val="23"/>
          <w:szCs w:val="23"/>
        </w:rPr>
        <w:t xml:space="preserve">unt </w:t>
      </w:r>
      <w:r w:rsidR="00225360">
        <w:rPr>
          <w:color w:val="222222"/>
          <w:sz w:val="23"/>
          <w:szCs w:val="23"/>
        </w:rPr>
        <w:t xml:space="preserve">or </w:t>
      </w:r>
      <w:r w:rsidR="00225360">
        <w:rPr>
          <w:color w:val="3A3A3A"/>
          <w:sz w:val="23"/>
          <w:szCs w:val="23"/>
        </w:rPr>
        <w:t>s</w:t>
      </w:r>
      <w:r w:rsidR="00225360">
        <w:rPr>
          <w:color w:val="0B0B0B"/>
          <w:sz w:val="23"/>
          <w:szCs w:val="23"/>
        </w:rPr>
        <w:t>ub</w:t>
      </w:r>
      <w:r w:rsidR="00225360">
        <w:rPr>
          <w:color w:val="3A3A3A"/>
          <w:sz w:val="23"/>
          <w:szCs w:val="23"/>
        </w:rPr>
        <w:t>acco</w:t>
      </w:r>
      <w:r w:rsidR="00225360">
        <w:rPr>
          <w:color w:val="0B0B0B"/>
          <w:sz w:val="23"/>
          <w:szCs w:val="23"/>
        </w:rPr>
        <w:t>unt classification</w:t>
      </w:r>
      <w:r w:rsidR="00225360">
        <w:rPr>
          <w:color w:val="3A3A3A"/>
          <w:sz w:val="23"/>
          <w:szCs w:val="23"/>
        </w:rPr>
        <w:t xml:space="preserve">, </w:t>
      </w:r>
      <w:r w:rsidR="00225360">
        <w:rPr>
          <w:color w:val="222222"/>
          <w:sz w:val="23"/>
          <w:szCs w:val="23"/>
        </w:rPr>
        <w:t xml:space="preserve">each </w:t>
      </w:r>
      <w:r w:rsidR="00225360">
        <w:rPr>
          <w:color w:val="0B0B0B"/>
          <w:sz w:val="23"/>
          <w:szCs w:val="23"/>
        </w:rPr>
        <w:t xml:space="preserve">utility </w:t>
      </w:r>
      <w:r w:rsidR="00225360">
        <w:rPr>
          <w:color w:val="222222"/>
          <w:sz w:val="23"/>
          <w:szCs w:val="23"/>
        </w:rPr>
        <w:t xml:space="preserve">shall </w:t>
      </w:r>
      <w:r w:rsidR="00225360">
        <w:rPr>
          <w:color w:val="0B0B0B"/>
          <w:sz w:val="23"/>
          <w:szCs w:val="23"/>
        </w:rPr>
        <w:t xml:space="preserve">request </w:t>
      </w:r>
      <w:r w:rsidR="00225360">
        <w:rPr>
          <w:color w:val="222222"/>
          <w:sz w:val="23"/>
          <w:szCs w:val="23"/>
        </w:rPr>
        <w:t xml:space="preserve">Commission </w:t>
      </w:r>
      <w:r w:rsidR="00225360">
        <w:rPr>
          <w:color w:val="0B0B0B"/>
          <w:sz w:val="23"/>
          <w:szCs w:val="23"/>
        </w:rPr>
        <w:t xml:space="preserve">approval </w:t>
      </w:r>
      <w:r w:rsidR="00225360">
        <w:rPr>
          <w:color w:val="222222"/>
          <w:sz w:val="23"/>
          <w:szCs w:val="23"/>
        </w:rPr>
        <w:t xml:space="preserve">of a </w:t>
      </w:r>
      <w:r w:rsidR="00225360">
        <w:rPr>
          <w:color w:val="0B0B0B"/>
          <w:sz w:val="23"/>
          <w:szCs w:val="23"/>
        </w:rPr>
        <w:t xml:space="preserve">depreciation </w:t>
      </w:r>
      <w:r w:rsidR="00225360">
        <w:rPr>
          <w:color w:val="222222"/>
          <w:sz w:val="23"/>
          <w:szCs w:val="23"/>
        </w:rPr>
        <w:t xml:space="preserve">rate for </w:t>
      </w:r>
      <w:r w:rsidR="00225360">
        <w:rPr>
          <w:color w:val="0B0B0B"/>
          <w:sz w:val="23"/>
          <w:szCs w:val="23"/>
        </w:rPr>
        <w:t xml:space="preserve">the new plant </w:t>
      </w:r>
      <w:r w:rsidR="00225360">
        <w:rPr>
          <w:color w:val="222222"/>
          <w:sz w:val="23"/>
          <w:szCs w:val="23"/>
        </w:rPr>
        <w:t>category.</w:t>
      </w:r>
      <w:r>
        <w:rPr>
          <w:color w:val="222222"/>
          <w:sz w:val="23"/>
          <w:szCs w:val="23"/>
        </w:rPr>
        <w:t>”</w:t>
      </w:r>
    </w:p>
    <w:p w:rsidR="005F5DEB" w:rsidRDefault="005F5DEB" w:rsidP="00225360">
      <w:pPr>
        <w:autoSpaceDE w:val="0"/>
        <w:autoSpaceDN w:val="0"/>
        <w:adjustRightInd w:val="0"/>
        <w:jc w:val="both"/>
        <w:rPr>
          <w:color w:val="222222"/>
          <w:sz w:val="23"/>
          <w:szCs w:val="23"/>
        </w:rPr>
      </w:pPr>
    </w:p>
    <w:p w:rsidR="00225360" w:rsidRDefault="005F5DEB" w:rsidP="00225360">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 xml:space="preserve">On June 30, 2021, </w:t>
      </w:r>
      <w:r>
        <w:rPr>
          <w:rFonts w:ascii="TimesNewRomanPSMT" w:hAnsi="TimesNewRomanPSMT" w:cs="TimesNewRomanPSMT"/>
        </w:rPr>
        <w:t xml:space="preserve">we </w:t>
      </w:r>
      <w:r w:rsidR="00225360">
        <w:rPr>
          <w:rFonts w:ascii="TimesNewRomanPSMT" w:hAnsi="TimesNewRomanPSMT" w:cs="TimesNewRomanPSMT"/>
        </w:rPr>
        <w:t>approved Tampa Electric Company’s (TECO or Company) Direct Current Microgrid Pilot (DC Microgrid or Pilot) by Order No. PSC-2021-0237-PAA-EI.</w:t>
      </w:r>
      <w:r>
        <w:rPr>
          <w:rStyle w:val="FootnoteReference"/>
          <w:rFonts w:ascii="TimesNewRomanPSMT" w:hAnsi="TimesNewRomanPSMT" w:cs="TimesNewRomanPSMT"/>
        </w:rPr>
        <w:footnoteReference w:id="2"/>
      </w:r>
      <w:r w:rsidR="00D56218">
        <w:rPr>
          <w:rFonts w:ascii="TimesNewRomanPSMT" w:hAnsi="TimesNewRomanPSMT" w:cs="TimesNewRomanPSMT"/>
        </w:rPr>
        <w:t xml:space="preserve">  </w:t>
      </w:r>
      <w:r w:rsidR="00225360">
        <w:rPr>
          <w:rFonts w:ascii="TimesNewRomanPSMT" w:hAnsi="TimesNewRomanPSMT" w:cs="TimesNewRomanPSMT"/>
        </w:rPr>
        <w:t>The Order notes that TECO will request approval from th</w:t>
      </w:r>
      <w:r>
        <w:rPr>
          <w:rFonts w:ascii="TimesNewRomanPSMT" w:hAnsi="TimesNewRomanPSMT" w:cs="TimesNewRomanPSMT"/>
        </w:rPr>
        <w:t>is</w:t>
      </w:r>
      <w:r w:rsidR="00225360">
        <w:rPr>
          <w:rFonts w:ascii="TimesNewRomanPSMT" w:hAnsi="TimesNewRomanPSMT" w:cs="TimesNewRomanPSMT"/>
        </w:rPr>
        <w:t xml:space="preserve"> Commission for establishing new depreciation accounts/subaccounts, with corresponding depreciation rates, to record certain new categories of plant assets associated with the pilot program implementation.</w:t>
      </w:r>
    </w:p>
    <w:p w:rsidR="00225360" w:rsidRDefault="00225360" w:rsidP="00225360">
      <w:pPr>
        <w:autoSpaceDE w:val="0"/>
        <w:autoSpaceDN w:val="0"/>
        <w:adjustRightInd w:val="0"/>
        <w:jc w:val="both"/>
        <w:rPr>
          <w:rFonts w:ascii="TimesNewRomanPSMT" w:hAnsi="TimesNewRomanPSMT" w:cs="TimesNewRomanPSMT"/>
        </w:rPr>
      </w:pPr>
    </w:p>
    <w:p w:rsidR="005F5DEB" w:rsidRDefault="005F5DEB" w:rsidP="00225360">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ab/>
      </w:r>
      <w:r w:rsidR="00225360">
        <w:rPr>
          <w:rFonts w:ascii="TimesNewRomanPSMT" w:hAnsi="TimesNewRomanPSMT" w:cs="TimesNewRomanPSMT"/>
        </w:rPr>
        <w:t>On November 15, 2021, TECO filed its Petition for Approval of Depreciation Rates for Direct Current Microgrid Pilot Equipment (Petition), consistent with Section 366.04, Florida Statutes</w:t>
      </w:r>
      <w:r w:rsidR="002C782E">
        <w:rPr>
          <w:rFonts w:ascii="TimesNewRomanPSMT" w:hAnsi="TimesNewRomanPSMT" w:cs="TimesNewRomanPSMT"/>
        </w:rPr>
        <w:t xml:space="preserve"> (F.S.)</w:t>
      </w:r>
      <w:r w:rsidR="00225360">
        <w:rPr>
          <w:rFonts w:ascii="TimesNewRomanPSMT" w:hAnsi="TimesNewRomanPSMT" w:cs="TimesNewRomanPSMT"/>
        </w:rPr>
        <w:t>, Rules 25-6.0436(3)(a)(b), F.A.C., and Order No. PSC-2021-0237-PAA-EI.</w:t>
      </w:r>
    </w:p>
    <w:p w:rsidR="005F5DEB" w:rsidRDefault="005F5DEB" w:rsidP="00225360">
      <w:pPr>
        <w:autoSpaceDE w:val="0"/>
        <w:autoSpaceDN w:val="0"/>
        <w:adjustRightInd w:val="0"/>
        <w:jc w:val="both"/>
        <w:rPr>
          <w:rFonts w:ascii="TimesNewRomanPSMT" w:hAnsi="TimesNewRomanPSMT" w:cs="TimesNewRomanPSMT"/>
        </w:rPr>
      </w:pPr>
    </w:p>
    <w:p w:rsidR="00B92CEC" w:rsidRDefault="005F5DEB" w:rsidP="005F5DEB">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The Pilot involves installation of new direct current electric microgrid technology and associated generating equipment, known as the Block Energy System.</w:t>
      </w:r>
      <w:r w:rsidR="00D56218">
        <w:rPr>
          <w:rFonts w:ascii="TimesNewRomanPSMT" w:hAnsi="TimesNewRomanPSMT" w:cs="TimesNewRomanPSMT"/>
        </w:rPr>
        <w:t xml:space="preserve">  </w:t>
      </w:r>
      <w:r w:rsidR="00225360">
        <w:rPr>
          <w:rFonts w:ascii="TimesNewRomanPSMT" w:hAnsi="TimesNewRomanPSMT" w:cs="TimesNewRomanPSMT"/>
        </w:rPr>
        <w:t>This system will utilize rooftop</w:t>
      </w:r>
      <w:r>
        <w:rPr>
          <w:rFonts w:ascii="TimesNewRomanPSMT" w:hAnsi="TimesNewRomanPSMT" w:cs="TimesNewRomanPSMT"/>
        </w:rPr>
        <w:t xml:space="preserve"> </w:t>
      </w:r>
      <w:r w:rsidR="00225360">
        <w:rPr>
          <w:rFonts w:ascii="TimesNewRomanPSMT" w:hAnsi="TimesNewRomanPSMT" w:cs="TimesNewRomanPSMT"/>
        </w:rPr>
        <w:t>photovoltaic solar arrays, natural gas-fueled reciprocating generating units and distributed energy</w:t>
      </w:r>
      <w:r>
        <w:rPr>
          <w:rFonts w:ascii="TimesNewRomanPSMT" w:hAnsi="TimesNewRomanPSMT" w:cs="TimesNewRomanPSMT"/>
        </w:rPr>
        <w:t xml:space="preserve"> </w:t>
      </w:r>
      <w:r w:rsidR="00225360">
        <w:rPr>
          <w:rFonts w:ascii="TimesNewRomanPSMT" w:hAnsi="TimesNewRomanPSMT" w:cs="TimesNewRomanPSMT"/>
        </w:rPr>
        <w:t xml:space="preserve">storage. </w:t>
      </w:r>
      <w:r w:rsidR="00D56218">
        <w:rPr>
          <w:rFonts w:ascii="TimesNewRomanPSMT" w:hAnsi="TimesNewRomanPSMT" w:cs="TimesNewRomanPSMT"/>
        </w:rPr>
        <w:t xml:space="preserve"> </w:t>
      </w:r>
      <w:r w:rsidR="00225360">
        <w:rPr>
          <w:rFonts w:ascii="TimesNewRomanPSMT" w:hAnsi="TimesNewRomanPSMT" w:cs="TimesNewRomanPSMT"/>
        </w:rPr>
        <w:t>The Petition notes that TECO does not currently have a depreciation subaccount for the</w:t>
      </w:r>
      <w:r>
        <w:rPr>
          <w:rFonts w:ascii="TimesNewRomanPSMT" w:hAnsi="TimesNewRomanPSMT" w:cs="TimesNewRomanPSMT"/>
        </w:rPr>
        <w:t xml:space="preserve"> </w:t>
      </w:r>
      <w:r w:rsidR="00225360">
        <w:rPr>
          <w:rFonts w:ascii="TimesNewRomanPSMT" w:hAnsi="TimesNewRomanPSMT" w:cs="TimesNewRomanPSMT"/>
        </w:rPr>
        <w:t>reciprocating generators.</w:t>
      </w:r>
      <w:r w:rsidR="00D56218">
        <w:rPr>
          <w:rFonts w:ascii="TimesNewRomanPSMT" w:hAnsi="TimesNewRomanPSMT" w:cs="TimesNewRomanPSMT"/>
        </w:rPr>
        <w:t xml:space="preserve">  </w:t>
      </w:r>
      <w:r w:rsidR="00225360">
        <w:rPr>
          <w:rFonts w:ascii="TimesNewRomanPSMT" w:hAnsi="TimesNewRomanPSMT" w:cs="TimesNewRomanPSMT"/>
        </w:rPr>
        <w:t>It also needs to create new subaccounts for the Company-owned</w:t>
      </w:r>
      <w:r>
        <w:rPr>
          <w:rFonts w:ascii="TimesNewRomanPSMT" w:hAnsi="TimesNewRomanPSMT" w:cs="TimesNewRomanPSMT"/>
        </w:rPr>
        <w:t xml:space="preserve"> </w:t>
      </w:r>
      <w:r w:rsidR="00225360">
        <w:rPr>
          <w:rFonts w:ascii="TimesNewRomanPSMT" w:hAnsi="TimesNewRomanPSMT" w:cs="TimesNewRomanPSMT"/>
        </w:rPr>
        <w:t>rooftop solar panels and related battery storage utilized in the Pilot to isolate those plant assets</w:t>
      </w:r>
      <w:r>
        <w:rPr>
          <w:rFonts w:ascii="TimesNewRomanPSMT" w:hAnsi="TimesNewRomanPSMT" w:cs="TimesNewRomanPSMT"/>
        </w:rPr>
        <w:t xml:space="preserve"> </w:t>
      </w:r>
      <w:r w:rsidR="00225360">
        <w:rPr>
          <w:rFonts w:ascii="TimesNewRomanPSMT" w:hAnsi="TimesNewRomanPSMT" w:cs="TimesNewRomanPSMT"/>
        </w:rPr>
        <w:t>from the existing accounts for the utility-scale solar panels and utility-scale battery storage.</w:t>
      </w:r>
      <w:r>
        <w:rPr>
          <w:rFonts w:ascii="TimesNewRomanPSMT" w:hAnsi="TimesNewRomanPSMT" w:cs="TimesNewRomanPSMT"/>
        </w:rPr>
        <w:t xml:space="preserve">  We are </w:t>
      </w:r>
      <w:r w:rsidR="00225360">
        <w:rPr>
          <w:rFonts w:ascii="TimesNewRomanPSMT" w:hAnsi="TimesNewRomanPSMT" w:cs="TimesNewRomanPSMT"/>
        </w:rPr>
        <w:t>not aware of any public comments or concerns regarding this matter.</w:t>
      </w:r>
      <w:r>
        <w:rPr>
          <w:rFonts w:ascii="TimesNewRomanPSMT" w:hAnsi="TimesNewRomanPSMT" w:cs="TimesNewRomanPSMT"/>
        </w:rPr>
        <w:t xml:space="preserve">  We have </w:t>
      </w:r>
      <w:r w:rsidR="00225360">
        <w:rPr>
          <w:rFonts w:ascii="TimesNewRomanPSMT" w:hAnsi="TimesNewRomanPSMT" w:cs="TimesNewRomanPSMT"/>
        </w:rPr>
        <w:t>jurisdiction in this matter pursuant to Sections</w:t>
      </w:r>
      <w:r>
        <w:rPr>
          <w:rFonts w:ascii="TimesNewRomanPSMT" w:hAnsi="TimesNewRomanPSMT" w:cs="TimesNewRomanPSMT"/>
        </w:rPr>
        <w:t xml:space="preserve"> </w:t>
      </w:r>
      <w:r w:rsidR="00225360">
        <w:rPr>
          <w:rFonts w:ascii="TimesNewRomanPSMT" w:hAnsi="TimesNewRomanPSMT" w:cs="TimesNewRomanPSMT"/>
        </w:rPr>
        <w:t>366.04, 366.05 and 366.06, F.S.</w:t>
      </w:r>
    </w:p>
    <w:p w:rsidR="00225360" w:rsidRDefault="00225360" w:rsidP="00225360">
      <w:pPr>
        <w:jc w:val="both"/>
        <w:rPr>
          <w:rFonts w:ascii="TimesNewRomanPSMT" w:hAnsi="TimesNewRomanPSMT" w:cs="TimesNewRomanPSMT"/>
        </w:rPr>
      </w:pPr>
    </w:p>
    <w:p w:rsidR="00225360" w:rsidRDefault="00225360" w:rsidP="00225360">
      <w:pPr>
        <w:jc w:val="center"/>
        <w:rPr>
          <w:rFonts w:ascii="TimesNewRomanPSMT" w:hAnsi="TimesNewRomanPSMT" w:cs="TimesNewRomanPSMT"/>
          <w:u w:val="single"/>
        </w:rPr>
      </w:pPr>
      <w:r w:rsidRPr="00225360">
        <w:rPr>
          <w:rFonts w:ascii="TimesNewRomanPSMT" w:hAnsi="TimesNewRomanPSMT" w:cs="TimesNewRomanPSMT"/>
          <w:u w:val="single"/>
        </w:rPr>
        <w:t>DECISION</w:t>
      </w:r>
    </w:p>
    <w:p w:rsidR="00225360" w:rsidRDefault="00225360" w:rsidP="00225360">
      <w:pPr>
        <w:jc w:val="center"/>
        <w:rPr>
          <w:rFonts w:ascii="TimesNewRomanPSMT" w:hAnsi="TimesNewRomanPSMT" w:cs="TimesNewRomanPSMT"/>
          <w:u w:val="single"/>
        </w:rPr>
      </w:pPr>
    </w:p>
    <w:p w:rsidR="003A7B09" w:rsidRDefault="005F5DEB" w:rsidP="003A7B09">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TECO seeks the Commission’s approval to establish four depreciation</w:t>
      </w:r>
      <w:r w:rsidR="003A7B09">
        <w:rPr>
          <w:rFonts w:ascii="TimesNewRomanPSMT" w:hAnsi="TimesNewRomanPSMT" w:cs="TimesNewRomanPSMT"/>
        </w:rPr>
        <w:t xml:space="preserve"> </w:t>
      </w:r>
      <w:r w:rsidR="00225360">
        <w:rPr>
          <w:rFonts w:ascii="TimesNewRomanPSMT" w:hAnsi="TimesNewRomanPSMT" w:cs="TimesNewRomanPSMT"/>
        </w:rPr>
        <w:t>subaccounts for certain new categories of plant assets associated with its Block Energy System</w:t>
      </w:r>
      <w:r w:rsidR="003A7B09">
        <w:rPr>
          <w:rFonts w:ascii="TimesNewRomanPSMT" w:hAnsi="TimesNewRomanPSMT" w:cs="TimesNewRomanPSMT"/>
        </w:rPr>
        <w:t xml:space="preserve"> </w:t>
      </w:r>
      <w:r w:rsidR="00225360">
        <w:rPr>
          <w:rFonts w:ascii="TimesNewRomanPSMT" w:hAnsi="TimesNewRomanPSMT" w:cs="TimesNewRomanPSMT"/>
        </w:rPr>
        <w:t>of the Pilot program:</w:t>
      </w:r>
    </w:p>
    <w:p w:rsidR="003A7B09" w:rsidRDefault="003A7B09" w:rsidP="00225360">
      <w:pPr>
        <w:autoSpaceDE w:val="0"/>
        <w:autoSpaceDN w:val="0"/>
        <w:adjustRightInd w:val="0"/>
        <w:rPr>
          <w:rFonts w:ascii="TimesNewRomanPSMT" w:hAnsi="TimesNewRomanPSMT" w:cs="TimesNewRomanPSMT"/>
        </w:rPr>
      </w:pPr>
    </w:p>
    <w:p w:rsidR="00225360" w:rsidRDefault="003A7B09" w:rsidP="00225360">
      <w:pPr>
        <w:autoSpaceDE w:val="0"/>
        <w:autoSpaceDN w:val="0"/>
        <w:adjustRightInd w:val="0"/>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341.98 Structure and Improvements – DC Microgrid,</w:t>
      </w:r>
    </w:p>
    <w:p w:rsidR="00225360" w:rsidRDefault="003A7B09" w:rsidP="00225360">
      <w:pPr>
        <w:autoSpaceDE w:val="0"/>
        <w:autoSpaceDN w:val="0"/>
        <w:adjustRightInd w:val="0"/>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343.98 Prime Movers – DC Microgrid,</w:t>
      </w:r>
    </w:p>
    <w:p w:rsidR="00225360" w:rsidRDefault="003A7B09" w:rsidP="00225360">
      <w:pPr>
        <w:autoSpaceDE w:val="0"/>
        <w:autoSpaceDN w:val="0"/>
        <w:adjustRightInd w:val="0"/>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345.98 Accessory Electric Equipment – DC Microgrid, and</w:t>
      </w:r>
    </w:p>
    <w:p w:rsidR="00225360" w:rsidRDefault="003A7B09" w:rsidP="00225360">
      <w:pPr>
        <w:autoSpaceDE w:val="0"/>
        <w:autoSpaceDN w:val="0"/>
        <w:adjustRightInd w:val="0"/>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348.98 Energy Storage Battery Equipment – DC Microgrid.</w:t>
      </w:r>
    </w:p>
    <w:p w:rsidR="003A7B09" w:rsidRDefault="003A7B09" w:rsidP="00225360">
      <w:pPr>
        <w:autoSpaceDE w:val="0"/>
        <w:autoSpaceDN w:val="0"/>
        <w:adjustRightInd w:val="0"/>
        <w:rPr>
          <w:rFonts w:ascii="TimesNewRomanPSMT" w:hAnsi="TimesNewRomanPSMT" w:cs="TimesNewRomanPSMT"/>
        </w:rPr>
      </w:pPr>
    </w:p>
    <w:p w:rsidR="00225360" w:rsidRDefault="003A7B09" w:rsidP="003A7B09">
      <w:pPr>
        <w:autoSpaceDE w:val="0"/>
        <w:autoSpaceDN w:val="0"/>
        <w:adjustRightInd w:val="0"/>
        <w:jc w:val="both"/>
        <w:rPr>
          <w:rFonts w:ascii="TimesNewRomanPSMT" w:hAnsi="TimesNewRomanPSMT" w:cs="TimesNewRomanPSMT"/>
          <w:sz w:val="16"/>
          <w:szCs w:val="16"/>
        </w:rPr>
      </w:pPr>
      <w:r>
        <w:rPr>
          <w:rFonts w:ascii="TimesNewRomanPSMT" w:hAnsi="TimesNewRomanPSMT" w:cs="TimesNewRomanPSMT"/>
        </w:rPr>
        <w:tab/>
      </w:r>
      <w:r w:rsidR="00225360">
        <w:rPr>
          <w:rFonts w:ascii="TimesNewRomanPSMT" w:hAnsi="TimesNewRomanPSMT" w:cs="TimesNewRomanPSMT"/>
        </w:rPr>
        <w:t>Subaccount 341.98 is for the Pilot-related Block Energy System structural steel and</w:t>
      </w:r>
      <w:r>
        <w:rPr>
          <w:rFonts w:ascii="TimesNewRomanPSMT" w:hAnsi="TimesNewRomanPSMT" w:cs="TimesNewRomanPSMT"/>
        </w:rPr>
        <w:t xml:space="preserve"> </w:t>
      </w:r>
      <w:r w:rsidR="00225360">
        <w:rPr>
          <w:rFonts w:ascii="TimesNewRomanPSMT" w:hAnsi="TimesNewRomanPSMT" w:cs="TimesNewRomanPSMT"/>
        </w:rPr>
        <w:t>foundations.</w:t>
      </w:r>
      <w:r>
        <w:rPr>
          <w:rStyle w:val="FootnoteReference"/>
          <w:rFonts w:ascii="TimesNewRomanPSMT" w:hAnsi="TimesNewRomanPSMT" w:cs="TimesNewRomanPSMT"/>
        </w:rPr>
        <w:footnoteReference w:id="3"/>
      </w:r>
      <w:r w:rsidR="00D56218">
        <w:rPr>
          <w:rFonts w:ascii="TimesNewRomanPSMT" w:hAnsi="TimesNewRomanPSMT" w:cs="TimesNewRomanPSMT"/>
        </w:rPr>
        <w:t xml:space="preserve"> </w:t>
      </w:r>
      <w:r w:rsidR="00225360">
        <w:rPr>
          <w:rFonts w:ascii="TimesNewRomanPSMT" w:hAnsi="TimesNewRomanPSMT" w:cs="TimesNewRomanPSMT"/>
        </w:rPr>
        <w:t>TECO proposed an initial Average Service Life (ASL) of 30 years and Net</w:t>
      </w:r>
      <w:r>
        <w:rPr>
          <w:rFonts w:ascii="TimesNewRomanPSMT" w:hAnsi="TimesNewRomanPSMT" w:cs="TimesNewRomanPSMT"/>
        </w:rPr>
        <w:t xml:space="preserve"> </w:t>
      </w:r>
      <w:r w:rsidR="00225360">
        <w:rPr>
          <w:rFonts w:ascii="TimesNewRomanPSMT" w:hAnsi="TimesNewRomanPSMT" w:cs="TimesNewRomanPSMT"/>
        </w:rPr>
        <w:t>Salvage (NS) of zero percent, which derives a 3.3 percent annual depreciation rate for the</w:t>
      </w:r>
      <w:r>
        <w:rPr>
          <w:rFonts w:ascii="TimesNewRomanPSMT" w:hAnsi="TimesNewRomanPSMT" w:cs="TimesNewRomanPSMT"/>
        </w:rPr>
        <w:t xml:space="preserve"> </w:t>
      </w:r>
      <w:r w:rsidR="00225360">
        <w:rPr>
          <w:rFonts w:ascii="TimesNewRomanPSMT" w:hAnsi="TimesNewRomanPSMT" w:cs="TimesNewRomanPSMT"/>
        </w:rPr>
        <w:t>subaccount.</w:t>
      </w:r>
      <w:r>
        <w:rPr>
          <w:rStyle w:val="FootnoteReference"/>
          <w:rFonts w:ascii="TimesNewRomanPSMT" w:hAnsi="TimesNewRomanPSMT" w:cs="TimesNewRomanPSMT"/>
        </w:rPr>
        <w:footnoteReference w:id="4"/>
      </w:r>
      <w:r w:rsidR="00D56218">
        <w:rPr>
          <w:rFonts w:ascii="TimesNewRomanPSMT" w:hAnsi="TimesNewRomanPSMT" w:cs="TimesNewRomanPSMT"/>
        </w:rPr>
        <w:t xml:space="preserve">  </w:t>
      </w:r>
      <w:r>
        <w:rPr>
          <w:rFonts w:ascii="TimesNewRomanPSMT" w:hAnsi="TimesNewRomanPSMT" w:cs="TimesNewRomanPSMT"/>
        </w:rPr>
        <w:t>We agree with this proposal since it is in line with our previous decision</w:t>
      </w:r>
      <w:r w:rsidR="00225360">
        <w:rPr>
          <w:rFonts w:ascii="TimesNewRomanPSMT" w:hAnsi="TimesNewRomanPSMT" w:cs="TimesNewRomanPSMT"/>
        </w:rPr>
        <w:t>.</w:t>
      </w:r>
      <w:r>
        <w:rPr>
          <w:rStyle w:val="FootnoteReference"/>
          <w:rFonts w:ascii="TimesNewRomanPSMT" w:hAnsi="TimesNewRomanPSMT" w:cs="TimesNewRomanPSMT"/>
        </w:rPr>
        <w:footnoteReference w:id="5"/>
      </w:r>
    </w:p>
    <w:p w:rsidR="003A7B09" w:rsidRDefault="003A7B09" w:rsidP="003A7B09">
      <w:pPr>
        <w:autoSpaceDE w:val="0"/>
        <w:autoSpaceDN w:val="0"/>
        <w:adjustRightInd w:val="0"/>
        <w:jc w:val="both"/>
        <w:rPr>
          <w:rFonts w:ascii="TimesNewRomanPSMT" w:hAnsi="TimesNewRomanPSMT" w:cs="TimesNewRomanPSMT"/>
          <w:sz w:val="16"/>
          <w:szCs w:val="16"/>
        </w:rPr>
      </w:pPr>
    </w:p>
    <w:p w:rsidR="00225360" w:rsidRDefault="003A7B09" w:rsidP="003A7B09">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Subaccount 343.98 will be used to book the rooftop solar panels and the natural gas-fueled</w:t>
      </w:r>
      <w:r>
        <w:rPr>
          <w:rFonts w:ascii="TimesNewRomanPSMT" w:hAnsi="TimesNewRomanPSMT" w:cs="TimesNewRomanPSMT"/>
        </w:rPr>
        <w:t xml:space="preserve"> </w:t>
      </w:r>
      <w:r w:rsidR="00225360">
        <w:rPr>
          <w:rFonts w:ascii="TimesNewRomanPSMT" w:hAnsi="TimesNewRomanPSMT" w:cs="TimesNewRomanPSMT"/>
        </w:rPr>
        <w:t>reciprocating generating units used in the Block Energy System.</w:t>
      </w:r>
      <w:r w:rsidR="0048535B">
        <w:rPr>
          <w:rStyle w:val="FootnoteReference"/>
          <w:rFonts w:ascii="TimesNewRomanPSMT" w:hAnsi="TimesNewRomanPSMT" w:cs="TimesNewRomanPSMT"/>
        </w:rPr>
        <w:footnoteReference w:id="6"/>
      </w:r>
      <w:r w:rsidR="00D56218">
        <w:rPr>
          <w:rFonts w:ascii="TimesNewRomanPSMT" w:hAnsi="TimesNewRomanPSMT" w:cs="TimesNewRomanPSMT"/>
        </w:rPr>
        <w:t xml:space="preserve">  </w:t>
      </w:r>
      <w:r w:rsidR="00225360">
        <w:rPr>
          <w:rFonts w:ascii="TimesNewRomanPSMT" w:hAnsi="TimesNewRomanPSMT" w:cs="TimesNewRomanPSMT"/>
        </w:rPr>
        <w:t>Regarding the rooftop solar</w:t>
      </w:r>
      <w:r>
        <w:rPr>
          <w:rFonts w:ascii="TimesNewRomanPSMT" w:hAnsi="TimesNewRomanPSMT" w:cs="TimesNewRomanPSMT"/>
        </w:rPr>
        <w:t xml:space="preserve"> </w:t>
      </w:r>
      <w:r w:rsidR="00225360">
        <w:rPr>
          <w:rFonts w:ascii="TimesNewRomanPSMT" w:hAnsi="TimesNewRomanPSMT" w:cs="TimesNewRomanPSMT"/>
        </w:rPr>
        <w:t>assets, paragraph 15 of the Petition reads</w:t>
      </w:r>
      <w:r w:rsidR="0048535B">
        <w:rPr>
          <w:rFonts w:ascii="TimesNewRomanPSMT" w:hAnsi="TimesNewRomanPSMT" w:cs="TimesNewRomanPSMT"/>
        </w:rPr>
        <w:t>:</w:t>
      </w:r>
      <w:r w:rsidR="00225360">
        <w:rPr>
          <w:rFonts w:ascii="TimesNewRomanPSMT" w:hAnsi="TimesNewRomanPSMT" w:cs="TimesNewRomanPSMT"/>
        </w:rPr>
        <w:t xml:space="preserve"> “[i]n accordance with the 2021 Agreement, Tampa</w:t>
      </w:r>
      <w:r>
        <w:rPr>
          <w:rFonts w:ascii="TimesNewRomanPSMT" w:hAnsi="TimesNewRomanPSMT" w:cs="TimesNewRomanPSMT"/>
        </w:rPr>
        <w:t xml:space="preserve"> </w:t>
      </w:r>
      <w:r w:rsidR="00225360">
        <w:rPr>
          <w:rFonts w:ascii="TimesNewRomanPSMT" w:hAnsi="TimesNewRomanPSMT" w:cs="TimesNewRomanPSMT"/>
        </w:rPr>
        <w:t>Electric requests a service life of 35 years for the Pilot rooftop solar assets, or an annual</w:t>
      </w:r>
      <w:r>
        <w:rPr>
          <w:rFonts w:ascii="TimesNewRomanPSMT" w:hAnsi="TimesNewRomanPSMT" w:cs="TimesNewRomanPSMT"/>
        </w:rPr>
        <w:t xml:space="preserve"> </w:t>
      </w:r>
      <w:r w:rsidR="00225360">
        <w:rPr>
          <w:rFonts w:ascii="TimesNewRomanPSMT" w:hAnsi="TimesNewRomanPSMT" w:cs="TimesNewRomanPSMT"/>
        </w:rPr>
        <w:t>depreciation rate of 2.9 percent.”</w:t>
      </w:r>
      <w:r w:rsidR="0048535B">
        <w:rPr>
          <w:rStyle w:val="FootnoteReference"/>
          <w:rFonts w:ascii="TimesNewRomanPSMT" w:hAnsi="TimesNewRomanPSMT" w:cs="TimesNewRomanPSMT"/>
          <w:sz w:val="16"/>
          <w:szCs w:val="16"/>
        </w:rPr>
        <w:footnoteReference w:id="7"/>
      </w:r>
      <w:r w:rsidR="0048535B">
        <w:rPr>
          <w:rFonts w:ascii="TimesNewRomanPSMT" w:hAnsi="TimesNewRomanPSMT" w:cs="TimesNewRomanPSMT"/>
          <w:sz w:val="16"/>
          <w:szCs w:val="16"/>
        </w:rPr>
        <w:t xml:space="preserve">  </w:t>
      </w:r>
      <w:r w:rsidR="00225360">
        <w:rPr>
          <w:rFonts w:ascii="TimesNewRomanPSMT" w:hAnsi="TimesNewRomanPSMT" w:cs="TimesNewRomanPSMT"/>
        </w:rPr>
        <w:t xml:space="preserve">However, in response to </w:t>
      </w:r>
      <w:r w:rsidR="0048535B">
        <w:rPr>
          <w:rFonts w:ascii="TimesNewRomanPSMT" w:hAnsi="TimesNewRomanPSMT" w:cs="TimesNewRomanPSMT"/>
        </w:rPr>
        <w:t xml:space="preserve">Commission </w:t>
      </w:r>
      <w:r w:rsidR="00225360">
        <w:rPr>
          <w:rFonts w:ascii="TimesNewRomanPSMT" w:hAnsi="TimesNewRomanPSMT" w:cs="TimesNewRomanPSMT"/>
        </w:rPr>
        <w:t>staff’s data request, TECO revised</w:t>
      </w:r>
      <w:r>
        <w:rPr>
          <w:rFonts w:ascii="TimesNewRomanPSMT" w:hAnsi="TimesNewRomanPSMT" w:cs="TimesNewRomanPSMT"/>
        </w:rPr>
        <w:t xml:space="preserve"> </w:t>
      </w:r>
      <w:r w:rsidR="00225360">
        <w:rPr>
          <w:rFonts w:ascii="TimesNewRomanPSMT" w:hAnsi="TimesNewRomanPSMT" w:cs="TimesNewRomanPSMT"/>
        </w:rPr>
        <w:t>this request by proposing an initial ASL of 30 years and NS of zero, which derives an annual</w:t>
      </w:r>
      <w:r>
        <w:rPr>
          <w:rFonts w:ascii="TimesNewRomanPSMT" w:hAnsi="TimesNewRomanPSMT" w:cs="TimesNewRomanPSMT"/>
        </w:rPr>
        <w:t xml:space="preserve"> </w:t>
      </w:r>
      <w:r w:rsidR="00225360">
        <w:rPr>
          <w:rFonts w:ascii="TimesNewRomanPSMT" w:hAnsi="TimesNewRomanPSMT" w:cs="TimesNewRomanPSMT"/>
        </w:rPr>
        <w:t>depreciation rate of 3.3 percent for the rooftop solar assets in discussion.</w:t>
      </w:r>
      <w:r w:rsidR="0048535B">
        <w:rPr>
          <w:rStyle w:val="FootnoteReference"/>
          <w:rFonts w:ascii="TimesNewRomanPSMT" w:hAnsi="TimesNewRomanPSMT" w:cs="TimesNewRomanPSMT"/>
        </w:rPr>
        <w:footnoteReference w:id="8"/>
      </w:r>
      <w:r w:rsidR="00225360">
        <w:rPr>
          <w:rFonts w:ascii="TimesNewRomanPSMT" w:hAnsi="TimesNewRomanPSMT" w:cs="TimesNewRomanPSMT"/>
          <w:sz w:val="16"/>
          <w:szCs w:val="16"/>
        </w:rPr>
        <w:t xml:space="preserve"> </w:t>
      </w:r>
      <w:r w:rsidR="00D56218">
        <w:rPr>
          <w:rFonts w:ascii="TimesNewRomanPSMT" w:hAnsi="TimesNewRomanPSMT" w:cs="TimesNewRomanPSMT"/>
          <w:sz w:val="16"/>
          <w:szCs w:val="16"/>
        </w:rPr>
        <w:t xml:space="preserve"> </w:t>
      </w:r>
      <w:r w:rsidR="00225360">
        <w:rPr>
          <w:rFonts w:ascii="TimesNewRomanPSMT" w:hAnsi="TimesNewRomanPSMT" w:cs="TimesNewRomanPSMT"/>
        </w:rPr>
        <w:t>The Company</w:t>
      </w:r>
      <w:r>
        <w:rPr>
          <w:rFonts w:ascii="TimesNewRomanPSMT" w:hAnsi="TimesNewRomanPSMT" w:cs="TimesNewRomanPSMT"/>
        </w:rPr>
        <w:t xml:space="preserve"> </w:t>
      </w:r>
      <w:r w:rsidR="00225360">
        <w:rPr>
          <w:rFonts w:ascii="TimesNewRomanPSMT" w:hAnsi="TimesNewRomanPSMT" w:cs="TimesNewRomanPSMT"/>
        </w:rPr>
        <w:t>explained the basis of the revision as follows:</w:t>
      </w:r>
    </w:p>
    <w:p w:rsidR="00225360" w:rsidRDefault="00225360" w:rsidP="00CB68F2">
      <w:pPr>
        <w:autoSpaceDE w:val="0"/>
        <w:autoSpaceDN w:val="0"/>
        <w:adjustRightInd w:val="0"/>
        <w:ind w:left="720" w:right="720"/>
        <w:jc w:val="both"/>
        <w:rPr>
          <w:rFonts w:ascii="TimesNewRomanPSMT" w:hAnsi="TimesNewRomanPSMT" w:cs="TimesNewRomanPSMT"/>
        </w:rPr>
      </w:pPr>
      <w:r>
        <w:rPr>
          <w:rFonts w:ascii="TimesNewRomanPSMT" w:hAnsi="TimesNewRomanPSMT" w:cs="TimesNewRomanPSMT"/>
        </w:rPr>
        <w:lastRenderedPageBreak/>
        <w:t>Utility Scale solar plant subaccounts have moved from ASL [of] 30</w:t>
      </w:r>
      <w:r w:rsidR="00CB68F2">
        <w:rPr>
          <w:rFonts w:ascii="TimesNewRomanPSMT" w:hAnsi="TimesNewRomanPSMT" w:cs="TimesNewRomanPSMT"/>
        </w:rPr>
        <w:t xml:space="preserve"> </w:t>
      </w:r>
      <w:r>
        <w:rPr>
          <w:rFonts w:ascii="TimesNewRomanPSMT" w:hAnsi="TimesNewRomanPSMT" w:cs="TimesNewRomanPSMT"/>
        </w:rPr>
        <w:t>years to ASL[of] 35 years per the 2021 Agreement.</w:t>
      </w:r>
      <w:r w:rsidR="00D56218">
        <w:rPr>
          <w:rFonts w:ascii="TimesNewRomanPSMT" w:hAnsi="TimesNewRomanPSMT" w:cs="TimesNewRomanPSMT"/>
        </w:rPr>
        <w:t xml:space="preserve">  </w:t>
      </w:r>
      <w:r>
        <w:rPr>
          <w:rFonts w:ascii="TimesNewRomanPSMT" w:hAnsi="TimesNewRomanPSMT" w:cs="TimesNewRomanPSMT"/>
        </w:rPr>
        <w:t>Roof Top solar panels, per the</w:t>
      </w:r>
      <w:r w:rsidR="00CB68F2">
        <w:rPr>
          <w:rFonts w:ascii="TimesNewRomanPSMT" w:hAnsi="TimesNewRomanPSMT" w:cs="TimesNewRomanPSMT"/>
        </w:rPr>
        <w:t xml:space="preserve"> </w:t>
      </w:r>
      <w:r>
        <w:rPr>
          <w:rFonts w:ascii="TimesNewRomanPSMT" w:hAnsi="TimesNewRomanPSMT" w:cs="TimesNewRomanPSMT"/>
        </w:rPr>
        <w:t>manufacturer, have a 25-year product warranty and 30-year performance</w:t>
      </w:r>
      <w:r w:rsidR="00CB68F2">
        <w:rPr>
          <w:rFonts w:ascii="TimesNewRomanPSMT" w:hAnsi="TimesNewRomanPSMT" w:cs="TimesNewRomanPSMT"/>
        </w:rPr>
        <w:t xml:space="preserve"> </w:t>
      </w:r>
      <w:r>
        <w:rPr>
          <w:rFonts w:ascii="TimesNewRomanPSMT" w:hAnsi="TimesNewRomanPSMT" w:cs="TimesNewRomanPSMT"/>
        </w:rPr>
        <w:t>warranty.</w:t>
      </w:r>
      <w:r w:rsidR="00CB68F2">
        <w:rPr>
          <w:rStyle w:val="FootnoteReference"/>
          <w:rFonts w:ascii="TimesNewRomanPSMT" w:hAnsi="TimesNewRomanPSMT" w:cs="TimesNewRomanPSMT"/>
        </w:rPr>
        <w:footnoteReference w:id="9"/>
      </w:r>
    </w:p>
    <w:p w:rsidR="00CB68F2" w:rsidRDefault="00CB68F2" w:rsidP="00CB68F2">
      <w:pPr>
        <w:autoSpaceDE w:val="0"/>
        <w:autoSpaceDN w:val="0"/>
        <w:adjustRightInd w:val="0"/>
        <w:ind w:left="720" w:right="720"/>
        <w:rPr>
          <w:rFonts w:ascii="TimesNewRomanPSMT" w:hAnsi="TimesNewRomanPSMT" w:cs="TimesNewRomanPSMT"/>
          <w:sz w:val="16"/>
          <w:szCs w:val="16"/>
        </w:rPr>
      </w:pPr>
    </w:p>
    <w:p w:rsidR="00225360" w:rsidRDefault="00CB68F2" w:rsidP="00CB68F2">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Generally, in a rate case settlement, the agreed upon depreciation parameters sometimes result</w:t>
      </w:r>
      <w:r>
        <w:rPr>
          <w:rFonts w:ascii="TimesNewRomanPSMT" w:hAnsi="TimesNewRomanPSMT" w:cs="TimesNewRomanPSMT"/>
        </w:rPr>
        <w:t xml:space="preserve"> </w:t>
      </w:r>
      <w:r w:rsidR="00225360">
        <w:rPr>
          <w:rFonts w:ascii="TimesNewRomanPSMT" w:hAnsi="TimesNewRomanPSMT" w:cs="TimesNewRomanPSMT"/>
        </w:rPr>
        <w:t>from the parties’ negotiations in the context of the entire rate case.</w:t>
      </w:r>
      <w:r w:rsidR="00D56218">
        <w:rPr>
          <w:rFonts w:ascii="TimesNewRomanPSMT" w:hAnsi="TimesNewRomanPSMT" w:cs="TimesNewRomanPSMT"/>
        </w:rPr>
        <w:t xml:space="preserve">  </w:t>
      </w:r>
      <w:r>
        <w:rPr>
          <w:rFonts w:ascii="TimesNewRomanPSMT" w:hAnsi="TimesNewRomanPSMT" w:cs="TimesNewRomanPSMT"/>
        </w:rPr>
        <w:t xml:space="preserve">In this </w:t>
      </w:r>
      <w:r w:rsidR="00225360">
        <w:rPr>
          <w:rFonts w:ascii="TimesNewRomanPSMT" w:hAnsi="TimesNewRomanPSMT" w:cs="TimesNewRomanPSMT"/>
        </w:rPr>
        <w:t>docket, TECO’s revised service life proposal does reflect the plant assets’ life characteristic; it</w:t>
      </w:r>
      <w:r>
        <w:rPr>
          <w:rFonts w:ascii="TimesNewRomanPSMT" w:hAnsi="TimesNewRomanPSMT" w:cs="TimesNewRomanPSMT"/>
        </w:rPr>
        <w:t xml:space="preserve"> </w:t>
      </w:r>
      <w:r w:rsidR="00225360">
        <w:rPr>
          <w:rFonts w:ascii="TimesNewRomanPSMT" w:hAnsi="TimesNewRomanPSMT" w:cs="TimesNewRomanPSMT"/>
        </w:rPr>
        <w:t>is also within the industry range and consistent with th</w:t>
      </w:r>
      <w:r>
        <w:rPr>
          <w:rFonts w:ascii="TimesNewRomanPSMT" w:hAnsi="TimesNewRomanPSMT" w:cs="TimesNewRomanPSMT"/>
        </w:rPr>
        <w:t>is</w:t>
      </w:r>
      <w:r w:rsidR="00225360">
        <w:rPr>
          <w:rFonts w:ascii="TimesNewRomanPSMT" w:hAnsi="TimesNewRomanPSMT" w:cs="TimesNewRomanPSMT"/>
        </w:rPr>
        <w:t xml:space="preserve"> Commission’s approval of ASL and NS</w:t>
      </w:r>
      <w:r>
        <w:rPr>
          <w:rFonts w:ascii="TimesNewRomanPSMT" w:hAnsi="TimesNewRomanPSMT" w:cs="TimesNewRomanPSMT"/>
        </w:rPr>
        <w:t xml:space="preserve"> </w:t>
      </w:r>
      <w:r w:rsidR="00225360">
        <w:rPr>
          <w:rFonts w:ascii="TimesNewRomanPSMT" w:hAnsi="TimesNewRomanPSMT" w:cs="TimesNewRomanPSMT"/>
        </w:rPr>
        <w:t>for similar assets for TECO in 2015.</w:t>
      </w:r>
      <w:r>
        <w:rPr>
          <w:rStyle w:val="FootnoteReference"/>
          <w:rFonts w:ascii="TimesNewRomanPSMT" w:hAnsi="TimesNewRomanPSMT" w:cs="TimesNewRomanPSMT"/>
        </w:rPr>
        <w:footnoteReference w:id="10"/>
      </w:r>
      <w:r w:rsidR="00D56218">
        <w:rPr>
          <w:rFonts w:ascii="TimesNewRomanPSMT" w:hAnsi="TimesNewRomanPSMT" w:cs="TimesNewRomanPSMT"/>
        </w:rPr>
        <w:t xml:space="preserve">  </w:t>
      </w:r>
      <w:r w:rsidR="00225360">
        <w:rPr>
          <w:rFonts w:ascii="TimesNewRomanPSMT" w:hAnsi="TimesNewRomanPSMT" w:cs="TimesNewRomanPSMT"/>
        </w:rPr>
        <w:t xml:space="preserve">As such, </w:t>
      </w:r>
      <w:r>
        <w:rPr>
          <w:rFonts w:ascii="TimesNewRomanPSMT" w:hAnsi="TimesNewRomanPSMT" w:cs="TimesNewRomanPSMT"/>
        </w:rPr>
        <w:t xml:space="preserve">we find </w:t>
      </w:r>
      <w:r w:rsidR="00225360">
        <w:rPr>
          <w:rFonts w:ascii="TimesNewRomanPSMT" w:hAnsi="TimesNewRomanPSMT" w:cs="TimesNewRomanPSMT"/>
        </w:rPr>
        <w:t>that an initial ASL of 30 years,</w:t>
      </w:r>
      <w:r>
        <w:rPr>
          <w:rFonts w:ascii="TimesNewRomanPSMT" w:hAnsi="TimesNewRomanPSMT" w:cs="TimesNewRomanPSMT"/>
        </w:rPr>
        <w:t xml:space="preserve"> </w:t>
      </w:r>
      <w:r w:rsidR="00225360">
        <w:rPr>
          <w:rFonts w:ascii="TimesNewRomanPSMT" w:hAnsi="TimesNewRomanPSMT" w:cs="TimesNewRomanPSMT"/>
        </w:rPr>
        <w:t>deriving a depreciation rate of 3.3 percent, is appropriate for the Pilot-related rooftop solar</w:t>
      </w:r>
      <w:r>
        <w:rPr>
          <w:rFonts w:ascii="TimesNewRomanPSMT" w:hAnsi="TimesNewRomanPSMT" w:cs="TimesNewRomanPSMT"/>
        </w:rPr>
        <w:t xml:space="preserve"> </w:t>
      </w:r>
      <w:r w:rsidR="00225360">
        <w:rPr>
          <w:rFonts w:ascii="TimesNewRomanPSMT" w:hAnsi="TimesNewRomanPSMT" w:cs="TimesNewRomanPSMT"/>
        </w:rPr>
        <w:t>panels.</w:t>
      </w:r>
    </w:p>
    <w:p w:rsidR="00CB68F2" w:rsidRDefault="00CB68F2" w:rsidP="00225360">
      <w:pPr>
        <w:autoSpaceDE w:val="0"/>
        <w:autoSpaceDN w:val="0"/>
        <w:adjustRightInd w:val="0"/>
        <w:rPr>
          <w:rFonts w:ascii="TimesNewRomanPSMT" w:hAnsi="TimesNewRomanPSMT" w:cs="TimesNewRomanPSMT"/>
        </w:rPr>
      </w:pPr>
    </w:p>
    <w:p w:rsidR="00225360" w:rsidRDefault="00CB68F2" w:rsidP="00CB68F2">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With respect to the natural gas-fueled reciprocating generating units, TECO indicated that the</w:t>
      </w:r>
      <w:r>
        <w:rPr>
          <w:rFonts w:ascii="TimesNewRomanPSMT" w:hAnsi="TimesNewRomanPSMT" w:cs="TimesNewRomanPSMT"/>
        </w:rPr>
        <w:t xml:space="preserve"> </w:t>
      </w:r>
      <w:r w:rsidR="00225360">
        <w:rPr>
          <w:rFonts w:ascii="TimesNewRomanPSMT" w:hAnsi="TimesNewRomanPSMT" w:cs="TimesNewRomanPSMT"/>
        </w:rPr>
        <w:t>life is between 10,000 and 15,000 operating hours (3.4 to 5.1 years); and as they are considered</w:t>
      </w:r>
      <w:r>
        <w:rPr>
          <w:rFonts w:ascii="TimesNewRomanPSMT" w:hAnsi="TimesNewRomanPSMT" w:cs="TimesNewRomanPSMT"/>
        </w:rPr>
        <w:t xml:space="preserve"> </w:t>
      </w:r>
      <w:r w:rsidR="00225360">
        <w:rPr>
          <w:rFonts w:ascii="TimesNewRomanPSMT" w:hAnsi="TimesNewRomanPSMT" w:cs="TimesNewRomanPSMT"/>
        </w:rPr>
        <w:t>to be stand-by units, the expected life of these units is 20-25 years.</w:t>
      </w:r>
      <w:r w:rsidR="002C0CB3">
        <w:rPr>
          <w:rStyle w:val="FootnoteReference"/>
          <w:rFonts w:ascii="TimesNewRomanPSMT" w:hAnsi="TimesNewRomanPSMT" w:cs="TimesNewRomanPSMT"/>
        </w:rPr>
        <w:footnoteReference w:id="11"/>
      </w:r>
    </w:p>
    <w:p w:rsidR="00CB68F2" w:rsidRDefault="00CB68F2" w:rsidP="00225360">
      <w:pPr>
        <w:autoSpaceDE w:val="0"/>
        <w:autoSpaceDN w:val="0"/>
        <w:adjustRightInd w:val="0"/>
        <w:rPr>
          <w:rFonts w:ascii="TimesNewRomanPSMT" w:hAnsi="TimesNewRomanPSMT" w:cs="TimesNewRomanPSMT"/>
        </w:rPr>
      </w:pPr>
    </w:p>
    <w:p w:rsidR="00225360" w:rsidRDefault="00CB68F2" w:rsidP="002C0CB3">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TECO proposed to use the same subaccount, 343.98 Prime Movers – DC Microgrid, for both</w:t>
      </w:r>
      <w:r w:rsidR="002C0CB3">
        <w:rPr>
          <w:rFonts w:ascii="TimesNewRomanPSMT" w:hAnsi="TimesNewRomanPSMT" w:cs="TimesNewRomanPSMT"/>
        </w:rPr>
        <w:t xml:space="preserve"> </w:t>
      </w:r>
      <w:r w:rsidR="00225360">
        <w:rPr>
          <w:rFonts w:ascii="TimesNewRomanPSMT" w:hAnsi="TimesNewRomanPSMT" w:cs="TimesNewRomanPSMT"/>
        </w:rPr>
        <w:t>solar panels and the reciprocating generating units.</w:t>
      </w:r>
      <w:r w:rsidR="002C0CB3">
        <w:rPr>
          <w:rFonts w:ascii="TimesNewRomanPSMT" w:hAnsi="TimesNewRomanPSMT" w:cs="TimesNewRomanPSMT"/>
        </w:rPr>
        <w:t xml:space="preserve"> </w:t>
      </w:r>
      <w:r w:rsidR="00225360" w:rsidRPr="002C0CB3">
        <w:rPr>
          <w:rFonts w:ascii="TimesNewRomanPSMT" w:hAnsi="TimesNewRomanPSMT" w:cs="TimesNewRomanPSMT"/>
        </w:rPr>
        <w:t>It</w:t>
      </w:r>
      <w:r w:rsidR="00225360">
        <w:rPr>
          <w:rFonts w:ascii="TimesNewRomanPSMT" w:hAnsi="TimesNewRomanPSMT" w:cs="TimesNewRomanPSMT"/>
        </w:rPr>
        <w:t xml:space="preserve"> claimed that heterogeneous equipment</w:t>
      </w:r>
      <w:r w:rsidR="002C0CB3">
        <w:rPr>
          <w:rFonts w:ascii="TimesNewRomanPSMT" w:hAnsi="TimesNewRomanPSMT" w:cs="TimesNewRomanPSMT"/>
        </w:rPr>
        <w:t xml:space="preserve"> </w:t>
      </w:r>
      <w:r w:rsidR="00225360">
        <w:rPr>
          <w:rFonts w:ascii="TimesNewRomanPSMT" w:hAnsi="TimesNewRomanPSMT" w:cs="TimesNewRomanPSMT"/>
        </w:rPr>
        <w:t>(retirement units) can exist in the same plant subaccount to avoid use of redundant plant</w:t>
      </w:r>
      <w:r w:rsidR="002C0CB3">
        <w:rPr>
          <w:rFonts w:ascii="TimesNewRomanPSMT" w:hAnsi="TimesNewRomanPSMT" w:cs="TimesNewRomanPSMT"/>
        </w:rPr>
        <w:t xml:space="preserve"> </w:t>
      </w:r>
      <w:r w:rsidR="00225360">
        <w:rPr>
          <w:rFonts w:ascii="TimesNewRomanPSMT" w:hAnsi="TimesNewRomanPSMT" w:cs="TimesNewRomanPSMT"/>
        </w:rPr>
        <w:t>accounts/subaccounts.</w:t>
      </w:r>
      <w:r w:rsidR="002C0CB3">
        <w:rPr>
          <w:rStyle w:val="FootnoteReference"/>
          <w:rFonts w:ascii="TimesNewRomanPSMT" w:hAnsi="TimesNewRomanPSMT" w:cs="TimesNewRomanPSMT"/>
        </w:rPr>
        <w:footnoteReference w:id="12"/>
      </w:r>
      <w:r w:rsidR="00D56218">
        <w:rPr>
          <w:rFonts w:ascii="TimesNewRomanPSMT" w:hAnsi="TimesNewRomanPSMT" w:cs="TimesNewRomanPSMT"/>
        </w:rPr>
        <w:t xml:space="preserve">  </w:t>
      </w:r>
      <w:r w:rsidR="00225360">
        <w:rPr>
          <w:rFonts w:ascii="TimesNewRomanPSMT" w:hAnsi="TimesNewRomanPSMT" w:cs="TimesNewRomanPSMT"/>
        </w:rPr>
        <w:t>The Company further explained that</w:t>
      </w:r>
    </w:p>
    <w:p w:rsidR="002C0CB3" w:rsidRDefault="002C0CB3" w:rsidP="00225360">
      <w:pPr>
        <w:autoSpaceDE w:val="0"/>
        <w:autoSpaceDN w:val="0"/>
        <w:adjustRightInd w:val="0"/>
        <w:rPr>
          <w:rFonts w:ascii="TimesNewRomanPSMT" w:hAnsi="TimesNewRomanPSMT" w:cs="TimesNewRomanPSMT"/>
        </w:rPr>
      </w:pPr>
    </w:p>
    <w:p w:rsidR="002C0CB3" w:rsidRDefault="00225360" w:rsidP="002C0CB3">
      <w:pPr>
        <w:autoSpaceDE w:val="0"/>
        <w:autoSpaceDN w:val="0"/>
        <w:adjustRightInd w:val="0"/>
        <w:ind w:left="720" w:right="720"/>
        <w:jc w:val="both"/>
        <w:rPr>
          <w:rFonts w:ascii="TimesNewRomanPSMT" w:hAnsi="TimesNewRomanPSMT" w:cs="TimesNewRomanPSMT"/>
        </w:rPr>
      </w:pPr>
      <w:r>
        <w:rPr>
          <w:rFonts w:ascii="TimesNewRomanPSMT" w:hAnsi="TimesNewRomanPSMT" w:cs="TimesNewRomanPSMT"/>
        </w:rPr>
        <w:t>Since future depreciation studies can analyze the stratification of retirement units</w:t>
      </w:r>
      <w:r w:rsidR="002C0CB3">
        <w:rPr>
          <w:rFonts w:ascii="TimesNewRomanPSMT" w:hAnsi="TimesNewRomanPSMT" w:cs="TimesNewRomanPSMT"/>
        </w:rPr>
        <w:t xml:space="preserve"> </w:t>
      </w:r>
      <w:r>
        <w:rPr>
          <w:rFonts w:ascii="TimesNewRomanPSMT" w:hAnsi="TimesNewRomanPSMT" w:cs="TimesNewRomanPSMT"/>
        </w:rPr>
        <w:t>for long, medium and short categories, roof top solar panels would be classified as</w:t>
      </w:r>
      <w:r w:rsidR="002C0CB3">
        <w:rPr>
          <w:rFonts w:ascii="TimesNewRomanPSMT" w:hAnsi="TimesNewRomanPSMT" w:cs="TimesNewRomanPSMT"/>
        </w:rPr>
        <w:t xml:space="preserve"> </w:t>
      </w:r>
      <w:r>
        <w:rPr>
          <w:rFonts w:ascii="TimesNewRomanPSMT" w:hAnsi="TimesNewRomanPSMT" w:cs="TimesNewRomanPSMT"/>
        </w:rPr>
        <w:t>long using an ASL 30-35 years and generators would be classified as medium</w:t>
      </w:r>
      <w:r w:rsidR="002C0CB3">
        <w:rPr>
          <w:rFonts w:ascii="TimesNewRomanPSMT" w:hAnsi="TimesNewRomanPSMT" w:cs="TimesNewRomanPSMT"/>
        </w:rPr>
        <w:t xml:space="preserve"> </w:t>
      </w:r>
      <w:r>
        <w:rPr>
          <w:rFonts w:ascii="TimesNewRomanPSMT" w:hAnsi="TimesNewRomanPSMT" w:cs="TimesNewRomanPSMT"/>
        </w:rPr>
        <w:t>using an ASL 20-25 years.</w:t>
      </w:r>
      <w:r w:rsidR="00D56218">
        <w:rPr>
          <w:rFonts w:ascii="TimesNewRomanPSMT" w:hAnsi="TimesNewRomanPSMT" w:cs="TimesNewRomanPSMT"/>
        </w:rPr>
        <w:t xml:space="preserve">  </w:t>
      </w:r>
      <w:r>
        <w:rPr>
          <w:rFonts w:ascii="TimesNewRomanPSMT" w:hAnsi="TimesNewRomanPSMT" w:cs="TimesNewRomanPSMT"/>
        </w:rPr>
        <w:t>This creates a blending of average service lives and an</w:t>
      </w:r>
      <w:r w:rsidR="002C0CB3">
        <w:rPr>
          <w:rFonts w:ascii="TimesNewRomanPSMT" w:hAnsi="TimesNewRomanPSMT" w:cs="TimesNewRomanPSMT"/>
        </w:rPr>
        <w:t xml:space="preserve"> </w:t>
      </w:r>
      <w:r>
        <w:rPr>
          <w:rFonts w:ascii="TimesNewRomanPSMT" w:hAnsi="TimesNewRomanPSMT" w:cs="TimesNewRomanPSMT"/>
        </w:rPr>
        <w:t>initial 30-year ASL would be appropriate.</w:t>
      </w:r>
      <w:r w:rsidR="002C0CB3">
        <w:rPr>
          <w:rStyle w:val="FootnoteReference"/>
          <w:rFonts w:ascii="TimesNewRomanPSMT" w:hAnsi="TimesNewRomanPSMT" w:cs="TimesNewRomanPSMT"/>
        </w:rPr>
        <w:footnoteReference w:id="13"/>
      </w:r>
    </w:p>
    <w:p w:rsidR="002C0CB3" w:rsidRDefault="002C0CB3" w:rsidP="002C0CB3">
      <w:pPr>
        <w:autoSpaceDE w:val="0"/>
        <w:autoSpaceDN w:val="0"/>
        <w:adjustRightInd w:val="0"/>
        <w:jc w:val="both"/>
        <w:rPr>
          <w:rFonts w:ascii="TimesNewRomanPSMT" w:hAnsi="TimesNewRomanPSMT" w:cs="TimesNewRomanPSMT"/>
        </w:rPr>
      </w:pPr>
    </w:p>
    <w:p w:rsidR="00225360" w:rsidRDefault="002C0CB3" w:rsidP="002C0CB3">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Stratification, which groups together, for depreciation study purposes, items of plants having</w:t>
      </w:r>
      <w:r>
        <w:rPr>
          <w:rFonts w:ascii="TimesNewRomanPSMT" w:hAnsi="TimesNewRomanPSMT" w:cs="TimesNewRomanPSMT"/>
        </w:rPr>
        <w:t xml:space="preserve"> </w:t>
      </w:r>
      <w:r w:rsidR="00225360">
        <w:rPr>
          <w:rFonts w:ascii="TimesNewRomanPSMT" w:hAnsi="TimesNewRomanPSMT" w:cs="TimesNewRomanPSMT"/>
        </w:rPr>
        <w:t>similar life and salvage characteristics, has been used in TECO’s previous depreciation studies.</w:t>
      </w:r>
      <w:r>
        <w:rPr>
          <w:rStyle w:val="FootnoteReference"/>
          <w:rFonts w:ascii="TimesNewRomanPSMT" w:hAnsi="TimesNewRomanPSMT" w:cs="TimesNewRomanPSMT"/>
        </w:rPr>
        <w:footnoteReference w:id="14"/>
      </w:r>
      <w:r w:rsidR="00D56218">
        <w:rPr>
          <w:rFonts w:ascii="TimesNewRomanPSMT" w:hAnsi="TimesNewRomanPSMT" w:cs="TimesNewRomanPSMT"/>
        </w:rPr>
        <w:t xml:space="preserve">  </w:t>
      </w:r>
      <w:r w:rsidR="00225360">
        <w:rPr>
          <w:rFonts w:ascii="TimesNewRomanPSMT" w:hAnsi="TimesNewRomanPSMT" w:cs="TimesNewRomanPSMT"/>
        </w:rPr>
        <w:t>It is consistent with Rule 25-6.04361(5)(c), F.A.C., and allows cost recovery provisions to be</w:t>
      </w:r>
      <w:r>
        <w:rPr>
          <w:rFonts w:ascii="TimesNewRomanPSMT" w:hAnsi="TimesNewRomanPSMT" w:cs="TimesNewRomanPSMT"/>
        </w:rPr>
        <w:t xml:space="preserve"> </w:t>
      </w:r>
      <w:r w:rsidR="00225360">
        <w:rPr>
          <w:rFonts w:ascii="TimesNewRomanPSMT" w:hAnsi="TimesNewRomanPSMT" w:cs="TimesNewRomanPSMT"/>
        </w:rPr>
        <w:t>more closely matched to the life characteristics of specific categories of investment made to</w:t>
      </w:r>
      <w:r>
        <w:rPr>
          <w:rFonts w:ascii="TimesNewRomanPSMT" w:hAnsi="TimesNewRomanPSMT" w:cs="TimesNewRomanPSMT"/>
        </w:rPr>
        <w:t xml:space="preserve"> </w:t>
      </w:r>
      <w:r w:rsidR="00225360">
        <w:rPr>
          <w:rFonts w:ascii="TimesNewRomanPSMT" w:hAnsi="TimesNewRomanPSMT" w:cs="TimesNewRomanPSMT"/>
        </w:rPr>
        <w:t>provide for the generation of electric power.</w:t>
      </w:r>
      <w:r w:rsidR="00D56218">
        <w:rPr>
          <w:rFonts w:ascii="TimesNewRomanPSMT" w:hAnsi="TimesNewRomanPSMT" w:cs="TimesNewRomanPSMT"/>
        </w:rPr>
        <w:t xml:space="preserve">  </w:t>
      </w:r>
      <w:r>
        <w:rPr>
          <w:rFonts w:ascii="TimesNewRomanPSMT" w:hAnsi="TimesNewRomanPSMT" w:cs="TimesNewRomanPSMT"/>
        </w:rPr>
        <w:t xml:space="preserve">For these reasons, we find that </w:t>
      </w:r>
      <w:r w:rsidR="00225360">
        <w:rPr>
          <w:rFonts w:ascii="TimesNewRomanPSMT" w:hAnsi="TimesNewRomanPSMT" w:cs="TimesNewRomanPSMT"/>
        </w:rPr>
        <w:t>TECO’s proposal for the</w:t>
      </w:r>
      <w:r>
        <w:rPr>
          <w:rFonts w:ascii="TimesNewRomanPSMT" w:hAnsi="TimesNewRomanPSMT" w:cs="TimesNewRomanPSMT"/>
        </w:rPr>
        <w:t xml:space="preserve"> </w:t>
      </w:r>
      <w:r w:rsidR="00225360">
        <w:rPr>
          <w:rFonts w:ascii="TimesNewRomanPSMT" w:hAnsi="TimesNewRomanPSMT" w:cs="TimesNewRomanPSMT"/>
        </w:rPr>
        <w:t>subaccount and the associated service life is reasonable.</w:t>
      </w:r>
    </w:p>
    <w:p w:rsidR="002C0CB3" w:rsidRDefault="002C0CB3" w:rsidP="002C0CB3">
      <w:pPr>
        <w:autoSpaceDE w:val="0"/>
        <w:autoSpaceDN w:val="0"/>
        <w:adjustRightInd w:val="0"/>
        <w:jc w:val="both"/>
        <w:rPr>
          <w:rFonts w:ascii="TimesNewRomanPSMT" w:hAnsi="TimesNewRomanPSMT" w:cs="TimesNewRomanPSMT"/>
        </w:rPr>
      </w:pPr>
    </w:p>
    <w:p w:rsidR="00225360" w:rsidRDefault="002C0CB3" w:rsidP="002C0CB3">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Subaccount 345.98 will be used to book the accessory electric equipment associated with the</w:t>
      </w:r>
      <w:r>
        <w:rPr>
          <w:rFonts w:ascii="TimesNewRomanPSMT" w:hAnsi="TimesNewRomanPSMT" w:cs="TimesNewRomanPSMT"/>
        </w:rPr>
        <w:t xml:space="preserve"> </w:t>
      </w:r>
      <w:r w:rsidR="00225360">
        <w:rPr>
          <w:rFonts w:ascii="TimesNewRomanPSMT" w:hAnsi="TimesNewRomanPSMT" w:cs="TimesNewRomanPSMT"/>
        </w:rPr>
        <w:t>Block Energy System.</w:t>
      </w:r>
      <w:r w:rsidR="00D56218">
        <w:rPr>
          <w:rFonts w:ascii="TimesNewRomanPSMT" w:hAnsi="TimesNewRomanPSMT" w:cs="TimesNewRomanPSMT"/>
        </w:rPr>
        <w:t xml:space="preserve">  </w:t>
      </w:r>
      <w:r w:rsidR="00225360">
        <w:rPr>
          <w:rFonts w:ascii="TimesNewRomanPSMT" w:hAnsi="TimesNewRomanPSMT" w:cs="TimesNewRomanPSMT"/>
        </w:rPr>
        <w:t>TECO proposed an initial ASL of 30 years and NS of zero percent,</w:t>
      </w:r>
      <w:r>
        <w:rPr>
          <w:rFonts w:ascii="TimesNewRomanPSMT" w:hAnsi="TimesNewRomanPSMT" w:cs="TimesNewRomanPSMT"/>
        </w:rPr>
        <w:t xml:space="preserve"> </w:t>
      </w:r>
      <w:r w:rsidR="00225360">
        <w:rPr>
          <w:rFonts w:ascii="TimesNewRomanPSMT" w:hAnsi="TimesNewRomanPSMT" w:cs="TimesNewRomanPSMT"/>
        </w:rPr>
        <w:t>deriving a 3.3 percent annual depreciation rate.</w:t>
      </w:r>
      <w:r w:rsidR="00396D06">
        <w:rPr>
          <w:rStyle w:val="FootnoteReference"/>
          <w:rFonts w:ascii="TimesNewRomanPSMT" w:hAnsi="TimesNewRomanPSMT" w:cs="TimesNewRomanPSMT"/>
        </w:rPr>
        <w:footnoteReference w:id="15"/>
      </w:r>
      <w:r w:rsidR="00D56218">
        <w:rPr>
          <w:rFonts w:ascii="TimesNewRomanPSMT" w:hAnsi="TimesNewRomanPSMT" w:cs="TimesNewRomanPSMT"/>
        </w:rPr>
        <w:t xml:space="preserve">  </w:t>
      </w:r>
      <w:r w:rsidR="00225360">
        <w:rPr>
          <w:rFonts w:ascii="TimesNewRomanPSMT" w:hAnsi="TimesNewRomanPSMT" w:cs="TimesNewRomanPSMT"/>
        </w:rPr>
        <w:t xml:space="preserve">These are in line with what TECO proposed </w:t>
      </w:r>
      <w:r w:rsidR="00225360">
        <w:rPr>
          <w:rFonts w:ascii="TimesNewRomanPSMT" w:hAnsi="TimesNewRomanPSMT" w:cs="TimesNewRomanPSMT"/>
        </w:rPr>
        <w:lastRenderedPageBreak/>
        <w:t>for</w:t>
      </w:r>
      <w:r>
        <w:rPr>
          <w:rFonts w:ascii="TimesNewRomanPSMT" w:hAnsi="TimesNewRomanPSMT" w:cs="TimesNewRomanPSMT"/>
        </w:rPr>
        <w:t xml:space="preserve"> </w:t>
      </w:r>
      <w:r w:rsidR="00225360">
        <w:rPr>
          <w:rFonts w:ascii="TimesNewRomanPSMT" w:hAnsi="TimesNewRomanPSMT" w:cs="TimesNewRomanPSMT"/>
        </w:rPr>
        <w:t xml:space="preserve">the electric equipment discussed above. </w:t>
      </w:r>
      <w:r w:rsidR="00396D06">
        <w:rPr>
          <w:rFonts w:ascii="TimesNewRomanPSMT" w:hAnsi="TimesNewRomanPSMT" w:cs="TimesNewRomanPSMT"/>
        </w:rPr>
        <w:t xml:space="preserve">Therefore, we find that </w:t>
      </w:r>
      <w:r w:rsidR="00225360">
        <w:rPr>
          <w:rFonts w:ascii="TimesNewRomanPSMT" w:hAnsi="TimesNewRomanPSMT" w:cs="TimesNewRomanPSMT"/>
        </w:rPr>
        <w:t>the proposed depreciation parameters and</w:t>
      </w:r>
      <w:r>
        <w:rPr>
          <w:rFonts w:ascii="TimesNewRomanPSMT" w:hAnsi="TimesNewRomanPSMT" w:cs="TimesNewRomanPSMT"/>
        </w:rPr>
        <w:t xml:space="preserve"> </w:t>
      </w:r>
      <w:r w:rsidR="00225360">
        <w:rPr>
          <w:rFonts w:ascii="TimesNewRomanPSMT" w:hAnsi="TimesNewRomanPSMT" w:cs="TimesNewRomanPSMT"/>
        </w:rPr>
        <w:t>rate are reasonable.</w:t>
      </w:r>
    </w:p>
    <w:p w:rsidR="00396D06" w:rsidRDefault="00396D06" w:rsidP="002C0CB3">
      <w:pPr>
        <w:autoSpaceDE w:val="0"/>
        <w:autoSpaceDN w:val="0"/>
        <w:adjustRightInd w:val="0"/>
        <w:jc w:val="both"/>
        <w:rPr>
          <w:rFonts w:ascii="TimesNewRomanPSMT" w:hAnsi="TimesNewRomanPSMT" w:cs="TimesNewRomanPSMT"/>
        </w:rPr>
      </w:pPr>
    </w:p>
    <w:p w:rsidR="00225360" w:rsidRDefault="00396D06" w:rsidP="00396D06">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Subaccount 348.98 will be used to book the energy storage battery equipment associated with</w:t>
      </w:r>
      <w:r>
        <w:rPr>
          <w:rFonts w:ascii="TimesNewRomanPSMT" w:hAnsi="TimesNewRomanPSMT" w:cs="TimesNewRomanPSMT"/>
        </w:rPr>
        <w:t xml:space="preserve"> </w:t>
      </w:r>
      <w:r w:rsidR="00225360">
        <w:rPr>
          <w:rFonts w:ascii="TimesNewRomanPSMT" w:hAnsi="TimesNewRomanPSMT" w:cs="TimesNewRomanPSMT"/>
        </w:rPr>
        <w:t>the</w:t>
      </w:r>
      <w:r>
        <w:rPr>
          <w:rFonts w:ascii="TimesNewRomanPSMT" w:hAnsi="TimesNewRomanPSMT" w:cs="TimesNewRomanPSMT"/>
        </w:rPr>
        <w:t xml:space="preserve"> </w:t>
      </w:r>
      <w:r w:rsidR="00225360">
        <w:rPr>
          <w:rFonts w:ascii="TimesNewRomanPSMT" w:hAnsi="TimesNewRomanPSMT" w:cs="TimesNewRomanPSMT"/>
        </w:rPr>
        <w:t>Pilot.</w:t>
      </w:r>
      <w:r>
        <w:rPr>
          <w:rStyle w:val="FootnoteReference"/>
          <w:rFonts w:ascii="TimesNewRomanPSMT" w:hAnsi="TimesNewRomanPSMT" w:cs="TimesNewRomanPSMT"/>
        </w:rPr>
        <w:footnoteReference w:id="16"/>
      </w:r>
      <w:r w:rsidR="00D56218">
        <w:rPr>
          <w:rFonts w:ascii="TimesNewRomanPSMT" w:hAnsi="TimesNewRomanPSMT" w:cs="TimesNewRomanPSMT"/>
        </w:rPr>
        <w:t xml:space="preserve">  </w:t>
      </w:r>
      <w:r w:rsidR="00225360">
        <w:rPr>
          <w:rFonts w:ascii="TimesNewRomanPSMT" w:hAnsi="TimesNewRomanPSMT" w:cs="TimesNewRomanPSMT"/>
        </w:rPr>
        <w:t>The design life estimate for the asset is about 10 years, and there are no differences</w:t>
      </w:r>
      <w:r>
        <w:rPr>
          <w:rFonts w:ascii="TimesNewRomanPSMT" w:hAnsi="TimesNewRomanPSMT" w:cs="TimesNewRomanPSMT"/>
        </w:rPr>
        <w:t xml:space="preserve"> </w:t>
      </w:r>
      <w:r w:rsidR="00225360">
        <w:rPr>
          <w:rFonts w:ascii="TimesNewRomanPSMT" w:hAnsi="TimesNewRomanPSMT" w:cs="TimesNewRomanPSMT"/>
        </w:rPr>
        <w:t>between the asset and the battery storage equipment currently in-service in TECO’s system.</w:t>
      </w:r>
      <w:r>
        <w:rPr>
          <w:rStyle w:val="FootnoteReference"/>
          <w:rFonts w:ascii="TimesNewRomanPSMT" w:hAnsi="TimesNewRomanPSMT" w:cs="TimesNewRomanPSMT"/>
        </w:rPr>
        <w:footnoteReference w:id="17"/>
      </w:r>
      <w:r w:rsidR="00D56218">
        <w:rPr>
          <w:rFonts w:ascii="TimesNewRomanPSMT" w:hAnsi="TimesNewRomanPSMT" w:cs="TimesNewRomanPSMT"/>
        </w:rPr>
        <w:t xml:space="preserve">  </w:t>
      </w:r>
      <w:r w:rsidR="00225360">
        <w:rPr>
          <w:rFonts w:ascii="TimesNewRomanPSMT" w:hAnsi="TimesNewRomanPSMT" w:cs="TimesNewRomanPSMT"/>
        </w:rPr>
        <w:t>According to TECO, the battery storage associated with the Block Energy System is relatively</w:t>
      </w:r>
      <w:r>
        <w:rPr>
          <w:rFonts w:ascii="TimesNewRomanPSMT" w:hAnsi="TimesNewRomanPSMT" w:cs="TimesNewRomanPSMT"/>
        </w:rPr>
        <w:t xml:space="preserve"> </w:t>
      </w:r>
      <w:r w:rsidR="00225360">
        <w:rPr>
          <w:rFonts w:ascii="TimesNewRomanPSMT" w:hAnsi="TimesNewRomanPSMT" w:cs="TimesNewRomanPSMT"/>
        </w:rPr>
        <w:t>new equipment technology deployed by the Company, and there is not enough operational</w:t>
      </w:r>
      <w:r>
        <w:rPr>
          <w:rFonts w:ascii="TimesNewRomanPSMT" w:hAnsi="TimesNewRomanPSMT" w:cs="TimesNewRomanPSMT"/>
        </w:rPr>
        <w:t xml:space="preserve"> </w:t>
      </w:r>
      <w:r w:rsidR="00225360">
        <w:rPr>
          <w:rFonts w:ascii="TimesNewRomanPSMT" w:hAnsi="TimesNewRomanPSMT" w:cs="TimesNewRomanPSMT"/>
        </w:rPr>
        <w:t>experience at this time.</w:t>
      </w:r>
      <w:r>
        <w:rPr>
          <w:rStyle w:val="FootnoteReference"/>
          <w:rFonts w:ascii="TimesNewRomanPSMT" w:hAnsi="TimesNewRomanPSMT" w:cs="TimesNewRomanPSMT"/>
        </w:rPr>
        <w:footnoteReference w:id="18"/>
      </w:r>
      <w:r w:rsidR="00D56218">
        <w:rPr>
          <w:rFonts w:ascii="TimesNewRomanPSMT" w:hAnsi="TimesNewRomanPSMT" w:cs="TimesNewRomanPSMT"/>
        </w:rPr>
        <w:t xml:space="preserve">  </w:t>
      </w:r>
      <w:r w:rsidR="00225360">
        <w:rPr>
          <w:rFonts w:ascii="TimesNewRomanPSMT" w:hAnsi="TimesNewRomanPSMT" w:cs="TimesNewRomanPSMT"/>
        </w:rPr>
        <w:t>Consequently, TECO proposed an initial ASL of 10 years and NS of</w:t>
      </w:r>
      <w:r>
        <w:rPr>
          <w:rFonts w:ascii="TimesNewRomanPSMT" w:hAnsi="TimesNewRomanPSMT" w:cs="TimesNewRomanPSMT"/>
        </w:rPr>
        <w:t xml:space="preserve"> </w:t>
      </w:r>
      <w:r w:rsidR="00225360">
        <w:rPr>
          <w:rFonts w:ascii="TimesNewRomanPSMT" w:hAnsi="TimesNewRomanPSMT" w:cs="TimesNewRomanPSMT"/>
        </w:rPr>
        <w:t>zero percent, resulting in a 10.0 percent annual depreciation rate, in accordance with what was</w:t>
      </w:r>
      <w:r>
        <w:rPr>
          <w:rFonts w:ascii="TimesNewRomanPSMT" w:hAnsi="TimesNewRomanPSMT" w:cs="TimesNewRomanPSMT"/>
        </w:rPr>
        <w:t xml:space="preserve"> </w:t>
      </w:r>
      <w:r w:rsidR="00225360">
        <w:rPr>
          <w:rFonts w:ascii="TimesNewRomanPSMT" w:hAnsi="TimesNewRomanPSMT" w:cs="TimesNewRomanPSMT"/>
        </w:rPr>
        <w:t>approved for TECO’s utility-scale battery storage.</w:t>
      </w:r>
      <w:r>
        <w:rPr>
          <w:rStyle w:val="FootnoteReference"/>
          <w:rFonts w:ascii="TimesNewRomanPSMT" w:hAnsi="TimesNewRomanPSMT" w:cs="TimesNewRomanPSMT"/>
        </w:rPr>
        <w:footnoteReference w:id="19"/>
      </w:r>
      <w:r>
        <w:rPr>
          <w:rFonts w:ascii="TimesNewRomanPSMT" w:hAnsi="TimesNewRomanPSMT" w:cs="TimesNewRomanPSMT"/>
          <w:vertAlign w:val="superscript"/>
        </w:rPr>
        <w:t>,</w:t>
      </w:r>
      <w:r>
        <w:rPr>
          <w:rStyle w:val="FootnoteReference"/>
          <w:rFonts w:ascii="TimesNewRomanPSMT" w:hAnsi="TimesNewRomanPSMT" w:cs="TimesNewRomanPSMT"/>
        </w:rPr>
        <w:footnoteReference w:id="20"/>
      </w:r>
      <w:r w:rsidR="00D56218">
        <w:rPr>
          <w:rFonts w:ascii="TimesNewRomanPSMT" w:hAnsi="TimesNewRomanPSMT" w:cs="TimesNewRomanPSMT"/>
          <w:vertAlign w:val="superscript"/>
        </w:rPr>
        <w:t xml:space="preserve">  </w:t>
      </w:r>
      <w:r w:rsidR="005C109E">
        <w:rPr>
          <w:rFonts w:ascii="TimesNewRomanPSMT" w:hAnsi="TimesNewRomanPSMT" w:cs="TimesNewRomanPSMT"/>
        </w:rPr>
        <w:t>We agree</w:t>
      </w:r>
      <w:r w:rsidR="005C109E">
        <w:rPr>
          <w:rFonts w:ascii="TimesNewRomanPSMT" w:hAnsi="TimesNewRomanPSMT" w:cs="TimesNewRomanPSMT"/>
          <w:sz w:val="16"/>
          <w:szCs w:val="16"/>
        </w:rPr>
        <w:t xml:space="preserve"> </w:t>
      </w:r>
      <w:r w:rsidR="00225360">
        <w:rPr>
          <w:rFonts w:ascii="TimesNewRomanPSMT" w:hAnsi="TimesNewRomanPSMT" w:cs="TimesNewRomanPSMT"/>
        </w:rPr>
        <w:t>with TECO’s proposals</w:t>
      </w:r>
      <w:r w:rsidR="005C109E">
        <w:rPr>
          <w:rFonts w:ascii="TimesNewRomanPSMT" w:hAnsi="TimesNewRomanPSMT" w:cs="TimesNewRomanPSMT"/>
        </w:rPr>
        <w:t xml:space="preserve"> and hereby approve them</w:t>
      </w:r>
      <w:r w:rsidR="00225360">
        <w:rPr>
          <w:rFonts w:ascii="TimesNewRomanPSMT" w:hAnsi="TimesNewRomanPSMT" w:cs="TimesNewRomanPSMT"/>
        </w:rPr>
        <w:t>.</w:t>
      </w:r>
    </w:p>
    <w:p w:rsidR="00396D06" w:rsidRDefault="00396D06" w:rsidP="00225360">
      <w:pPr>
        <w:autoSpaceDE w:val="0"/>
        <w:autoSpaceDN w:val="0"/>
        <w:adjustRightInd w:val="0"/>
        <w:rPr>
          <w:rFonts w:ascii="TimesNewRomanPSMT" w:hAnsi="TimesNewRomanPSMT" w:cs="TimesNewRomanPSMT"/>
        </w:rPr>
      </w:pPr>
    </w:p>
    <w:p w:rsidR="005C109E" w:rsidRDefault="00225360" w:rsidP="005C109E">
      <w:pPr>
        <w:autoSpaceDE w:val="0"/>
        <w:autoSpaceDN w:val="0"/>
        <w:adjustRightInd w:val="0"/>
        <w:jc w:val="center"/>
        <w:rPr>
          <w:rFonts w:ascii="TimesNewRomanPSMT" w:hAnsi="TimesNewRomanPSMT" w:cs="TimesNewRomanPSMT"/>
        </w:rPr>
      </w:pPr>
      <w:r>
        <w:rPr>
          <w:rFonts w:ascii="TimesNewRomanPSMT" w:hAnsi="TimesNewRomanPSMT" w:cs="TimesNewRomanPSMT"/>
        </w:rPr>
        <w:t>Table 1</w:t>
      </w:r>
    </w:p>
    <w:p w:rsidR="00225360" w:rsidRDefault="00225360" w:rsidP="005C109E">
      <w:pPr>
        <w:autoSpaceDE w:val="0"/>
        <w:autoSpaceDN w:val="0"/>
        <w:adjustRightInd w:val="0"/>
        <w:jc w:val="center"/>
        <w:rPr>
          <w:rFonts w:ascii="TimesNewRomanPSMT" w:hAnsi="TimesNewRomanPSMT" w:cs="TimesNewRomanPSMT"/>
        </w:rPr>
      </w:pPr>
      <w:r>
        <w:rPr>
          <w:rFonts w:ascii="TimesNewRomanPSMT" w:hAnsi="TimesNewRomanPSMT" w:cs="TimesNewRomanPSMT"/>
        </w:rPr>
        <w:t>Depreciation Parameters and Rates</w:t>
      </w:r>
    </w:p>
    <w:tbl>
      <w:tblPr>
        <w:tblStyle w:val="TableGrid"/>
        <w:tblW w:w="0" w:type="auto"/>
        <w:tblLook w:val="04A0" w:firstRow="1" w:lastRow="0" w:firstColumn="1" w:lastColumn="0" w:noHBand="0" w:noVBand="1"/>
      </w:tblPr>
      <w:tblGrid>
        <w:gridCol w:w="1098"/>
        <w:gridCol w:w="5040"/>
        <w:gridCol w:w="990"/>
        <w:gridCol w:w="810"/>
        <w:gridCol w:w="1638"/>
      </w:tblGrid>
      <w:tr w:rsidR="005C109E" w:rsidTr="005C109E">
        <w:tc>
          <w:tcPr>
            <w:tcW w:w="1098" w:type="dxa"/>
          </w:tcPr>
          <w:p w:rsidR="005C109E" w:rsidRDefault="005C109E"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Acct No.</w:t>
            </w:r>
          </w:p>
        </w:tc>
        <w:tc>
          <w:tcPr>
            <w:tcW w:w="5040" w:type="dxa"/>
          </w:tcPr>
          <w:p w:rsidR="005C109E" w:rsidRDefault="005C109E"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Account Description</w:t>
            </w:r>
          </w:p>
        </w:tc>
        <w:tc>
          <w:tcPr>
            <w:tcW w:w="990" w:type="dxa"/>
          </w:tcPr>
          <w:p w:rsidR="005C109E" w:rsidRDefault="005C109E" w:rsidP="005C109E">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ASL</w:t>
            </w:r>
          </w:p>
          <w:p w:rsidR="005C109E" w:rsidRDefault="005C109E" w:rsidP="005C109E">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(year)</w:t>
            </w:r>
          </w:p>
        </w:tc>
        <w:tc>
          <w:tcPr>
            <w:tcW w:w="810" w:type="dxa"/>
          </w:tcPr>
          <w:p w:rsidR="005C109E" w:rsidRDefault="005C109E" w:rsidP="005C109E">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NS</w:t>
            </w:r>
          </w:p>
          <w:p w:rsidR="005C109E" w:rsidRDefault="005C109E" w:rsidP="005C109E">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w:t>
            </w:r>
          </w:p>
        </w:tc>
        <w:tc>
          <w:tcPr>
            <w:tcW w:w="1638" w:type="dxa"/>
          </w:tcPr>
          <w:p w:rsidR="005C109E" w:rsidRDefault="005C109E"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Depreciation</w:t>
            </w:r>
          </w:p>
          <w:p w:rsidR="005C109E" w:rsidRDefault="005C109E" w:rsidP="005C109E">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Rate (%)</w:t>
            </w:r>
          </w:p>
        </w:tc>
      </w:tr>
      <w:tr w:rsidR="005C109E" w:rsidTr="005C109E">
        <w:tc>
          <w:tcPr>
            <w:tcW w:w="1098" w:type="dxa"/>
          </w:tcPr>
          <w:p w:rsidR="005C109E" w:rsidRDefault="005C109E" w:rsidP="005C109E">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341.98</w:t>
            </w:r>
          </w:p>
        </w:tc>
        <w:tc>
          <w:tcPr>
            <w:tcW w:w="5040" w:type="dxa"/>
          </w:tcPr>
          <w:p w:rsidR="005C109E" w:rsidRDefault="005C109E" w:rsidP="00D56218">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Structure and </w:t>
            </w:r>
            <w:r w:rsidR="00D56218">
              <w:rPr>
                <w:rFonts w:ascii="TimesNewRomanPSMT" w:hAnsi="TimesNewRomanPSMT" w:cs="TimesNewRomanPSMT"/>
                <w:sz w:val="22"/>
                <w:szCs w:val="22"/>
              </w:rPr>
              <w:t>I</w:t>
            </w:r>
            <w:r>
              <w:rPr>
                <w:rFonts w:ascii="TimesNewRomanPSMT" w:hAnsi="TimesNewRomanPSMT" w:cs="TimesNewRomanPSMT"/>
                <w:sz w:val="22"/>
                <w:szCs w:val="22"/>
              </w:rPr>
              <w:t>mprovements – DC Microgrid</w:t>
            </w:r>
          </w:p>
        </w:tc>
        <w:tc>
          <w:tcPr>
            <w:tcW w:w="99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30</w:t>
            </w:r>
          </w:p>
        </w:tc>
        <w:tc>
          <w:tcPr>
            <w:tcW w:w="81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0</w:t>
            </w:r>
          </w:p>
        </w:tc>
        <w:tc>
          <w:tcPr>
            <w:tcW w:w="1638"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3.3</w:t>
            </w:r>
          </w:p>
        </w:tc>
      </w:tr>
      <w:tr w:rsidR="005C109E" w:rsidTr="005C109E">
        <w:tc>
          <w:tcPr>
            <w:tcW w:w="1098" w:type="dxa"/>
          </w:tcPr>
          <w:p w:rsidR="005C109E" w:rsidRDefault="005C109E" w:rsidP="005C109E">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343.98</w:t>
            </w:r>
          </w:p>
        </w:tc>
        <w:tc>
          <w:tcPr>
            <w:tcW w:w="5040" w:type="dxa"/>
          </w:tcPr>
          <w:p w:rsidR="005C109E" w:rsidRDefault="004F6B28"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Prime Movers – DC Microgrid</w:t>
            </w:r>
          </w:p>
        </w:tc>
        <w:tc>
          <w:tcPr>
            <w:tcW w:w="99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30</w:t>
            </w:r>
          </w:p>
        </w:tc>
        <w:tc>
          <w:tcPr>
            <w:tcW w:w="81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0</w:t>
            </w:r>
          </w:p>
        </w:tc>
        <w:tc>
          <w:tcPr>
            <w:tcW w:w="1638"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3.3</w:t>
            </w:r>
          </w:p>
        </w:tc>
      </w:tr>
      <w:tr w:rsidR="005C109E" w:rsidTr="005C109E">
        <w:tc>
          <w:tcPr>
            <w:tcW w:w="1098" w:type="dxa"/>
          </w:tcPr>
          <w:p w:rsidR="005C109E" w:rsidRDefault="005C109E"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345.98</w:t>
            </w:r>
          </w:p>
        </w:tc>
        <w:tc>
          <w:tcPr>
            <w:tcW w:w="5040" w:type="dxa"/>
          </w:tcPr>
          <w:p w:rsidR="005C109E" w:rsidRDefault="004F6B28"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Accessory Electric Equipment – DC Microgrid</w:t>
            </w:r>
          </w:p>
        </w:tc>
        <w:tc>
          <w:tcPr>
            <w:tcW w:w="99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30</w:t>
            </w:r>
          </w:p>
        </w:tc>
        <w:tc>
          <w:tcPr>
            <w:tcW w:w="81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0</w:t>
            </w:r>
          </w:p>
        </w:tc>
        <w:tc>
          <w:tcPr>
            <w:tcW w:w="1638"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3.3</w:t>
            </w:r>
          </w:p>
        </w:tc>
      </w:tr>
      <w:tr w:rsidR="005C109E" w:rsidTr="005C109E">
        <w:tc>
          <w:tcPr>
            <w:tcW w:w="1098" w:type="dxa"/>
          </w:tcPr>
          <w:p w:rsidR="005C109E" w:rsidRDefault="005C109E"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348.98</w:t>
            </w:r>
          </w:p>
        </w:tc>
        <w:tc>
          <w:tcPr>
            <w:tcW w:w="5040" w:type="dxa"/>
          </w:tcPr>
          <w:p w:rsidR="005C109E" w:rsidRDefault="004F6B28" w:rsidP="002253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Energy Storage Batter Equipment – DC Microgrid</w:t>
            </w:r>
          </w:p>
        </w:tc>
        <w:tc>
          <w:tcPr>
            <w:tcW w:w="99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10</w:t>
            </w:r>
          </w:p>
        </w:tc>
        <w:tc>
          <w:tcPr>
            <w:tcW w:w="810"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0</w:t>
            </w:r>
          </w:p>
        </w:tc>
        <w:tc>
          <w:tcPr>
            <w:tcW w:w="1638" w:type="dxa"/>
          </w:tcPr>
          <w:p w:rsidR="005C109E" w:rsidRDefault="004F6B28" w:rsidP="004F6B28">
            <w:pPr>
              <w:autoSpaceDE w:val="0"/>
              <w:autoSpaceDN w:val="0"/>
              <w:adjustRightInd w:val="0"/>
              <w:jc w:val="center"/>
              <w:rPr>
                <w:rFonts w:ascii="TimesNewRomanPSMT" w:hAnsi="TimesNewRomanPSMT" w:cs="TimesNewRomanPSMT"/>
                <w:sz w:val="22"/>
                <w:szCs w:val="22"/>
              </w:rPr>
            </w:pPr>
            <w:r>
              <w:rPr>
                <w:rFonts w:ascii="TimesNewRomanPSMT" w:hAnsi="TimesNewRomanPSMT" w:cs="TimesNewRomanPSMT"/>
                <w:sz w:val="22"/>
                <w:szCs w:val="22"/>
              </w:rPr>
              <w:t>10.0</w:t>
            </w:r>
          </w:p>
        </w:tc>
      </w:tr>
    </w:tbl>
    <w:p w:rsidR="004F6B28" w:rsidRDefault="004F6B28" w:rsidP="00225360">
      <w:pPr>
        <w:autoSpaceDE w:val="0"/>
        <w:autoSpaceDN w:val="0"/>
        <w:adjustRightInd w:val="0"/>
        <w:rPr>
          <w:rFonts w:ascii="TimesNewRomanPSMT" w:hAnsi="TimesNewRomanPSMT" w:cs="TimesNewRomanPSMT"/>
        </w:rPr>
      </w:pPr>
    </w:p>
    <w:p w:rsidR="00225360" w:rsidRDefault="004F6B28" w:rsidP="004F6B28">
      <w:pPr>
        <w:jc w:val="both"/>
        <w:rPr>
          <w:rFonts w:ascii="TimesNewRomanPSMT" w:hAnsi="TimesNewRomanPSMT" w:cs="TimesNewRomanPSMT"/>
          <w:sz w:val="16"/>
          <w:szCs w:val="16"/>
        </w:rPr>
      </w:pPr>
      <w:r>
        <w:tab/>
      </w:r>
      <w:r w:rsidR="00225360">
        <w:t>TECO will include the new subaccounts, if approved, in its next depreciation study filed with th</w:t>
      </w:r>
      <w:r>
        <w:t xml:space="preserve">is </w:t>
      </w:r>
      <w:r w:rsidR="00225360">
        <w:rPr>
          <w:rFonts w:ascii="TimesNewRomanPSMT" w:hAnsi="TimesNewRomanPSMT" w:cs="TimesNewRomanPSMT"/>
        </w:rPr>
        <w:t>Commission.</w:t>
      </w:r>
      <w:r>
        <w:rPr>
          <w:rStyle w:val="FootnoteReference"/>
          <w:rFonts w:ascii="TimesNewRomanPSMT" w:hAnsi="TimesNewRomanPSMT" w:cs="TimesNewRomanPSMT"/>
        </w:rPr>
        <w:footnoteReference w:id="21"/>
      </w:r>
      <w:r w:rsidR="00D56218">
        <w:rPr>
          <w:rFonts w:ascii="TimesNewRomanPSMT" w:hAnsi="TimesNewRomanPSMT" w:cs="TimesNewRomanPSMT"/>
        </w:rPr>
        <w:t xml:space="preserve">  </w:t>
      </w:r>
      <w:r w:rsidR="00225360">
        <w:rPr>
          <w:rFonts w:ascii="TimesNewRomanPSMT" w:hAnsi="TimesNewRomanPSMT" w:cs="TimesNewRomanPSMT"/>
        </w:rPr>
        <w:t>Consistent with Order No. PSC 2021-0237-PAA-EI, the Company will pursue</w:t>
      </w:r>
      <w:r>
        <w:rPr>
          <w:rFonts w:ascii="TimesNewRomanPSMT" w:hAnsi="TimesNewRomanPSMT" w:cs="TimesNewRomanPSMT"/>
        </w:rPr>
        <w:t xml:space="preserve"> </w:t>
      </w:r>
      <w:r w:rsidR="00225360">
        <w:rPr>
          <w:rFonts w:ascii="TimesNewRomanPSMT" w:hAnsi="TimesNewRomanPSMT" w:cs="TimesNewRomanPSMT"/>
        </w:rPr>
        <w:t>cost recovery for the Pilot in its next general base rate case.</w:t>
      </w:r>
      <w:r>
        <w:rPr>
          <w:rStyle w:val="FootnoteReference"/>
          <w:rFonts w:ascii="TimesNewRomanPSMT" w:hAnsi="TimesNewRomanPSMT" w:cs="TimesNewRomanPSMT"/>
        </w:rPr>
        <w:footnoteReference w:id="22"/>
      </w:r>
    </w:p>
    <w:p w:rsidR="004F6B28" w:rsidRDefault="004F6B28" w:rsidP="004F6B28">
      <w:pPr>
        <w:rPr>
          <w:rFonts w:ascii="TimesNewRomanPSMT" w:hAnsi="TimesNewRomanPSMT" w:cs="TimesNewRomanPSMT"/>
          <w:sz w:val="16"/>
          <w:szCs w:val="16"/>
        </w:rPr>
      </w:pPr>
    </w:p>
    <w:p w:rsidR="00225360" w:rsidRDefault="004F6B28" w:rsidP="004F6B28">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225360">
        <w:rPr>
          <w:rFonts w:ascii="TimesNewRomanPSMT" w:hAnsi="TimesNewRomanPSMT" w:cs="TimesNewRomanPSMT"/>
        </w:rPr>
        <w:t>When the Pilot is suspended by TECO, either at the end of year one or four</w:t>
      </w:r>
      <w:r w:rsidR="00D56218">
        <w:rPr>
          <w:rFonts w:ascii="TimesNewRomanPSMT" w:hAnsi="TimesNewRomanPSMT" w:cs="TimesNewRomanPSMT"/>
        </w:rPr>
        <w:t>,</w:t>
      </w:r>
      <w:r w:rsidR="003922C2">
        <w:rPr>
          <w:rStyle w:val="FootnoteReference"/>
          <w:rFonts w:ascii="TimesNewRomanPSMT" w:hAnsi="TimesNewRomanPSMT" w:cs="TimesNewRomanPSMT"/>
        </w:rPr>
        <w:footnoteReference w:id="23"/>
      </w:r>
      <w:r w:rsidR="00D56218">
        <w:rPr>
          <w:rFonts w:ascii="TimesNewRomanPSMT" w:hAnsi="TimesNewRomanPSMT" w:cs="TimesNewRomanPSMT"/>
        </w:rPr>
        <w:t xml:space="preserve"> </w:t>
      </w:r>
      <w:r w:rsidR="00225360">
        <w:rPr>
          <w:rFonts w:ascii="TimesNewRomanPSMT" w:hAnsi="TimesNewRomanPSMT" w:cs="TimesNewRomanPSMT"/>
        </w:rPr>
        <w:t>the undepreciated</w:t>
      </w:r>
      <w:r>
        <w:rPr>
          <w:rFonts w:ascii="TimesNewRomanPSMT" w:hAnsi="TimesNewRomanPSMT" w:cs="TimesNewRomanPSMT"/>
        </w:rPr>
        <w:t xml:space="preserve"> </w:t>
      </w:r>
      <w:r w:rsidR="00225360">
        <w:rPr>
          <w:rFonts w:ascii="TimesNewRomanPSMT" w:hAnsi="TimesNewRomanPSMT" w:cs="TimesNewRomanPSMT"/>
        </w:rPr>
        <w:t>amount of the plant assets will stay in service at their current location to serve the customers and</w:t>
      </w:r>
      <w:r>
        <w:rPr>
          <w:rFonts w:ascii="TimesNewRomanPSMT" w:hAnsi="TimesNewRomanPSMT" w:cs="TimesNewRomanPSMT"/>
        </w:rPr>
        <w:t xml:space="preserve"> </w:t>
      </w:r>
      <w:r w:rsidR="00225360">
        <w:rPr>
          <w:rFonts w:ascii="TimesNewRomanPSMT" w:hAnsi="TimesNewRomanPSMT" w:cs="TimesNewRomanPSMT"/>
        </w:rPr>
        <w:t>provide generation as needed to the grid.</w:t>
      </w:r>
      <w:r w:rsidR="003922C2">
        <w:rPr>
          <w:rStyle w:val="FootnoteReference"/>
          <w:rFonts w:ascii="TimesNewRomanPSMT" w:hAnsi="TimesNewRomanPSMT" w:cs="TimesNewRomanPSMT"/>
        </w:rPr>
        <w:footnoteReference w:id="24"/>
      </w:r>
      <w:r w:rsidR="000E7CC7">
        <w:rPr>
          <w:rFonts w:ascii="TimesNewRomanPSMT" w:hAnsi="TimesNewRomanPSMT" w:cs="TimesNewRomanPSMT"/>
        </w:rPr>
        <w:t xml:space="preserve">  </w:t>
      </w:r>
      <w:r w:rsidR="00225360">
        <w:rPr>
          <w:rFonts w:ascii="TimesNewRomanPSMT" w:hAnsi="TimesNewRomanPSMT" w:cs="TimesNewRomanPSMT"/>
        </w:rPr>
        <w:t>When a Pilot customer chooses to terminate their DC</w:t>
      </w:r>
      <w:r>
        <w:rPr>
          <w:rFonts w:ascii="TimesNewRomanPSMT" w:hAnsi="TimesNewRomanPSMT" w:cs="TimesNewRomanPSMT"/>
        </w:rPr>
        <w:t xml:space="preserve"> </w:t>
      </w:r>
      <w:r w:rsidR="00225360">
        <w:rPr>
          <w:rFonts w:ascii="TimesNewRomanPSMT" w:hAnsi="TimesNewRomanPSMT" w:cs="TimesNewRomanPSMT"/>
        </w:rPr>
        <w:t>service, the affected equipment, excepting the solar panels, will be relocated and placed into</w:t>
      </w:r>
      <w:r>
        <w:rPr>
          <w:rFonts w:ascii="TimesNewRomanPSMT" w:hAnsi="TimesNewRomanPSMT" w:cs="TimesNewRomanPSMT"/>
        </w:rPr>
        <w:t xml:space="preserve"> </w:t>
      </w:r>
      <w:r w:rsidR="00225360">
        <w:rPr>
          <w:rFonts w:ascii="TimesNewRomanPSMT" w:hAnsi="TimesNewRomanPSMT" w:cs="TimesNewRomanPSMT"/>
        </w:rPr>
        <w:t>service, provided that the equipment can be repurposed within the Company’s operating system.</w:t>
      </w:r>
      <w:r w:rsidR="00D56218">
        <w:rPr>
          <w:rFonts w:ascii="TimesNewRomanPSMT" w:hAnsi="TimesNewRomanPSMT" w:cs="TimesNewRomanPSMT"/>
        </w:rPr>
        <w:t xml:space="preserve">  </w:t>
      </w:r>
      <w:r w:rsidR="00225360">
        <w:rPr>
          <w:rFonts w:ascii="TimesNewRomanPSMT" w:hAnsi="TimesNewRomanPSMT" w:cs="TimesNewRomanPSMT"/>
        </w:rPr>
        <w:t>Otherwise, the remaining net book value of the equipment will be imputed and written-off to</w:t>
      </w:r>
      <w:r>
        <w:rPr>
          <w:rFonts w:ascii="TimesNewRomanPSMT" w:hAnsi="TimesNewRomanPSMT" w:cs="TimesNewRomanPSMT"/>
        </w:rPr>
        <w:t xml:space="preserve"> </w:t>
      </w:r>
      <w:r w:rsidR="00225360">
        <w:rPr>
          <w:rFonts w:ascii="TimesNewRomanPSMT" w:hAnsi="TimesNewRomanPSMT" w:cs="TimesNewRomanPSMT"/>
        </w:rPr>
        <w:t>Account 421.2, Loss on Disposition of Property.</w:t>
      </w:r>
      <w:r w:rsidR="003922C2">
        <w:rPr>
          <w:rStyle w:val="FootnoteReference"/>
          <w:rFonts w:ascii="TimesNewRomanPSMT" w:hAnsi="TimesNewRomanPSMT" w:cs="TimesNewRomanPSMT"/>
        </w:rPr>
        <w:footnoteReference w:id="25"/>
      </w:r>
      <w:r w:rsidR="000E7CC7">
        <w:rPr>
          <w:rFonts w:ascii="TimesNewRomanPSMT" w:hAnsi="TimesNewRomanPSMT" w:cs="TimesNewRomanPSMT"/>
        </w:rPr>
        <w:t xml:space="preserve">  </w:t>
      </w:r>
      <w:r w:rsidR="00225360">
        <w:rPr>
          <w:rFonts w:ascii="TimesNewRomanPSMT" w:hAnsi="TimesNewRomanPSMT" w:cs="TimesNewRomanPSMT"/>
        </w:rPr>
        <w:t>With respect to the solar panels, the Pilot</w:t>
      </w:r>
      <w:r>
        <w:rPr>
          <w:rFonts w:ascii="TimesNewRomanPSMT" w:hAnsi="TimesNewRomanPSMT" w:cs="TimesNewRomanPSMT"/>
        </w:rPr>
        <w:t xml:space="preserve"> </w:t>
      </w:r>
      <w:r w:rsidR="00225360">
        <w:rPr>
          <w:rFonts w:ascii="TimesNewRomanPSMT" w:hAnsi="TimesNewRomanPSMT" w:cs="TimesNewRomanPSMT"/>
        </w:rPr>
        <w:t xml:space="preserve">customer can opt to keep them by paying TECO a nominal value of $1.00. </w:t>
      </w:r>
      <w:r w:rsidR="00225360">
        <w:rPr>
          <w:rFonts w:ascii="TimesNewRomanPSMT" w:hAnsi="TimesNewRomanPSMT" w:cs="TimesNewRomanPSMT"/>
        </w:rPr>
        <w:lastRenderedPageBreak/>
        <w:t>Hence, the panels</w:t>
      </w:r>
      <w:r>
        <w:rPr>
          <w:rFonts w:ascii="TimesNewRomanPSMT" w:hAnsi="TimesNewRomanPSMT" w:cs="TimesNewRomanPSMT"/>
        </w:rPr>
        <w:t xml:space="preserve"> </w:t>
      </w:r>
      <w:r w:rsidR="00225360">
        <w:rPr>
          <w:rFonts w:ascii="TimesNewRomanPSMT" w:hAnsi="TimesNewRomanPSMT" w:cs="TimesNewRomanPSMT"/>
        </w:rPr>
        <w:t>could be repurposed to provide that Pilot customer with solar power that would be subject to an</w:t>
      </w:r>
      <w:r>
        <w:rPr>
          <w:rFonts w:ascii="TimesNewRomanPSMT" w:hAnsi="TimesNewRomanPSMT" w:cs="TimesNewRomanPSMT"/>
        </w:rPr>
        <w:t xml:space="preserve"> </w:t>
      </w:r>
      <w:r w:rsidR="00225360">
        <w:rPr>
          <w:rFonts w:ascii="TimesNewRomanPSMT" w:hAnsi="TimesNewRomanPSMT" w:cs="TimesNewRomanPSMT"/>
        </w:rPr>
        <w:t>interconnection agreement with TECO.</w:t>
      </w:r>
      <w:r w:rsidR="003922C2">
        <w:rPr>
          <w:rStyle w:val="FootnoteReference"/>
          <w:rFonts w:ascii="TimesNewRomanPSMT" w:hAnsi="TimesNewRomanPSMT" w:cs="TimesNewRomanPSMT"/>
        </w:rPr>
        <w:footnoteReference w:id="26"/>
      </w:r>
    </w:p>
    <w:p w:rsidR="003922C2" w:rsidRDefault="003922C2" w:rsidP="004F6B28">
      <w:pPr>
        <w:autoSpaceDE w:val="0"/>
        <w:autoSpaceDN w:val="0"/>
        <w:adjustRightInd w:val="0"/>
        <w:jc w:val="both"/>
        <w:rPr>
          <w:rFonts w:ascii="TimesNewRomanPSMT" w:hAnsi="TimesNewRomanPSMT" w:cs="TimesNewRomanPSMT"/>
        </w:rPr>
      </w:pPr>
    </w:p>
    <w:p w:rsidR="003922C2" w:rsidRDefault="003922C2" w:rsidP="003922C2">
      <w:pPr>
        <w:autoSpaceDE w:val="0"/>
        <w:autoSpaceDN w:val="0"/>
        <w:adjustRightInd w:val="0"/>
        <w:jc w:val="both"/>
      </w:pPr>
      <w:r>
        <w:tab/>
      </w:r>
      <w:r w:rsidRPr="003922C2">
        <w:t>Depreciation is the recovery of invested capital representing equipment that is</w:t>
      </w:r>
      <w:r>
        <w:t xml:space="preserve"> </w:t>
      </w:r>
      <w:r w:rsidRPr="003922C2">
        <w:t>providing service to the public.</w:t>
      </w:r>
      <w:r w:rsidR="000E7CC7">
        <w:t xml:space="preserve">  </w:t>
      </w:r>
      <w:r w:rsidRPr="003922C2">
        <w:t>This recovery is designed to take place over the related period of</w:t>
      </w:r>
      <w:r>
        <w:t xml:space="preserve"> </w:t>
      </w:r>
      <w:r w:rsidRPr="003922C2">
        <w:t>service to the public, which begins with the equipment’s in-service date.</w:t>
      </w:r>
      <w:r w:rsidR="000E7CC7">
        <w:t xml:space="preserve">  </w:t>
      </w:r>
      <w:r w:rsidRPr="003922C2">
        <w:t>The Pilot-related Block</w:t>
      </w:r>
      <w:r>
        <w:t xml:space="preserve"> E</w:t>
      </w:r>
      <w:r w:rsidRPr="003922C2">
        <w:t xml:space="preserve">nergy System is currently in the final stages of commissioning and testing. </w:t>
      </w:r>
      <w:r>
        <w:t xml:space="preserve"> </w:t>
      </w:r>
      <w:r w:rsidRPr="003922C2">
        <w:t>The target in-service</w:t>
      </w:r>
      <w:r>
        <w:t xml:space="preserve"> </w:t>
      </w:r>
      <w:r w:rsidRPr="003922C2">
        <w:t>date is February 8, 2022, according to the Company’s latest data request response.</w:t>
      </w:r>
      <w:r>
        <w:rPr>
          <w:rStyle w:val="FootnoteReference"/>
        </w:rPr>
        <w:footnoteReference w:id="27"/>
      </w:r>
      <w:r w:rsidR="000E7CC7">
        <w:t xml:space="preserve"> </w:t>
      </w:r>
      <w:r>
        <w:t xml:space="preserve"> For this reason, we find that the </w:t>
      </w:r>
      <w:r w:rsidR="00AC16D7">
        <w:t>depreciation subaccounts and the corresponding parameters and rates approved herein shall become effective on the date that the Pilot-related Block Energy System is placed into service.</w:t>
      </w:r>
    </w:p>
    <w:p w:rsidR="00AC16D7" w:rsidRDefault="00AC16D7" w:rsidP="003922C2">
      <w:pPr>
        <w:autoSpaceDE w:val="0"/>
        <w:autoSpaceDN w:val="0"/>
        <w:adjustRightInd w:val="0"/>
        <w:jc w:val="both"/>
      </w:pPr>
    </w:p>
    <w:p w:rsidR="00AC16D7" w:rsidRDefault="00AC16D7" w:rsidP="003922C2">
      <w:pPr>
        <w:autoSpaceDE w:val="0"/>
        <w:autoSpaceDN w:val="0"/>
        <w:adjustRightInd w:val="0"/>
        <w:jc w:val="both"/>
      </w:pPr>
      <w:r>
        <w:tab/>
        <w:t>Based on the foregoing, it is</w:t>
      </w:r>
    </w:p>
    <w:p w:rsidR="00AC16D7" w:rsidRDefault="00AC16D7" w:rsidP="003922C2">
      <w:pPr>
        <w:autoSpaceDE w:val="0"/>
        <w:autoSpaceDN w:val="0"/>
        <w:adjustRightInd w:val="0"/>
        <w:jc w:val="both"/>
      </w:pPr>
    </w:p>
    <w:p w:rsidR="00AC16D7" w:rsidRDefault="00AC16D7" w:rsidP="003922C2">
      <w:pPr>
        <w:autoSpaceDE w:val="0"/>
        <w:autoSpaceDN w:val="0"/>
        <w:adjustRightInd w:val="0"/>
        <w:jc w:val="both"/>
      </w:pPr>
      <w:r>
        <w:tab/>
        <w:t>ORDERED by the Florida Public Service Commission that Tampa Electric Company’s petition for approval of depreciation rates for its direct current microgrid pilot equipment is hereby approved as stated in the body of this Order.  It is further</w:t>
      </w:r>
    </w:p>
    <w:p w:rsidR="00AC16D7" w:rsidRDefault="00AC16D7" w:rsidP="003922C2">
      <w:pPr>
        <w:autoSpaceDE w:val="0"/>
        <w:autoSpaceDN w:val="0"/>
        <w:adjustRightInd w:val="0"/>
        <w:jc w:val="both"/>
      </w:pPr>
    </w:p>
    <w:p w:rsidR="00AC16D7" w:rsidRDefault="00AC16D7" w:rsidP="00AC16D7">
      <w:pPr>
        <w:autoSpaceDE w:val="0"/>
        <w:autoSpaceDN w:val="0"/>
        <w:adjustRightInd w:val="0"/>
        <w:jc w:val="both"/>
      </w:pPr>
      <w:r>
        <w:tab/>
        <w:t xml:space="preserve">ORDERED that </w:t>
      </w:r>
      <w:r w:rsidR="0088433D">
        <w:t xml:space="preserve">the </w:t>
      </w:r>
      <w:r>
        <w:t>depreciation subaccounts and the corresponding parameters and rates approved herein shall become effective on the date that the Pilot-related Block Energy System is placed into service.  It is further</w:t>
      </w:r>
    </w:p>
    <w:p w:rsidR="00AC16D7" w:rsidRDefault="00AC16D7" w:rsidP="00AC16D7">
      <w:pPr>
        <w:autoSpaceDE w:val="0"/>
        <w:autoSpaceDN w:val="0"/>
        <w:adjustRightInd w:val="0"/>
        <w:jc w:val="both"/>
      </w:pPr>
    </w:p>
    <w:p w:rsidR="0088433D" w:rsidRDefault="00AC16D7" w:rsidP="00AC16D7">
      <w:pPr>
        <w:autoSpaceDE w:val="0"/>
        <w:autoSpaceDN w:val="0"/>
        <w:adjustRightInd w:val="0"/>
        <w:jc w:val="both"/>
      </w:pPr>
      <w:r>
        <w:tab/>
        <w:t xml:space="preserve">ORDERED that the provisions of this Order, issued as proposed agency action shall become final and effective upon the issuance of a Consummating Order unless an appropriate petition, in the form provided by Rule 28-106.201, F.A.C., is received </w:t>
      </w:r>
      <w:r w:rsidR="0088433D">
        <w:t xml:space="preserve">by the Office of the Commission Clerk, 2540 Shumard Oak Boulevard, Tallahassee, Florida 32399-0850, by the close of business on the date set forth in the “Notice of Further Proceedings” attached hereto.  </w:t>
      </w:r>
      <w:r w:rsidR="002C782E">
        <w:t>It is further</w:t>
      </w:r>
    </w:p>
    <w:p w:rsidR="002C782E" w:rsidRDefault="002C782E" w:rsidP="00AC16D7">
      <w:pPr>
        <w:autoSpaceDE w:val="0"/>
        <w:autoSpaceDN w:val="0"/>
        <w:adjustRightInd w:val="0"/>
        <w:jc w:val="both"/>
      </w:pPr>
    </w:p>
    <w:p w:rsidR="002C782E" w:rsidRDefault="002C782E" w:rsidP="00AC16D7">
      <w:pPr>
        <w:autoSpaceDE w:val="0"/>
        <w:autoSpaceDN w:val="0"/>
        <w:adjustRightInd w:val="0"/>
        <w:jc w:val="both"/>
      </w:pPr>
      <w:r>
        <w:tab/>
        <w:t>ORDERED that at the conclusion of the protest period, if no protest is filed, this docket shall be closed upon the issuance of a consummating order.</w:t>
      </w:r>
    </w:p>
    <w:p w:rsidR="0088433D" w:rsidRDefault="0088433D" w:rsidP="00AC16D7">
      <w:pPr>
        <w:autoSpaceDE w:val="0"/>
        <w:autoSpaceDN w:val="0"/>
        <w:adjustRightInd w:val="0"/>
        <w:jc w:val="both"/>
      </w:pPr>
    </w:p>
    <w:p w:rsidR="0088433D" w:rsidRDefault="0088433D" w:rsidP="0088433D">
      <w:pPr>
        <w:keepNext/>
        <w:keepLines/>
        <w:autoSpaceDE w:val="0"/>
        <w:autoSpaceDN w:val="0"/>
        <w:adjustRightInd w:val="0"/>
        <w:jc w:val="both"/>
      </w:pPr>
      <w:r>
        <w:lastRenderedPageBreak/>
        <w:tab/>
        <w:t xml:space="preserve">By ORDER of the Florida Public Service Commission this </w:t>
      </w:r>
      <w:bookmarkStart w:id="6" w:name="replaceDate"/>
      <w:bookmarkEnd w:id="6"/>
      <w:r w:rsidR="00B0471D">
        <w:rPr>
          <w:u w:val="single"/>
        </w:rPr>
        <w:t>18th</w:t>
      </w:r>
      <w:r w:rsidR="00B0471D">
        <w:t xml:space="preserve"> day of </w:t>
      </w:r>
      <w:r w:rsidR="00B0471D">
        <w:rPr>
          <w:u w:val="single"/>
        </w:rPr>
        <w:t>March</w:t>
      </w:r>
      <w:r w:rsidR="00B0471D">
        <w:t xml:space="preserve">, </w:t>
      </w:r>
      <w:r w:rsidR="00B0471D">
        <w:rPr>
          <w:u w:val="single"/>
        </w:rPr>
        <w:t>2022</w:t>
      </w:r>
      <w:r w:rsidR="00B0471D">
        <w:t>.</w:t>
      </w:r>
    </w:p>
    <w:p w:rsidR="00B0471D" w:rsidRPr="00B0471D" w:rsidRDefault="00B0471D" w:rsidP="0088433D">
      <w:pPr>
        <w:keepNext/>
        <w:keepLines/>
        <w:autoSpaceDE w:val="0"/>
        <w:autoSpaceDN w:val="0"/>
        <w:adjustRightInd w:val="0"/>
        <w:jc w:val="both"/>
      </w:pPr>
    </w:p>
    <w:p w:rsidR="0088433D" w:rsidRDefault="0088433D" w:rsidP="0088433D">
      <w:pPr>
        <w:keepNext/>
        <w:keepLines/>
        <w:autoSpaceDE w:val="0"/>
        <w:autoSpaceDN w:val="0"/>
        <w:adjustRightInd w:val="0"/>
        <w:jc w:val="both"/>
      </w:pPr>
    </w:p>
    <w:p w:rsidR="0088433D" w:rsidRDefault="0088433D" w:rsidP="0088433D">
      <w:pPr>
        <w:keepNext/>
        <w:keepLines/>
        <w:autoSpaceDE w:val="0"/>
        <w:autoSpaceDN w:val="0"/>
        <w:adjustRightInd w:val="0"/>
        <w:jc w:val="both"/>
      </w:pPr>
    </w:p>
    <w:tbl>
      <w:tblPr>
        <w:tblW w:w="4720" w:type="dxa"/>
        <w:tblInd w:w="3800" w:type="dxa"/>
        <w:tblLayout w:type="fixed"/>
        <w:tblLook w:val="0000" w:firstRow="0" w:lastRow="0" w:firstColumn="0" w:lastColumn="0" w:noHBand="0" w:noVBand="0"/>
      </w:tblPr>
      <w:tblGrid>
        <w:gridCol w:w="686"/>
        <w:gridCol w:w="4034"/>
      </w:tblGrid>
      <w:tr w:rsidR="0088433D" w:rsidTr="0088433D">
        <w:tc>
          <w:tcPr>
            <w:tcW w:w="720" w:type="dxa"/>
            <w:shd w:val="clear" w:color="auto" w:fill="auto"/>
          </w:tcPr>
          <w:p w:rsidR="0088433D" w:rsidRDefault="0088433D" w:rsidP="0088433D">
            <w:pPr>
              <w:keepNext/>
              <w:keepLines/>
              <w:autoSpaceDE w:val="0"/>
              <w:autoSpaceDN w:val="0"/>
              <w:adjustRightInd w:val="0"/>
              <w:jc w:val="both"/>
              <w:rPr>
                <w:rFonts w:ascii="TimesNewRomanPSMT" w:hAnsi="TimesNewRomanPSMT" w:cs="TimesNewRomanPSMT"/>
              </w:rPr>
            </w:pPr>
            <w:bookmarkStart w:id="7" w:name="bkmrkSignature" w:colFirst="0" w:colLast="0"/>
          </w:p>
        </w:tc>
        <w:tc>
          <w:tcPr>
            <w:tcW w:w="4320" w:type="dxa"/>
            <w:tcBorders>
              <w:bottom w:val="single" w:sz="4" w:space="0" w:color="auto"/>
            </w:tcBorders>
            <w:shd w:val="clear" w:color="auto" w:fill="auto"/>
          </w:tcPr>
          <w:p w:rsidR="0088433D" w:rsidRDefault="00B0471D" w:rsidP="0088433D">
            <w:pPr>
              <w:keepNext/>
              <w:keepLines/>
              <w:autoSpaceDE w:val="0"/>
              <w:autoSpaceDN w:val="0"/>
              <w:adjustRightInd w:val="0"/>
              <w:jc w:val="both"/>
              <w:rPr>
                <w:rFonts w:ascii="TimesNewRomanPSMT" w:hAnsi="TimesNewRomanPSMT" w:cs="TimesNewRomanPSMT"/>
              </w:rPr>
            </w:pPr>
            <w:r>
              <w:rPr>
                <w:rFonts w:ascii="TimesNewRomanPSMT" w:hAnsi="TimesNewRomanPSMT" w:cs="TimesNewRomanPSMT"/>
              </w:rPr>
              <w:t>/s/ Adam J. Teitzman</w:t>
            </w:r>
            <w:bookmarkStart w:id="8" w:name="_GoBack"/>
            <w:bookmarkEnd w:id="8"/>
          </w:p>
        </w:tc>
      </w:tr>
      <w:bookmarkEnd w:id="7"/>
      <w:tr w:rsidR="0088433D" w:rsidTr="0088433D">
        <w:tc>
          <w:tcPr>
            <w:tcW w:w="720" w:type="dxa"/>
            <w:shd w:val="clear" w:color="auto" w:fill="auto"/>
          </w:tcPr>
          <w:p w:rsidR="0088433D" w:rsidRDefault="0088433D" w:rsidP="0088433D">
            <w:pPr>
              <w:keepNext/>
              <w:keepLines/>
              <w:autoSpaceDE w:val="0"/>
              <w:autoSpaceDN w:val="0"/>
              <w:adjustRightInd w:val="0"/>
              <w:jc w:val="both"/>
              <w:rPr>
                <w:rFonts w:ascii="TimesNewRomanPSMT" w:hAnsi="TimesNewRomanPSMT" w:cs="TimesNewRomanPSMT"/>
              </w:rPr>
            </w:pPr>
          </w:p>
        </w:tc>
        <w:tc>
          <w:tcPr>
            <w:tcW w:w="4320" w:type="dxa"/>
            <w:tcBorders>
              <w:top w:val="single" w:sz="4" w:space="0" w:color="auto"/>
            </w:tcBorders>
            <w:shd w:val="clear" w:color="auto" w:fill="auto"/>
          </w:tcPr>
          <w:p w:rsidR="0088433D" w:rsidRDefault="0088433D" w:rsidP="0088433D">
            <w:pPr>
              <w:keepNext/>
              <w:keepLines/>
              <w:autoSpaceDE w:val="0"/>
              <w:autoSpaceDN w:val="0"/>
              <w:adjustRightInd w:val="0"/>
              <w:jc w:val="both"/>
              <w:rPr>
                <w:rFonts w:ascii="TimesNewRomanPSMT" w:hAnsi="TimesNewRomanPSMT" w:cs="TimesNewRomanPSMT"/>
              </w:rPr>
            </w:pPr>
            <w:r>
              <w:rPr>
                <w:rFonts w:ascii="TimesNewRomanPSMT" w:hAnsi="TimesNewRomanPSMT" w:cs="TimesNewRomanPSMT"/>
              </w:rPr>
              <w:t>ADAM J. TEITZMAN</w:t>
            </w:r>
          </w:p>
          <w:p w:rsidR="0088433D" w:rsidRDefault="0088433D" w:rsidP="0088433D">
            <w:pPr>
              <w:keepNext/>
              <w:keepLines/>
              <w:autoSpaceDE w:val="0"/>
              <w:autoSpaceDN w:val="0"/>
              <w:adjustRightInd w:val="0"/>
              <w:jc w:val="both"/>
              <w:rPr>
                <w:rFonts w:ascii="TimesNewRomanPSMT" w:hAnsi="TimesNewRomanPSMT" w:cs="TimesNewRomanPSMT"/>
              </w:rPr>
            </w:pPr>
            <w:r>
              <w:rPr>
                <w:rFonts w:ascii="TimesNewRomanPSMT" w:hAnsi="TimesNewRomanPSMT" w:cs="TimesNewRomanPSMT"/>
              </w:rPr>
              <w:t>Commission Clerk</w:t>
            </w:r>
          </w:p>
        </w:tc>
      </w:tr>
    </w:tbl>
    <w:p w:rsidR="0088433D" w:rsidRDefault="0088433D" w:rsidP="0088433D">
      <w:pPr>
        <w:pStyle w:val="OrderSigInfo"/>
        <w:keepNext/>
        <w:keepLines/>
      </w:pPr>
      <w:r>
        <w:t>Florida Public Service Commission</w:t>
      </w:r>
    </w:p>
    <w:p w:rsidR="0088433D" w:rsidRDefault="0088433D" w:rsidP="0088433D">
      <w:pPr>
        <w:pStyle w:val="OrderSigInfo"/>
        <w:keepNext/>
        <w:keepLines/>
      </w:pPr>
      <w:r>
        <w:t>2540 Shumard Oak Boulevard</w:t>
      </w:r>
    </w:p>
    <w:p w:rsidR="0088433D" w:rsidRDefault="0088433D" w:rsidP="0088433D">
      <w:pPr>
        <w:pStyle w:val="OrderSigInfo"/>
        <w:keepNext/>
        <w:keepLines/>
      </w:pPr>
      <w:r>
        <w:t>Tallahassee, Florida 32399</w:t>
      </w:r>
    </w:p>
    <w:p w:rsidR="0088433D" w:rsidRDefault="0088433D" w:rsidP="0088433D">
      <w:pPr>
        <w:pStyle w:val="OrderSigInfo"/>
        <w:keepNext/>
        <w:keepLines/>
      </w:pPr>
      <w:r>
        <w:t>(850) 413</w:t>
      </w:r>
      <w:r>
        <w:noBreakHyphen/>
        <w:t>6770</w:t>
      </w:r>
    </w:p>
    <w:p w:rsidR="0088433D" w:rsidRDefault="0088433D" w:rsidP="0088433D">
      <w:pPr>
        <w:pStyle w:val="OrderSigInfo"/>
        <w:keepNext/>
        <w:keepLines/>
      </w:pPr>
      <w:r>
        <w:t>www.floridapsc.com</w:t>
      </w:r>
    </w:p>
    <w:p w:rsidR="0088433D" w:rsidRDefault="0088433D" w:rsidP="0088433D">
      <w:pPr>
        <w:pStyle w:val="OrderSigInfo"/>
        <w:keepNext/>
        <w:keepLines/>
      </w:pPr>
    </w:p>
    <w:p w:rsidR="0088433D" w:rsidRDefault="0088433D" w:rsidP="0088433D">
      <w:pPr>
        <w:pStyle w:val="OrderSigInfo"/>
        <w:keepNext/>
        <w:keepLines/>
      </w:pPr>
      <w:r>
        <w:t>Copies furnished:  A copy of this document is provided to the parties of record at the time of issuance and, if applicable, interested persons.</w:t>
      </w:r>
    </w:p>
    <w:p w:rsidR="0088433D" w:rsidRDefault="0088433D" w:rsidP="0088433D">
      <w:pPr>
        <w:pStyle w:val="OrderBody"/>
        <w:keepNext/>
        <w:keepLines/>
      </w:pPr>
      <w:r>
        <w:t>SBr</w:t>
      </w:r>
    </w:p>
    <w:p w:rsidR="0088433D" w:rsidRDefault="0088433D" w:rsidP="0088433D">
      <w:pPr>
        <w:pStyle w:val="OrderBody"/>
        <w:keepNext/>
        <w:keepLines/>
      </w:pPr>
    </w:p>
    <w:p w:rsidR="0088433D" w:rsidRDefault="0088433D" w:rsidP="0088433D">
      <w:pPr>
        <w:pStyle w:val="CenterUnderline"/>
      </w:pPr>
      <w:r>
        <w:t>NOTICE OF FURTHER PROCEEDINGS OR JUDICIAL REVIEW</w:t>
      </w:r>
    </w:p>
    <w:p w:rsidR="0088433D" w:rsidRDefault="0088433D" w:rsidP="0088433D">
      <w:pPr>
        <w:pStyle w:val="CenterUnderline"/>
      </w:pPr>
    </w:p>
    <w:p w:rsidR="0088433D" w:rsidRDefault="0088433D" w:rsidP="0088433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8433D" w:rsidRDefault="0088433D" w:rsidP="0088433D">
      <w:pPr>
        <w:pStyle w:val="OrderBody"/>
      </w:pPr>
    </w:p>
    <w:p w:rsidR="0088433D" w:rsidRDefault="0088433D" w:rsidP="0088433D">
      <w:pPr>
        <w:pStyle w:val="OrderBody"/>
      </w:pPr>
      <w:r>
        <w:tab/>
        <w:t>Mediation may be available on a case-by-case basis.  If mediation is conducted, it does not affect a substantially interested person's right to a hearing.</w:t>
      </w:r>
    </w:p>
    <w:p w:rsidR="0088433D" w:rsidRDefault="0088433D" w:rsidP="0088433D">
      <w:pPr>
        <w:pStyle w:val="OrderBody"/>
      </w:pPr>
    </w:p>
    <w:p w:rsidR="0088433D" w:rsidRDefault="0088433D" w:rsidP="0088433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0471D">
        <w:rPr>
          <w:u w:val="single"/>
        </w:rPr>
        <w:t>April 8, 2022</w:t>
      </w:r>
      <w:r>
        <w:t>.</w:t>
      </w:r>
    </w:p>
    <w:p w:rsidR="0088433D" w:rsidRDefault="0088433D" w:rsidP="0088433D">
      <w:pPr>
        <w:pStyle w:val="OrderBody"/>
      </w:pPr>
    </w:p>
    <w:p w:rsidR="0088433D" w:rsidRDefault="0088433D" w:rsidP="0088433D">
      <w:pPr>
        <w:pStyle w:val="OrderBody"/>
      </w:pPr>
      <w:r>
        <w:tab/>
        <w:t>In the absence of such a petition, this order shall become final and effective upon the issuance of a Consummating Order.</w:t>
      </w:r>
    </w:p>
    <w:p w:rsidR="0088433D" w:rsidRDefault="0088433D" w:rsidP="0088433D">
      <w:pPr>
        <w:pStyle w:val="OrderBody"/>
      </w:pPr>
    </w:p>
    <w:p w:rsidR="0088433D" w:rsidRDefault="0088433D" w:rsidP="0088433D">
      <w:pPr>
        <w:pStyle w:val="OrderBody"/>
      </w:pPr>
      <w:r>
        <w:tab/>
        <w:t>Any objection or protest filed in this/these docket(s) before the issuance date of this order is considered abandoned unless it satisfies the foregoing conditions and is renewed within the specified protest period.</w:t>
      </w:r>
    </w:p>
    <w:p w:rsidR="0088433D" w:rsidRDefault="0088433D" w:rsidP="0088433D">
      <w:pPr>
        <w:pStyle w:val="OrderBody"/>
      </w:pPr>
    </w:p>
    <w:sectPr w:rsidR="0088433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32" w:rsidRDefault="00412032">
      <w:r>
        <w:separator/>
      </w:r>
    </w:p>
  </w:endnote>
  <w:endnote w:type="continuationSeparator" w:id="0">
    <w:p w:rsidR="00412032" w:rsidRDefault="004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032" w:rsidRDefault="00412032">
    <w:pPr>
      <w:pStyle w:val="Footer"/>
    </w:pPr>
  </w:p>
  <w:p w:rsidR="00412032" w:rsidRDefault="00412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32" w:rsidRDefault="00412032">
      <w:r>
        <w:separator/>
      </w:r>
    </w:p>
  </w:footnote>
  <w:footnote w:type="continuationSeparator" w:id="0">
    <w:p w:rsidR="00412032" w:rsidRDefault="00412032">
      <w:r>
        <w:continuationSeparator/>
      </w:r>
    </w:p>
  </w:footnote>
  <w:footnote w:id="1">
    <w:p w:rsidR="00412032" w:rsidRDefault="00412032">
      <w:pPr>
        <w:pStyle w:val="FootnoteText"/>
      </w:pPr>
      <w:r>
        <w:rPr>
          <w:rStyle w:val="FootnoteReference"/>
        </w:rPr>
        <w:footnoteRef/>
      </w:r>
      <w:r>
        <w:t xml:space="preserve"> Code of Federal Regulations, Title 18, Subchapter C, Part 101, for Major Utilities, as revised April 1, 2013. </w:t>
      </w:r>
    </w:p>
  </w:footnote>
  <w:footnote w:id="2">
    <w:p w:rsidR="00412032" w:rsidRPr="005F5DEB" w:rsidRDefault="00412032">
      <w:pPr>
        <w:pStyle w:val="FootnoteText"/>
        <w:rPr>
          <w:i/>
        </w:rPr>
      </w:pPr>
      <w:r>
        <w:rPr>
          <w:rStyle w:val="FootnoteReference"/>
        </w:rPr>
        <w:footnoteRef/>
      </w:r>
      <w:r>
        <w:t xml:space="preserve"> Order No. PSC-2021-0237-PAA-EI, issued June 30, 2021, in Docket No. 20200234-EI, </w:t>
      </w:r>
      <w:r w:rsidR="002C782E" w:rsidRPr="002C782E">
        <w:rPr>
          <w:i/>
        </w:rPr>
        <w:t>I</w:t>
      </w:r>
      <w:r>
        <w:rPr>
          <w:i/>
        </w:rPr>
        <w:t>n re: Petition for approval of direct current microgrid pilot program and for variance from or waiver of Rule 25-6.065, F.A.C., by Tampa Electric Company.</w:t>
      </w:r>
    </w:p>
  </w:footnote>
  <w:footnote w:id="3">
    <w:p w:rsidR="00412032" w:rsidRDefault="00412032">
      <w:pPr>
        <w:pStyle w:val="FootnoteText"/>
      </w:pPr>
      <w:r>
        <w:rPr>
          <w:rStyle w:val="FootnoteReference"/>
        </w:rPr>
        <w:footnoteRef/>
      </w:r>
      <w:r>
        <w:t xml:space="preserve"> Document No. 00109-2022, TECO’s response to Staff’s First Data Request No. 1.a. </w:t>
      </w:r>
    </w:p>
  </w:footnote>
  <w:footnote w:id="4">
    <w:p w:rsidR="00412032" w:rsidRDefault="00412032">
      <w:pPr>
        <w:pStyle w:val="FootnoteText"/>
      </w:pPr>
      <w:r>
        <w:rPr>
          <w:rStyle w:val="FootnoteReference"/>
        </w:rPr>
        <w:footnoteRef/>
      </w:r>
      <w:r>
        <w:t xml:space="preserve"> Document No. 00109-2022, TECO’s response to Staff’s First Data Request No. 1.c.</w:t>
      </w:r>
    </w:p>
  </w:footnote>
  <w:footnote w:id="5">
    <w:p w:rsidR="00412032" w:rsidRDefault="00412032">
      <w:pPr>
        <w:pStyle w:val="FootnoteText"/>
      </w:pPr>
      <w:r>
        <w:rPr>
          <w:rStyle w:val="FootnoteReference"/>
        </w:rPr>
        <w:footnoteRef/>
      </w:r>
      <w:r>
        <w:t xml:space="preserve"> Order No. PSC-15-0573-PAA-EI, issued December 18, 2015, in Docket No. 20150211-EI, </w:t>
      </w:r>
      <w:r w:rsidRPr="0048535B">
        <w:rPr>
          <w:i/>
        </w:rPr>
        <w:t>In re: Petition for approval of depreciation rates for solar photovoltaic generating units, by Tampa Electric Company</w:t>
      </w:r>
      <w:r>
        <w:t xml:space="preserve">. </w:t>
      </w:r>
    </w:p>
  </w:footnote>
  <w:footnote w:id="6">
    <w:p w:rsidR="00412032" w:rsidRDefault="00412032">
      <w:pPr>
        <w:pStyle w:val="FootnoteText"/>
      </w:pPr>
      <w:r>
        <w:rPr>
          <w:rStyle w:val="FootnoteReference"/>
        </w:rPr>
        <w:footnoteRef/>
      </w:r>
      <w:r>
        <w:t xml:space="preserve"> Document No. 00109-2022, TECO’s response to Staff’s First Data Request No. 1.a.</w:t>
      </w:r>
    </w:p>
  </w:footnote>
  <w:footnote w:id="7">
    <w:p w:rsidR="00412032" w:rsidRPr="0048535B" w:rsidRDefault="00412032">
      <w:pPr>
        <w:pStyle w:val="FootnoteText"/>
        <w:rPr>
          <w:i/>
        </w:rPr>
      </w:pPr>
      <w:r>
        <w:rPr>
          <w:rStyle w:val="FootnoteReference"/>
        </w:rPr>
        <w:footnoteRef/>
      </w:r>
      <w:r>
        <w:t xml:space="preserve"> The “2021 Agreement” was approved by Order No. PSC-2021-0423-S-EI, issued November 10, 2021, in Docket No. </w:t>
      </w:r>
      <w:r w:rsidR="00642CE8">
        <w:t xml:space="preserve">20210034-EI, </w:t>
      </w:r>
      <w:r>
        <w:t xml:space="preserve"> </w:t>
      </w:r>
      <w:r>
        <w:rPr>
          <w:i/>
        </w:rPr>
        <w:t>In re: Petition for rate increase by Tampa Electric Company.</w:t>
      </w:r>
    </w:p>
  </w:footnote>
  <w:footnote w:id="8">
    <w:p w:rsidR="00412032" w:rsidRDefault="00412032">
      <w:pPr>
        <w:pStyle w:val="FootnoteText"/>
      </w:pPr>
      <w:r>
        <w:rPr>
          <w:rStyle w:val="FootnoteReference"/>
        </w:rPr>
        <w:footnoteRef/>
      </w:r>
      <w:r>
        <w:t xml:space="preserve"> Document No. 00109-2022, TECO’s response to Staff’s First Data Request No. 1.c.</w:t>
      </w:r>
    </w:p>
  </w:footnote>
  <w:footnote w:id="9">
    <w:p w:rsidR="00412032" w:rsidRDefault="00412032">
      <w:pPr>
        <w:pStyle w:val="FootnoteText"/>
      </w:pPr>
      <w:r>
        <w:rPr>
          <w:rStyle w:val="FootnoteReference"/>
        </w:rPr>
        <w:footnoteRef/>
      </w:r>
      <w:r>
        <w:t xml:space="preserve"> Document No. 00785-2022, TECO’s response to Staff’s Second Data Request No. 2.a.</w:t>
      </w:r>
    </w:p>
  </w:footnote>
  <w:footnote w:id="10">
    <w:p w:rsidR="00412032" w:rsidRPr="00CB68F2" w:rsidRDefault="00412032">
      <w:pPr>
        <w:pStyle w:val="FootnoteText"/>
        <w:rPr>
          <w:i/>
        </w:rPr>
      </w:pPr>
      <w:r>
        <w:rPr>
          <w:rStyle w:val="FootnoteReference"/>
        </w:rPr>
        <w:footnoteRef/>
      </w:r>
      <w:r>
        <w:t xml:space="preserve"> Order No. PSC-15-0573-PAA-EI, issued December 18, 2015, in Docket No. </w:t>
      </w:r>
      <w:r w:rsidR="00642CE8">
        <w:t>20150211-EI</w:t>
      </w:r>
      <w:r>
        <w:t xml:space="preserve">, </w:t>
      </w:r>
      <w:r>
        <w:rPr>
          <w:i/>
        </w:rPr>
        <w:t>In re: Petition for approval of depreciation rates for solar photovoltaic generating units, by Tampa Electric Company.</w:t>
      </w:r>
    </w:p>
  </w:footnote>
  <w:footnote w:id="11">
    <w:p w:rsidR="00412032" w:rsidRDefault="00412032">
      <w:pPr>
        <w:pStyle w:val="FootnoteText"/>
      </w:pPr>
      <w:r>
        <w:rPr>
          <w:rStyle w:val="FootnoteReference"/>
        </w:rPr>
        <w:footnoteRef/>
      </w:r>
      <w:r>
        <w:t xml:space="preserve"> Document No. 00109-2022, TECO’s response to Staff’s First Data Request No. 2.c.</w:t>
      </w:r>
    </w:p>
  </w:footnote>
  <w:footnote w:id="12">
    <w:p w:rsidR="00412032" w:rsidRDefault="00412032">
      <w:pPr>
        <w:pStyle w:val="FootnoteText"/>
      </w:pPr>
      <w:r>
        <w:rPr>
          <w:rStyle w:val="FootnoteReference"/>
        </w:rPr>
        <w:footnoteRef/>
      </w:r>
      <w:r>
        <w:t xml:space="preserve"> Document No. 00785-2022, TECO’s response to Staff’s First Data Request No. 1.</w:t>
      </w:r>
    </w:p>
  </w:footnote>
  <w:footnote w:id="13">
    <w:p w:rsidR="00412032" w:rsidRPr="002C0CB3" w:rsidRDefault="00412032">
      <w:pPr>
        <w:pStyle w:val="FootnoteText"/>
        <w:rPr>
          <w:i/>
        </w:rPr>
      </w:pPr>
      <w:r>
        <w:rPr>
          <w:rStyle w:val="FootnoteReference"/>
        </w:rPr>
        <w:footnoteRef/>
      </w:r>
      <w:r>
        <w:t xml:space="preserve"> </w:t>
      </w:r>
      <w:r>
        <w:rPr>
          <w:i/>
        </w:rPr>
        <w:t>Id.</w:t>
      </w:r>
    </w:p>
  </w:footnote>
  <w:footnote w:id="14">
    <w:p w:rsidR="00412032" w:rsidRDefault="00412032">
      <w:pPr>
        <w:pStyle w:val="FootnoteText"/>
      </w:pPr>
      <w:r>
        <w:rPr>
          <w:rStyle w:val="FootnoteReference"/>
        </w:rPr>
        <w:footnoteRef/>
      </w:r>
      <w:r>
        <w:t xml:space="preserve"> Document No. 05429-2021, in Docket No. 20110131-EI, Bates-stamped pages 1-3, and Document No. 12501-2021, in Docket No. 20200264-EI, Bates-stamped pages 2463-2464.</w:t>
      </w:r>
    </w:p>
  </w:footnote>
  <w:footnote w:id="15">
    <w:p w:rsidR="00412032" w:rsidRDefault="00412032">
      <w:pPr>
        <w:pStyle w:val="FootnoteText"/>
      </w:pPr>
      <w:r>
        <w:rPr>
          <w:rStyle w:val="FootnoteReference"/>
        </w:rPr>
        <w:footnoteRef/>
      </w:r>
      <w:r>
        <w:t xml:space="preserve"> Document No. 00109-2022, TECO’s response to Staff’s First Data Request No. 1.a. </w:t>
      </w:r>
    </w:p>
  </w:footnote>
  <w:footnote w:id="16">
    <w:p w:rsidR="00412032" w:rsidRDefault="00412032">
      <w:pPr>
        <w:pStyle w:val="FootnoteText"/>
      </w:pPr>
      <w:r>
        <w:rPr>
          <w:rStyle w:val="FootnoteReference"/>
        </w:rPr>
        <w:footnoteRef/>
      </w:r>
      <w:r>
        <w:t xml:space="preserve"> Document No. 00109-2022, TECO’s response to Staff’s First Data Request No. 1.a.</w:t>
      </w:r>
    </w:p>
  </w:footnote>
  <w:footnote w:id="17">
    <w:p w:rsidR="00412032" w:rsidRDefault="00412032">
      <w:pPr>
        <w:pStyle w:val="FootnoteText"/>
      </w:pPr>
      <w:r>
        <w:rPr>
          <w:rStyle w:val="FootnoteReference"/>
        </w:rPr>
        <w:footnoteRef/>
      </w:r>
      <w:r>
        <w:t xml:space="preserve"> Document No. 00109-2022, TECO’s response to Staff’s First Data Request Nos. 4.a. and 4.b. </w:t>
      </w:r>
    </w:p>
  </w:footnote>
  <w:footnote w:id="18">
    <w:p w:rsidR="00412032" w:rsidRDefault="00412032">
      <w:pPr>
        <w:pStyle w:val="FootnoteText"/>
      </w:pPr>
      <w:r>
        <w:rPr>
          <w:rStyle w:val="FootnoteReference"/>
        </w:rPr>
        <w:footnoteRef/>
      </w:r>
      <w:r>
        <w:t xml:space="preserve"> Document No. 00109-2022, TECO’s response to Staff’s First Data Request Nos. 4.b.</w:t>
      </w:r>
    </w:p>
  </w:footnote>
  <w:footnote w:id="19">
    <w:p w:rsidR="00412032" w:rsidRPr="00396D06" w:rsidRDefault="00412032">
      <w:pPr>
        <w:pStyle w:val="FootnoteText"/>
        <w:rPr>
          <w:i/>
        </w:rPr>
      </w:pPr>
      <w:r>
        <w:rPr>
          <w:rStyle w:val="FootnoteReference"/>
        </w:rPr>
        <w:footnoteRef/>
      </w:r>
      <w:r>
        <w:t xml:space="preserve"> </w:t>
      </w:r>
      <w:r>
        <w:rPr>
          <w:i/>
        </w:rPr>
        <w:t xml:space="preserve">Id. </w:t>
      </w:r>
      <w:r>
        <w:t>and Petition, paragraph 16.</w:t>
      </w:r>
      <w:r>
        <w:rPr>
          <w:i/>
        </w:rPr>
        <w:t xml:space="preserve"> </w:t>
      </w:r>
    </w:p>
  </w:footnote>
  <w:footnote w:id="20">
    <w:p w:rsidR="00412032" w:rsidRPr="005C109E" w:rsidRDefault="00412032">
      <w:pPr>
        <w:pStyle w:val="FootnoteText"/>
        <w:rPr>
          <w:i/>
        </w:rPr>
      </w:pPr>
      <w:r>
        <w:rPr>
          <w:rStyle w:val="FootnoteReference"/>
        </w:rPr>
        <w:footnoteRef/>
      </w:r>
      <w:r>
        <w:t xml:space="preserve"> Order No. PSC-2020-</w:t>
      </w:r>
      <w:r w:rsidR="00642CE8">
        <w:t>0116</w:t>
      </w:r>
      <w:r>
        <w:t xml:space="preserve">-PAA-EI, issued April 20, 2020, in Docket No. 20190215-EI, </w:t>
      </w:r>
      <w:r w:rsidRPr="005C109E">
        <w:rPr>
          <w:i/>
        </w:rPr>
        <w:t xml:space="preserve">In </w:t>
      </w:r>
      <w:r>
        <w:rPr>
          <w:i/>
        </w:rPr>
        <w:t xml:space="preserve">re: Petition for approval of depreciation rates for energy storage equipment by Tampa Electric Company </w:t>
      </w:r>
      <w:r>
        <w:t xml:space="preserve">and Order No. PSC-2021-0423-S-EI. </w:t>
      </w:r>
      <w:r>
        <w:rPr>
          <w:i/>
        </w:rPr>
        <w:t xml:space="preserve">  </w:t>
      </w:r>
    </w:p>
  </w:footnote>
  <w:footnote w:id="21">
    <w:p w:rsidR="00412032" w:rsidRDefault="00412032">
      <w:pPr>
        <w:pStyle w:val="FootnoteText"/>
      </w:pPr>
      <w:r>
        <w:rPr>
          <w:rStyle w:val="FootnoteReference"/>
        </w:rPr>
        <w:footnoteRef/>
      </w:r>
      <w:r>
        <w:t xml:space="preserve"> Petition, paragraph 17.</w:t>
      </w:r>
    </w:p>
  </w:footnote>
  <w:footnote w:id="22">
    <w:p w:rsidR="00412032" w:rsidRDefault="00412032">
      <w:pPr>
        <w:pStyle w:val="FootnoteText"/>
      </w:pPr>
      <w:r>
        <w:rPr>
          <w:rStyle w:val="FootnoteReference"/>
        </w:rPr>
        <w:footnoteRef/>
      </w:r>
      <w:r>
        <w:t xml:space="preserve"> </w:t>
      </w:r>
      <w:r>
        <w:rPr>
          <w:i/>
        </w:rPr>
        <w:t xml:space="preserve">Id.; </w:t>
      </w:r>
      <w:r>
        <w:t>Order No. PSC-2021-0237-PAA-EI, p. 6.</w:t>
      </w:r>
    </w:p>
  </w:footnote>
  <w:footnote w:id="23">
    <w:p w:rsidR="00412032" w:rsidRDefault="00412032">
      <w:pPr>
        <w:pStyle w:val="FootnoteText"/>
      </w:pPr>
      <w:r>
        <w:rPr>
          <w:rStyle w:val="FootnoteReference"/>
        </w:rPr>
        <w:footnoteRef/>
      </w:r>
      <w:r>
        <w:t xml:space="preserve"> Order No. PSC-2021-0237-PAA-EI, p. 5.</w:t>
      </w:r>
    </w:p>
  </w:footnote>
  <w:footnote w:id="24">
    <w:p w:rsidR="00412032" w:rsidRDefault="00412032">
      <w:pPr>
        <w:pStyle w:val="FootnoteText"/>
      </w:pPr>
      <w:r>
        <w:rPr>
          <w:rStyle w:val="FootnoteReference"/>
        </w:rPr>
        <w:footnoteRef/>
      </w:r>
      <w:r>
        <w:t xml:space="preserve"> Document No. 00109-2022, TECO’s response to Staff’s First Data Request Nos. 2.e. and 4.c.</w:t>
      </w:r>
    </w:p>
  </w:footnote>
  <w:footnote w:id="25">
    <w:p w:rsidR="00412032" w:rsidRPr="003922C2" w:rsidRDefault="00412032">
      <w:pPr>
        <w:pStyle w:val="FootnoteText"/>
        <w:rPr>
          <w:i/>
        </w:rPr>
      </w:pPr>
      <w:r>
        <w:rPr>
          <w:rStyle w:val="FootnoteReference"/>
        </w:rPr>
        <w:footnoteRef/>
      </w:r>
      <w:r>
        <w:t xml:space="preserve"> </w:t>
      </w:r>
      <w:r>
        <w:rPr>
          <w:i/>
        </w:rPr>
        <w:t>Id.</w:t>
      </w:r>
    </w:p>
  </w:footnote>
  <w:footnote w:id="26">
    <w:p w:rsidR="00412032" w:rsidRDefault="00412032">
      <w:pPr>
        <w:pStyle w:val="FootnoteText"/>
      </w:pPr>
      <w:r>
        <w:rPr>
          <w:rStyle w:val="FootnoteReference"/>
        </w:rPr>
        <w:footnoteRef/>
      </w:r>
      <w:r>
        <w:t xml:space="preserve"> </w:t>
      </w:r>
      <w:r>
        <w:rPr>
          <w:rFonts w:ascii="TimesNewRomanPSMT" w:hAnsi="TimesNewRomanPSMT" w:cs="TimesNewRomanPSMT"/>
        </w:rPr>
        <w:t>See Order No. PSC-2021-0237-PAA-EI, p. 5.</w:t>
      </w:r>
    </w:p>
  </w:footnote>
  <w:footnote w:id="27">
    <w:p w:rsidR="00412032" w:rsidRDefault="00412032">
      <w:pPr>
        <w:pStyle w:val="FootnoteText"/>
      </w:pPr>
      <w:r>
        <w:rPr>
          <w:rStyle w:val="FootnoteReference"/>
        </w:rPr>
        <w:footnoteRef/>
      </w:r>
      <w:r>
        <w:t xml:space="preserve"> Document No. 00785-2022, TECO’s response to Staff’s Second Data Request No.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032" w:rsidRDefault="00412032">
    <w:pPr>
      <w:pStyle w:val="OrderHeader"/>
    </w:pPr>
    <w:r>
      <w:t xml:space="preserve">ORDER NO. </w:t>
    </w:r>
    <w:fldSimple w:instr=" REF OrderNo0121 ">
      <w:r w:rsidR="00B0471D">
        <w:t>PSC-2022-0121-PAA-EI</w:t>
      </w:r>
    </w:fldSimple>
  </w:p>
  <w:p w:rsidR="00412032" w:rsidRDefault="00412032">
    <w:pPr>
      <w:pStyle w:val="OrderHeader"/>
    </w:pPr>
    <w:bookmarkStart w:id="9" w:name="HeaderDocketNo"/>
    <w:bookmarkEnd w:id="9"/>
    <w:r>
      <w:t>DOCKET NO. 20210181-EI</w:t>
    </w:r>
  </w:p>
  <w:p w:rsidR="00412032" w:rsidRDefault="004120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471D">
      <w:rPr>
        <w:rStyle w:val="PageNumber"/>
        <w:noProof/>
      </w:rPr>
      <w:t>6</w:t>
    </w:r>
    <w:r>
      <w:rPr>
        <w:rStyle w:val="PageNumber"/>
      </w:rPr>
      <w:fldChar w:fldCharType="end"/>
    </w:r>
  </w:p>
  <w:p w:rsidR="00412032" w:rsidRDefault="00412032">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1-EI"/>
  </w:docVars>
  <w:rsids>
    <w:rsidRoot w:val="00B92CE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7CC7"/>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5360"/>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0CB3"/>
    <w:rsid w:val="002C118E"/>
    <w:rsid w:val="002C2096"/>
    <w:rsid w:val="002C782E"/>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22C2"/>
    <w:rsid w:val="00394DC6"/>
    <w:rsid w:val="00396D06"/>
    <w:rsid w:val="00397C3E"/>
    <w:rsid w:val="003A7B09"/>
    <w:rsid w:val="003B1A09"/>
    <w:rsid w:val="003C0431"/>
    <w:rsid w:val="003D3989"/>
    <w:rsid w:val="003D4CCA"/>
    <w:rsid w:val="003D52A6"/>
    <w:rsid w:val="003D6416"/>
    <w:rsid w:val="003E1D48"/>
    <w:rsid w:val="003E711F"/>
    <w:rsid w:val="003F1D2B"/>
    <w:rsid w:val="003F49A6"/>
    <w:rsid w:val="003F518F"/>
    <w:rsid w:val="003F7445"/>
    <w:rsid w:val="00400F14"/>
    <w:rsid w:val="00411DF2"/>
    <w:rsid w:val="00411E8F"/>
    <w:rsid w:val="00412032"/>
    <w:rsid w:val="004247F5"/>
    <w:rsid w:val="0042527B"/>
    <w:rsid w:val="00427EAC"/>
    <w:rsid w:val="004431B4"/>
    <w:rsid w:val="00453A84"/>
    <w:rsid w:val="0045537F"/>
    <w:rsid w:val="00457937"/>
    <w:rsid w:val="00457DC7"/>
    <w:rsid w:val="004640B3"/>
    <w:rsid w:val="00472BCC"/>
    <w:rsid w:val="00477699"/>
    <w:rsid w:val="0048535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B28"/>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09E"/>
    <w:rsid w:val="005C1A88"/>
    <w:rsid w:val="005C5033"/>
    <w:rsid w:val="005D4E1B"/>
    <w:rsid w:val="005E751B"/>
    <w:rsid w:val="005F2751"/>
    <w:rsid w:val="005F3354"/>
    <w:rsid w:val="005F4AD6"/>
    <w:rsid w:val="005F5DEB"/>
    <w:rsid w:val="0060005E"/>
    <w:rsid w:val="0060095B"/>
    <w:rsid w:val="00601266"/>
    <w:rsid w:val="00610221"/>
    <w:rsid w:val="00610E73"/>
    <w:rsid w:val="00616DF2"/>
    <w:rsid w:val="0062385D"/>
    <w:rsid w:val="0063168D"/>
    <w:rsid w:val="00635C79"/>
    <w:rsid w:val="00642CE8"/>
    <w:rsid w:val="006455DF"/>
    <w:rsid w:val="00647025"/>
    <w:rsid w:val="0064730A"/>
    <w:rsid w:val="006531A4"/>
    <w:rsid w:val="00660774"/>
    <w:rsid w:val="0066389A"/>
    <w:rsid w:val="0066495C"/>
    <w:rsid w:val="00665CC7"/>
    <w:rsid w:val="00672612"/>
    <w:rsid w:val="00677F18"/>
    <w:rsid w:val="00686B14"/>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433D"/>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5D7D"/>
    <w:rsid w:val="00964A38"/>
    <w:rsid w:val="00966A9D"/>
    <w:rsid w:val="0096742B"/>
    <w:rsid w:val="009718C5"/>
    <w:rsid w:val="00976AFF"/>
    <w:rsid w:val="00986AED"/>
    <w:rsid w:val="009924CF"/>
    <w:rsid w:val="00994100"/>
    <w:rsid w:val="009A04B7"/>
    <w:rsid w:val="009A6B17"/>
    <w:rsid w:val="009B052E"/>
    <w:rsid w:val="009C7B60"/>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16D7"/>
    <w:rsid w:val="00AC4B09"/>
    <w:rsid w:val="00AC5A01"/>
    <w:rsid w:val="00AD10EB"/>
    <w:rsid w:val="00AD1ED3"/>
    <w:rsid w:val="00B019C1"/>
    <w:rsid w:val="00B02001"/>
    <w:rsid w:val="00B03C50"/>
    <w:rsid w:val="00B0471D"/>
    <w:rsid w:val="00B0777D"/>
    <w:rsid w:val="00B11576"/>
    <w:rsid w:val="00B1195F"/>
    <w:rsid w:val="00B14D10"/>
    <w:rsid w:val="00B209C7"/>
    <w:rsid w:val="00B3644F"/>
    <w:rsid w:val="00B37A77"/>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2CEC"/>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68F2"/>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6218"/>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E7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2032"/>
    <w:rPr>
      <w:rFonts w:ascii="Segoe UI" w:hAnsi="Segoe UI" w:cs="Segoe UI"/>
      <w:sz w:val="18"/>
      <w:szCs w:val="18"/>
    </w:rPr>
  </w:style>
  <w:style w:type="character" w:customStyle="1" w:styleId="BalloonTextChar">
    <w:name w:val="Balloon Text Char"/>
    <w:basedOn w:val="DefaultParagraphFont"/>
    <w:link w:val="BalloonText"/>
    <w:semiHidden/>
    <w:rsid w:val="00412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9D1B-1B82-46D6-B1E8-18337DB1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2022-03-18T12:53:00Z</dcterms:created>
  <dcterms:modified xsi:type="dcterms:W3CDTF">2022-03-18T14:26:00Z</dcterms:modified>
</cp:coreProperties>
</file>