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56757" w14:textId="77777777" w:rsidR="00CB5276" w:rsidRDefault="00286FC8" w:rsidP="00286FC8">
      <w:pPr>
        <w:pStyle w:val="OrderHeading"/>
      </w:pPr>
      <w:r>
        <w:t>BEFORE THE FLORIDA PUBLIC SERVICE COMMISSION</w:t>
      </w:r>
    </w:p>
    <w:p w14:paraId="625A4F44" w14:textId="77777777" w:rsidR="00286FC8" w:rsidRDefault="00286FC8" w:rsidP="00286FC8">
      <w:pPr>
        <w:pStyle w:val="OrderBody"/>
      </w:pPr>
    </w:p>
    <w:p w14:paraId="3D9FDBAA" w14:textId="77777777" w:rsidR="00286FC8" w:rsidRDefault="00286FC8" w:rsidP="00286FC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86FC8" w:rsidRPr="00C63FCF" w14:paraId="098552D3" w14:textId="77777777" w:rsidTr="00BD35A8">
        <w:trPr>
          <w:trHeight w:val="828"/>
        </w:trPr>
        <w:tc>
          <w:tcPr>
            <w:tcW w:w="4788" w:type="dxa"/>
            <w:tcBorders>
              <w:bottom w:val="single" w:sz="8" w:space="0" w:color="auto"/>
              <w:right w:val="double" w:sz="6" w:space="0" w:color="auto"/>
            </w:tcBorders>
            <w:shd w:val="clear" w:color="auto" w:fill="auto"/>
          </w:tcPr>
          <w:p w14:paraId="38BADB2E" w14:textId="77777777" w:rsidR="00286FC8" w:rsidRDefault="00286FC8" w:rsidP="00BD35A8">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14:paraId="7377460E" w14:textId="77777777" w:rsidR="00286FC8" w:rsidRDefault="00286FC8" w:rsidP="00286FC8">
            <w:pPr>
              <w:pStyle w:val="OrderBody"/>
            </w:pPr>
            <w:r>
              <w:t xml:space="preserve">DOCKET NO. </w:t>
            </w:r>
            <w:bookmarkStart w:id="1" w:name="SSDocketNo"/>
            <w:bookmarkEnd w:id="1"/>
            <w:r>
              <w:t>20200226-SU</w:t>
            </w:r>
          </w:p>
          <w:p w14:paraId="41C778D4" w14:textId="5971818C" w:rsidR="00286FC8" w:rsidRDefault="00286FC8" w:rsidP="00BD35A8">
            <w:pPr>
              <w:pStyle w:val="OrderBody"/>
              <w:tabs>
                <w:tab w:val="center" w:pos="4320"/>
                <w:tab w:val="right" w:pos="8640"/>
              </w:tabs>
              <w:jc w:val="left"/>
            </w:pPr>
            <w:r>
              <w:t xml:space="preserve">ORDER NO. </w:t>
            </w:r>
            <w:bookmarkStart w:id="2" w:name="OrderNo0333"/>
            <w:r w:rsidR="00866C75">
              <w:t>PSC-2022-0333-FOF-SU</w:t>
            </w:r>
            <w:bookmarkEnd w:id="2"/>
          </w:p>
          <w:p w14:paraId="1C732CAB" w14:textId="7283D07E" w:rsidR="00286FC8" w:rsidRDefault="00286FC8" w:rsidP="00BD35A8">
            <w:pPr>
              <w:pStyle w:val="OrderBody"/>
              <w:tabs>
                <w:tab w:val="center" w:pos="4320"/>
                <w:tab w:val="right" w:pos="8640"/>
              </w:tabs>
              <w:jc w:val="left"/>
            </w:pPr>
            <w:r>
              <w:t xml:space="preserve">ISSUED: </w:t>
            </w:r>
            <w:r w:rsidR="00866C75">
              <w:t>September 27, 2022</w:t>
            </w:r>
          </w:p>
        </w:tc>
      </w:tr>
    </w:tbl>
    <w:p w14:paraId="5AC70CB1" w14:textId="77777777" w:rsidR="00286FC8" w:rsidRDefault="00286FC8" w:rsidP="00286FC8"/>
    <w:p w14:paraId="213ECA4E" w14:textId="77777777" w:rsidR="00286FC8" w:rsidRDefault="00286FC8" w:rsidP="00286FC8"/>
    <w:p w14:paraId="00E3CA50" w14:textId="77777777" w:rsidR="00286FC8" w:rsidRDefault="00286FC8" w:rsidP="00B67A43">
      <w:pPr>
        <w:ind w:firstLine="720"/>
        <w:jc w:val="both"/>
      </w:pPr>
      <w:bookmarkStart w:id="3" w:name="Commissioners"/>
      <w:bookmarkEnd w:id="3"/>
      <w:r>
        <w:t>The following Commissioners participated in the disposition of this matter:</w:t>
      </w:r>
    </w:p>
    <w:p w14:paraId="3DD5067A" w14:textId="77777777" w:rsidR="00286FC8" w:rsidRDefault="00286FC8" w:rsidP="00B67A43"/>
    <w:p w14:paraId="30663EA1" w14:textId="77777777" w:rsidR="00286FC8" w:rsidRDefault="00286FC8" w:rsidP="00B67A43">
      <w:pPr>
        <w:jc w:val="center"/>
      </w:pPr>
      <w:r>
        <w:t>GARY F. CLARK</w:t>
      </w:r>
    </w:p>
    <w:p w14:paraId="5D7D704B" w14:textId="77777777" w:rsidR="00286FC8" w:rsidRDefault="00286FC8" w:rsidP="00B67A43">
      <w:pPr>
        <w:jc w:val="center"/>
      </w:pPr>
      <w:r>
        <w:t>MIKE LA ROSA</w:t>
      </w:r>
    </w:p>
    <w:p w14:paraId="18EBCE3A" w14:textId="7AF41F55" w:rsidR="00286FC8" w:rsidRDefault="00286FC8" w:rsidP="00DA1C61">
      <w:pPr>
        <w:jc w:val="center"/>
      </w:pPr>
      <w:r w:rsidRPr="005F2751">
        <w:rPr>
          <w:lang w:val="en"/>
        </w:rPr>
        <w:t>GABRIELLA PASSIDOMO</w:t>
      </w:r>
    </w:p>
    <w:p w14:paraId="295351DA" w14:textId="77777777" w:rsidR="00286FC8" w:rsidRDefault="00286FC8" w:rsidP="00B67A43"/>
    <w:p w14:paraId="7C77D64F" w14:textId="77777777" w:rsidR="00CB5276" w:rsidRDefault="00CB5276">
      <w:pPr>
        <w:pStyle w:val="OrderBody"/>
      </w:pPr>
    </w:p>
    <w:p w14:paraId="1EBB12C1" w14:textId="39E88196" w:rsidR="00900669" w:rsidRDefault="00286FC8" w:rsidP="00CA6250">
      <w:pPr>
        <w:pStyle w:val="CenterUnderline"/>
      </w:pPr>
      <w:r>
        <w:t>ORDER</w:t>
      </w:r>
      <w:r w:rsidR="00900669">
        <w:t xml:space="preserve"> DENYING MOTION FOR RECONSIDERATION</w:t>
      </w:r>
    </w:p>
    <w:p w14:paraId="09CB40AC" w14:textId="77777777" w:rsidR="00286FC8" w:rsidRDefault="00286FC8" w:rsidP="00286FC8">
      <w:pPr>
        <w:pStyle w:val="CenterUnderline"/>
      </w:pPr>
    </w:p>
    <w:p w14:paraId="557CAFB2" w14:textId="77777777" w:rsidR="00286FC8" w:rsidRDefault="00286FC8" w:rsidP="00286FC8">
      <w:pPr>
        <w:pStyle w:val="OrderBody"/>
      </w:pPr>
      <w:r>
        <w:t>BY THE COMMISSION:</w:t>
      </w:r>
    </w:p>
    <w:p w14:paraId="2B6D15C2" w14:textId="77777777" w:rsidR="00286FC8" w:rsidRDefault="00286FC8" w:rsidP="00286FC8">
      <w:pPr>
        <w:pStyle w:val="OrderBody"/>
      </w:pPr>
    </w:p>
    <w:p w14:paraId="12E88201" w14:textId="765555D2" w:rsidR="00286FC8" w:rsidRPr="00A04809" w:rsidRDefault="00286FC8" w:rsidP="00286FC8">
      <w:pPr>
        <w:keepNext/>
        <w:spacing w:after="240"/>
        <w:jc w:val="center"/>
        <w:outlineLvl w:val="0"/>
        <w:rPr>
          <w:bCs/>
          <w:kern w:val="32"/>
          <w:szCs w:val="32"/>
          <w:u w:val="single"/>
        </w:rPr>
      </w:pPr>
      <w:bookmarkStart w:id="4" w:name="OrderText"/>
      <w:bookmarkEnd w:id="4"/>
      <w:r w:rsidRPr="00A04809">
        <w:rPr>
          <w:bCs/>
          <w:kern w:val="32"/>
          <w:szCs w:val="32"/>
          <w:u w:val="single"/>
        </w:rPr>
        <w:t>Background</w:t>
      </w:r>
    </w:p>
    <w:p w14:paraId="7CD0219F" w14:textId="77777777" w:rsidR="00286FC8" w:rsidRPr="00286FC8" w:rsidRDefault="00286FC8" w:rsidP="00286FC8">
      <w:pPr>
        <w:jc w:val="both"/>
      </w:pPr>
      <w:r>
        <w:tab/>
      </w:r>
      <w:r w:rsidRPr="00286FC8">
        <w:t xml:space="preserve">On October 13, 2020, Environmental Utilities, LLC (EU or Utility) filed its application for an original wastewater certificate in Charlotte County (County). The Utility seeks to provide central sewer service to residents of the barrier islands of Little Gasparilla, Don Pedro, and Knight, which are currently served by septic tanks, with the exception of parts of Knight Island which is served by a central sewer system. The proposed service territory includes an estimated 860 existing equivalent residential connections (ERCs) and 388 potential future ERCs, for a total of 1,248 ERCs at buildout. The Utility seeks to begin serving customers by the end of 2023. With its application, EU filed a petition for temporary waiver of portions of Rule 25-30.033, Florida Administrative Code (F.A.C.), so that the Utility’s initial rates and charges would be set at a date subsequent to the granting of the certificate </w:t>
      </w:r>
      <w:r w:rsidR="00900669">
        <w:t>of authorization.  We</w:t>
      </w:r>
      <w:r w:rsidRPr="00286FC8">
        <w:t xml:space="preserve"> denied the petition for temporary rule waiver.</w:t>
      </w:r>
      <w:r w:rsidRPr="00286FC8">
        <w:rPr>
          <w:vertAlign w:val="superscript"/>
        </w:rPr>
        <w:footnoteReference w:id="1"/>
      </w:r>
    </w:p>
    <w:p w14:paraId="57A6D8FB" w14:textId="77777777" w:rsidR="00286FC8" w:rsidRPr="00286FC8" w:rsidRDefault="00286FC8" w:rsidP="00286FC8">
      <w:pPr>
        <w:jc w:val="both"/>
      </w:pPr>
    </w:p>
    <w:p w14:paraId="36DEF7B7" w14:textId="77777777" w:rsidR="00286FC8" w:rsidRPr="00286FC8" w:rsidRDefault="00286FC8" w:rsidP="00286FC8">
      <w:pPr>
        <w:jc w:val="both"/>
      </w:pPr>
      <w:r>
        <w:tab/>
      </w:r>
      <w:r w:rsidRPr="00286FC8">
        <w:t xml:space="preserve">Prior to </w:t>
      </w:r>
      <w:r w:rsidR="00900669">
        <w:t>us</w:t>
      </w:r>
      <w:r w:rsidRPr="00286FC8">
        <w:t xml:space="preserve"> addressing the application, timely objections were filed on behalf of Palm Island Estates Association, Inc. (PIE) and Linda Cotherman (LC). The Office of Public Counsel (OPC) intervened on September 24, 2021.</w:t>
      </w:r>
      <w:r w:rsidRPr="00286FC8">
        <w:rPr>
          <w:vertAlign w:val="superscript"/>
        </w:rPr>
        <w:footnoteReference w:id="2"/>
      </w:r>
      <w:r w:rsidRPr="00286FC8">
        <w:t xml:space="preserve">  </w:t>
      </w:r>
    </w:p>
    <w:p w14:paraId="22D1FBDA" w14:textId="77777777" w:rsidR="00286FC8" w:rsidRPr="00286FC8" w:rsidRDefault="00286FC8" w:rsidP="00286FC8">
      <w:pPr>
        <w:jc w:val="both"/>
      </w:pPr>
    </w:p>
    <w:p w14:paraId="6CB7A1E6" w14:textId="77777777" w:rsidR="00286FC8" w:rsidRPr="00286FC8" w:rsidRDefault="00286FC8" w:rsidP="00286FC8">
      <w:pPr>
        <w:jc w:val="both"/>
      </w:pPr>
      <w:r>
        <w:tab/>
      </w:r>
      <w:r w:rsidRPr="00286FC8">
        <w:t xml:space="preserve">On February 8, 2022, </w:t>
      </w:r>
      <w:r w:rsidR="00900669">
        <w:t>we</w:t>
      </w:r>
      <w:r w:rsidRPr="00286FC8">
        <w:t xml:space="preserve"> held an evidentiary hearing in Venice, Florida. This hearing included two customer service hearings: one on February 8, 2022, and one the following morning on February 9, 2022. A total of 53 customers spoke at the service hearings and over 1,000 written customer comments</w:t>
      </w:r>
      <w:r w:rsidR="00900669">
        <w:t xml:space="preserve"> were received by us</w:t>
      </w:r>
      <w:r w:rsidRPr="00286FC8">
        <w:t xml:space="preserve"> and placed in the correspondence side of the docket. </w:t>
      </w:r>
    </w:p>
    <w:p w14:paraId="5BCAEE3D" w14:textId="77777777" w:rsidR="00286FC8" w:rsidRPr="00286FC8" w:rsidRDefault="00286FC8" w:rsidP="00286FC8">
      <w:pPr>
        <w:jc w:val="both"/>
      </w:pPr>
    </w:p>
    <w:p w14:paraId="13227367" w14:textId="668A2008" w:rsidR="00286FC8" w:rsidRPr="00286FC8" w:rsidRDefault="00286FC8" w:rsidP="00286FC8">
      <w:pPr>
        <w:jc w:val="both"/>
      </w:pPr>
      <w:r>
        <w:tab/>
      </w:r>
      <w:r w:rsidRPr="00286FC8">
        <w:t xml:space="preserve">On June 7, 2022, </w:t>
      </w:r>
      <w:r w:rsidR="00900669">
        <w:t>we</w:t>
      </w:r>
      <w:r w:rsidRPr="00286FC8">
        <w:t xml:space="preserve"> voted to deny EU’s application for a certificate to provide wastewater service in the County, predicated largely upon a finding that EU failed to demonstrate a need for the proposed Utility. Final Order No. PSC-2022-0267-FOF-WS (Final Order), commemorating </w:t>
      </w:r>
      <w:r w:rsidR="00900669">
        <w:t>our</w:t>
      </w:r>
      <w:r w:rsidRPr="00286FC8">
        <w:t xml:space="preserve"> vote, </w:t>
      </w:r>
      <w:r w:rsidR="005A77D5">
        <w:t xml:space="preserve">was </w:t>
      </w:r>
      <w:r w:rsidRPr="00286FC8">
        <w:t>issued on July 8, 2022.</w:t>
      </w:r>
      <w:r w:rsidRPr="00286FC8">
        <w:rPr>
          <w:vertAlign w:val="superscript"/>
        </w:rPr>
        <w:footnoteReference w:id="3"/>
      </w:r>
      <w:r w:rsidRPr="00286FC8">
        <w:t xml:space="preserve"> </w:t>
      </w:r>
    </w:p>
    <w:p w14:paraId="2BB1F6B5" w14:textId="77777777" w:rsidR="00286FC8" w:rsidRPr="00286FC8" w:rsidRDefault="00286FC8" w:rsidP="00286FC8">
      <w:pPr>
        <w:jc w:val="both"/>
      </w:pPr>
    </w:p>
    <w:p w14:paraId="655251BF" w14:textId="311DD0B2" w:rsidR="00286FC8" w:rsidRDefault="00286FC8" w:rsidP="00286FC8">
      <w:pPr>
        <w:jc w:val="both"/>
      </w:pPr>
      <w:r>
        <w:tab/>
      </w:r>
      <w:r w:rsidRPr="00286FC8">
        <w:t>EU filed a timely motion for reconsideration of the final order on July 22, 2022, along with a request for oral argument on its motion for reconsideration.</w:t>
      </w:r>
      <w:r w:rsidRPr="00286FC8">
        <w:rPr>
          <w:vertAlign w:val="superscript"/>
        </w:rPr>
        <w:footnoteReference w:id="4"/>
      </w:r>
      <w:r w:rsidRPr="00286FC8">
        <w:t xml:space="preserve"> On July 25, 2022, EU filed a “Notice of Filing Attachments to its Motion for Reconsideration,” consisting of a letter dated June 28, 2022, from the Charlotte County Board of Commissioners.</w:t>
      </w:r>
      <w:r w:rsidRPr="00286FC8">
        <w:rPr>
          <w:vertAlign w:val="superscript"/>
        </w:rPr>
        <w:footnoteReference w:id="5"/>
      </w:r>
      <w:r w:rsidRPr="00286FC8">
        <w:t xml:space="preserve"> That letter itself references and attaches another letter dated September 27, 2021, authored by former County Utilities Director Craig Rudy</w:t>
      </w:r>
      <w:r w:rsidRPr="00286FC8">
        <w:rPr>
          <w:vertAlign w:val="superscript"/>
        </w:rPr>
        <w:footnoteReference w:id="6"/>
      </w:r>
      <w:r w:rsidRPr="00286FC8">
        <w:t xml:space="preserve"> and County Water Quality Manager Brandon Moody, supporting EU’s project.</w:t>
      </w:r>
      <w:r w:rsidRPr="00286FC8">
        <w:rPr>
          <w:vertAlign w:val="superscript"/>
        </w:rPr>
        <w:footnoteReference w:id="7"/>
      </w:r>
      <w:r w:rsidRPr="00286FC8">
        <w:t xml:space="preserve"> OPC, PIE, and LC timely filed responses to EU’s motion for reconsideration and request for oral argument. </w:t>
      </w:r>
    </w:p>
    <w:p w14:paraId="5FDC10F5" w14:textId="2A0883B9" w:rsidR="00110939" w:rsidRDefault="00110939" w:rsidP="00286FC8">
      <w:pPr>
        <w:jc w:val="both"/>
      </w:pPr>
    </w:p>
    <w:p w14:paraId="23B20782" w14:textId="22A3F85F" w:rsidR="00110939" w:rsidRPr="00286FC8" w:rsidRDefault="00110939" w:rsidP="00286FC8">
      <w:pPr>
        <w:jc w:val="both"/>
      </w:pPr>
      <w:r>
        <w:tab/>
        <w:t>At our September 8, 2022, Commission Conference, upon request and in our discretion we heard oral argument from the parties on EU’s motion for reconsideration.</w:t>
      </w:r>
    </w:p>
    <w:p w14:paraId="2216FDFB" w14:textId="77777777" w:rsidR="00286FC8" w:rsidRPr="00286FC8" w:rsidRDefault="00286FC8" w:rsidP="00286FC8">
      <w:pPr>
        <w:jc w:val="both"/>
      </w:pPr>
    </w:p>
    <w:p w14:paraId="671A47BE" w14:textId="77777777" w:rsidR="00CB5276" w:rsidRDefault="00286FC8" w:rsidP="00286FC8">
      <w:pPr>
        <w:pStyle w:val="OrderBody"/>
      </w:pPr>
      <w:r>
        <w:tab/>
      </w:r>
      <w:r w:rsidR="00900669">
        <w:t>We have</w:t>
      </w:r>
      <w:r w:rsidRPr="00286FC8">
        <w:t xml:space="preserve"> jurisdiction pursuant to Sections 367.031 and 367.045, Florida Statutes (F.S.).</w:t>
      </w:r>
    </w:p>
    <w:p w14:paraId="763F41C0" w14:textId="77777777" w:rsidR="003704B5" w:rsidRDefault="003704B5" w:rsidP="00286FC8">
      <w:pPr>
        <w:pStyle w:val="OrderBody"/>
      </w:pPr>
    </w:p>
    <w:p w14:paraId="73CA5B02" w14:textId="77777777" w:rsidR="00286FC8" w:rsidRDefault="00A04809" w:rsidP="00286FC8">
      <w:pPr>
        <w:keepNext/>
        <w:spacing w:after="240"/>
        <w:jc w:val="center"/>
        <w:outlineLvl w:val="0"/>
        <w:rPr>
          <w:bCs/>
          <w:kern w:val="32"/>
          <w:szCs w:val="32"/>
          <w:u w:val="single"/>
        </w:rPr>
      </w:pPr>
      <w:bookmarkStart w:id="5" w:name="DiscussionOfIssues"/>
      <w:r>
        <w:rPr>
          <w:bCs/>
          <w:kern w:val="32"/>
          <w:szCs w:val="32"/>
          <w:u w:val="single"/>
        </w:rPr>
        <w:t>Decision</w:t>
      </w:r>
    </w:p>
    <w:bookmarkEnd w:id="5"/>
    <w:p w14:paraId="6F4CCEB9" w14:textId="4DCD3452" w:rsidR="00900669" w:rsidRPr="00400A29" w:rsidRDefault="00900669" w:rsidP="00400A29">
      <w:pPr>
        <w:pStyle w:val="OrderBody"/>
        <w:numPr>
          <w:ilvl w:val="0"/>
          <w:numId w:val="6"/>
        </w:numPr>
        <w:rPr>
          <w:u w:val="single"/>
        </w:rPr>
      </w:pPr>
      <w:r>
        <w:rPr>
          <w:u w:val="single"/>
        </w:rPr>
        <w:t>Motion for Reconsideration</w:t>
      </w:r>
    </w:p>
    <w:p w14:paraId="12896C0C" w14:textId="155969A9" w:rsidR="00286FC8" w:rsidRPr="00286FC8" w:rsidRDefault="00286FC8" w:rsidP="00400A29">
      <w:pPr>
        <w:pStyle w:val="OrderBody"/>
      </w:pPr>
    </w:p>
    <w:p w14:paraId="3D02CA12" w14:textId="77777777" w:rsidR="00286FC8" w:rsidRPr="00400A29" w:rsidRDefault="00286FC8" w:rsidP="00400A29">
      <w:pPr>
        <w:pStyle w:val="ListParagraph"/>
        <w:numPr>
          <w:ilvl w:val="0"/>
          <w:numId w:val="10"/>
        </w:numPr>
        <w:spacing w:after="240"/>
        <w:jc w:val="both"/>
        <w:rPr>
          <w:u w:val="single"/>
        </w:rPr>
      </w:pPr>
      <w:r w:rsidRPr="00400A29">
        <w:rPr>
          <w:u w:val="single"/>
        </w:rPr>
        <w:t>Standard of Review</w:t>
      </w:r>
    </w:p>
    <w:p w14:paraId="2F0EF9D8" w14:textId="38C62541" w:rsidR="00286FC8" w:rsidRPr="00286FC8" w:rsidRDefault="00286FC8" w:rsidP="00286FC8">
      <w:pPr>
        <w:spacing w:after="240"/>
        <w:jc w:val="both"/>
        <w:rPr>
          <w:i/>
        </w:rPr>
      </w:pPr>
      <w:r>
        <w:tab/>
      </w:r>
      <w:r w:rsidRPr="00286FC8">
        <w:t xml:space="preserve">The standard of review for reconsideration of </w:t>
      </w:r>
      <w:r w:rsidR="00900669">
        <w:t>our</w:t>
      </w:r>
      <w:r w:rsidRPr="00286FC8">
        <w:t xml:space="preserve"> order is whether the motion identifies a point of fact or law that </w:t>
      </w:r>
      <w:r w:rsidR="00900669">
        <w:t>we</w:t>
      </w:r>
      <w:r w:rsidRPr="00286FC8">
        <w:t xml:space="preserve"> overlooked or failed to consider in rendering the order.</w:t>
      </w:r>
      <w:r w:rsidRPr="00286FC8">
        <w:rPr>
          <w:vertAlign w:val="superscript"/>
        </w:rPr>
        <w:footnoteReference w:id="8"/>
      </w:r>
      <w:r w:rsidRPr="00286FC8">
        <w:t xml:space="preserve"> In a motion for reconsideration, it is not appropriate to reargue matters that have already been considered.</w:t>
      </w:r>
      <w:r w:rsidRPr="00286FC8">
        <w:rPr>
          <w:vertAlign w:val="superscript"/>
        </w:rPr>
        <w:footnoteReference w:id="9"/>
      </w:r>
      <w:r w:rsidRPr="00286FC8">
        <w:t xml:space="preserve">  Furthermore, a motion for reconsideration should not be granted “based upon an arbitrary feeling </w:t>
      </w:r>
      <w:r w:rsidRPr="00286FC8">
        <w:lastRenderedPageBreak/>
        <w:t>that a mistake may have been made, but should be based upon specific factual matters set forth in the record and susceptible to review.”</w:t>
      </w:r>
      <w:r w:rsidRPr="00286FC8">
        <w:rPr>
          <w:vertAlign w:val="superscript"/>
        </w:rPr>
        <w:footnoteReference w:id="10"/>
      </w:r>
      <w:r w:rsidRPr="00286FC8">
        <w:t xml:space="preserve"> </w:t>
      </w:r>
    </w:p>
    <w:p w14:paraId="6C939D1F" w14:textId="77777777" w:rsidR="00900669" w:rsidRDefault="00286FC8" w:rsidP="00400A29">
      <w:pPr>
        <w:pStyle w:val="ListParagraph"/>
        <w:numPr>
          <w:ilvl w:val="0"/>
          <w:numId w:val="10"/>
        </w:numPr>
        <w:spacing w:after="240"/>
        <w:jc w:val="both"/>
        <w:rPr>
          <w:u w:val="single"/>
        </w:rPr>
      </w:pPr>
      <w:r w:rsidRPr="00400A29">
        <w:rPr>
          <w:u w:val="single"/>
        </w:rPr>
        <w:t>Parties’ Arguments</w:t>
      </w:r>
    </w:p>
    <w:p w14:paraId="75FF9D4D" w14:textId="77777777" w:rsidR="00900669" w:rsidRPr="00400A29" w:rsidRDefault="00900669" w:rsidP="00400A29">
      <w:pPr>
        <w:pStyle w:val="ListParagraph"/>
        <w:spacing w:after="240"/>
        <w:jc w:val="both"/>
        <w:rPr>
          <w:u w:val="single"/>
        </w:rPr>
      </w:pPr>
    </w:p>
    <w:p w14:paraId="6A429AAA" w14:textId="77777777" w:rsidR="00286FC8" w:rsidRPr="00400A29" w:rsidRDefault="00286FC8" w:rsidP="00400A29">
      <w:pPr>
        <w:pStyle w:val="ListParagraph"/>
        <w:numPr>
          <w:ilvl w:val="0"/>
          <w:numId w:val="11"/>
        </w:numPr>
        <w:spacing w:after="240"/>
        <w:jc w:val="both"/>
        <w:rPr>
          <w:u w:val="single"/>
        </w:rPr>
      </w:pPr>
      <w:r w:rsidRPr="00400A29">
        <w:rPr>
          <w:u w:val="single"/>
        </w:rPr>
        <w:t>EU’s Motion</w:t>
      </w:r>
    </w:p>
    <w:p w14:paraId="18346A2A" w14:textId="2AE79774" w:rsidR="00286FC8" w:rsidRPr="00286FC8" w:rsidRDefault="00286FC8" w:rsidP="00286FC8">
      <w:pPr>
        <w:spacing w:after="240"/>
        <w:jc w:val="both"/>
      </w:pPr>
      <w:r>
        <w:tab/>
      </w:r>
      <w:r w:rsidRPr="00286FC8">
        <w:t xml:space="preserve">EU alleges numerous points of fact and law that it believes </w:t>
      </w:r>
      <w:r w:rsidR="00900669">
        <w:t>we</w:t>
      </w:r>
      <w:r w:rsidRPr="00286FC8">
        <w:t xml:space="preserve"> overlooked or failed to consider in denying EU’s application. The majority of EU’s arguments touch on whether EU demonstrated there was a need for service in its proposed service area. EU relies on the following text of the order to argue that </w:t>
      </w:r>
      <w:r w:rsidR="00900669">
        <w:t>we</w:t>
      </w:r>
      <w:r w:rsidRPr="00286FC8">
        <w:t xml:space="preserve"> created a new standard for determining need for service:</w:t>
      </w:r>
    </w:p>
    <w:p w14:paraId="2DD99125" w14:textId="77777777" w:rsidR="00286FC8" w:rsidRPr="00286FC8" w:rsidRDefault="00286FC8" w:rsidP="00286FC8">
      <w:pPr>
        <w:spacing w:after="240"/>
        <w:ind w:left="720" w:right="720"/>
        <w:jc w:val="both"/>
      </w:pPr>
      <w:r w:rsidRPr="00286FC8">
        <w:t>The evidence in this docket does not contain any requests for service from existing property owners or potential developers. In addition, no evidence was presented to demonstrate that any state or local environmental regulator has mandated the installation of central sewer wastewater service in the proposed service territory at this time…</w:t>
      </w:r>
    </w:p>
    <w:p w14:paraId="0EA201A6" w14:textId="4864FB7B" w:rsidR="00286FC8" w:rsidRDefault="00286FC8" w:rsidP="00286FC8">
      <w:pPr>
        <w:pStyle w:val="OrderBody"/>
      </w:pPr>
      <w:r w:rsidRPr="00286FC8">
        <w:t xml:space="preserve">(Final Order at p. 10). According to EU, </w:t>
      </w:r>
      <w:r w:rsidR="00900669">
        <w:t>we</w:t>
      </w:r>
      <w:r w:rsidRPr="00286FC8">
        <w:t xml:space="preserve"> disregard how </w:t>
      </w:r>
      <w:r w:rsidR="00900669">
        <w:t>our</w:t>
      </w:r>
      <w:r w:rsidRPr="00286FC8">
        <w:t xml:space="preserve"> decision will promote an anti-environmental precedent that will make it virtually impossible for private utilities to implement septic-to-sewer projects along Florida’s coastline. The motion goes on to propose several ways in which </w:t>
      </w:r>
      <w:r w:rsidR="00900669">
        <w:t>we</w:t>
      </w:r>
      <w:r w:rsidRPr="00286FC8">
        <w:t xml:space="preserve"> ignored or failed to consider the County’s support of EU’s application, concluding that </w:t>
      </w:r>
      <w:r w:rsidR="00900669">
        <w:t>we</w:t>
      </w:r>
      <w:r w:rsidRPr="00286FC8">
        <w:t xml:space="preserve"> totally overlooked the testimony of the County’s representative, witness Craig Rudy (witness Rudy), as well as the </w:t>
      </w:r>
      <w:r w:rsidRPr="00286FC8">
        <w:rPr>
          <w:rFonts w:ascii="TimesNewRomanPSMT" w:hAnsi="TimesNewRomanPSMT" w:cs="TimesNewRomanPSMT"/>
          <w:sz w:val="23"/>
          <w:szCs w:val="23"/>
        </w:rPr>
        <w:t>September 27, 2021 letter</w:t>
      </w:r>
      <w:r w:rsidRPr="00286FC8">
        <w:t xml:space="preserve">. EU argues that </w:t>
      </w:r>
      <w:r w:rsidR="00900669">
        <w:t>we</w:t>
      </w:r>
      <w:r w:rsidR="00900669" w:rsidRPr="00286FC8">
        <w:t xml:space="preserve"> </w:t>
      </w:r>
      <w:r w:rsidRPr="00286FC8">
        <w:t>overlooked or misunderstood the significance of Charlotte County’s Mandatory Connection Ordinance (Ordinance) as it relates to EU’s application.</w:t>
      </w:r>
      <w:r w:rsidRPr="00286FC8">
        <w:rPr>
          <w:vertAlign w:val="superscript"/>
        </w:rPr>
        <w:footnoteReference w:id="11"/>
      </w:r>
      <w:r w:rsidRPr="00286FC8">
        <w:t xml:space="preserve"> EU also suggests that </w:t>
      </w:r>
      <w:r w:rsidR="00900669">
        <w:t>we</w:t>
      </w:r>
      <w:r w:rsidRPr="00286FC8">
        <w:t xml:space="preserve"> erroneously overlooked how EU’s application for a wastewater certificate is in compliance with the County’s Comprehensive Plan (Comp Plan). Likewise, EU suggests that without making a definitive ruling, </w:t>
      </w:r>
      <w:r w:rsidR="00900669">
        <w:t>we</w:t>
      </w:r>
      <w:r w:rsidRPr="00286FC8">
        <w:t xml:space="preserve"> ignored, misinterpreted or overlooked the intent of the County’s Sewer Master Plan (Master Plan). Moreover, EU posits that </w:t>
      </w:r>
      <w:r w:rsidR="00900669">
        <w:t>our</w:t>
      </w:r>
      <w:r w:rsidRPr="00286FC8">
        <w:t xml:space="preserve"> order completely ignores the significance of the Bulk Sewer Service Agreement entered into between EU and the County. Ultimately, EU concludes that </w:t>
      </w:r>
      <w:r w:rsidR="00900669">
        <w:t xml:space="preserve">our </w:t>
      </w:r>
      <w:r w:rsidRPr="00286FC8">
        <w:t>decision is not in the public interest.</w:t>
      </w:r>
    </w:p>
    <w:p w14:paraId="78260289" w14:textId="77777777" w:rsidR="00286FC8" w:rsidRDefault="00286FC8" w:rsidP="00286FC8">
      <w:pPr>
        <w:pStyle w:val="OrderBody"/>
      </w:pPr>
    </w:p>
    <w:p w14:paraId="653C3BAD" w14:textId="77777777" w:rsidR="00286FC8" w:rsidRPr="00400A29" w:rsidRDefault="00286FC8" w:rsidP="00400A29">
      <w:pPr>
        <w:pStyle w:val="ListParagraph"/>
        <w:numPr>
          <w:ilvl w:val="0"/>
          <w:numId w:val="11"/>
        </w:numPr>
        <w:spacing w:after="240"/>
        <w:jc w:val="both"/>
        <w:outlineLvl w:val="1"/>
        <w:rPr>
          <w:bCs/>
          <w:iCs/>
          <w:szCs w:val="28"/>
          <w:u w:val="single"/>
        </w:rPr>
      </w:pPr>
      <w:r w:rsidRPr="00400A29">
        <w:rPr>
          <w:bCs/>
          <w:iCs/>
          <w:szCs w:val="28"/>
          <w:u w:val="single"/>
        </w:rPr>
        <w:t>OPC Response</w:t>
      </w:r>
    </w:p>
    <w:p w14:paraId="52CA4A11" w14:textId="75C67854" w:rsidR="00286FC8" w:rsidRPr="00286FC8" w:rsidRDefault="00286FC8" w:rsidP="00286FC8">
      <w:pPr>
        <w:jc w:val="both"/>
      </w:pPr>
      <w:r>
        <w:tab/>
      </w:r>
      <w:r w:rsidRPr="00286FC8">
        <w:t xml:space="preserve">OPC states that its response is offered “solely for purposes of protecting the record in this case and for preservation of the principles of fairness” in </w:t>
      </w:r>
      <w:r w:rsidR="00900669">
        <w:t>our</w:t>
      </w:r>
      <w:r w:rsidR="00900669" w:rsidRPr="00286FC8">
        <w:t xml:space="preserve"> </w:t>
      </w:r>
      <w:r w:rsidRPr="00286FC8">
        <w:t xml:space="preserve">proceedings. Specifically referencing the June 28, 2022 letter from the County provided in EU’s “Notice of Filing Attachments to its Motion for Reconsideration,” OPC believes that EU’s motion is unauthorized </w:t>
      </w:r>
      <w:r w:rsidRPr="00286FC8">
        <w:lastRenderedPageBreak/>
        <w:t xml:space="preserve">since the letter was mailed to </w:t>
      </w:r>
      <w:r w:rsidR="00900669">
        <w:t>us</w:t>
      </w:r>
      <w:r w:rsidRPr="00286FC8">
        <w:t xml:space="preserve"> months after the record closed in February and weeks after </w:t>
      </w:r>
      <w:r w:rsidR="00900669">
        <w:t>we</w:t>
      </w:r>
      <w:r w:rsidRPr="00286FC8">
        <w:t xml:space="preserve"> took final agency action on June 7, 2022. As such, OPC contends the motion should be denied, as it is predicated primarily - if not entirely - on information that is blatantly outside the record.</w:t>
      </w:r>
    </w:p>
    <w:p w14:paraId="35884F6F" w14:textId="77777777" w:rsidR="00286FC8" w:rsidRPr="00286FC8" w:rsidRDefault="00286FC8" w:rsidP="00286FC8">
      <w:pPr>
        <w:jc w:val="both"/>
      </w:pPr>
    </w:p>
    <w:p w14:paraId="495C2652" w14:textId="77777777" w:rsidR="00286FC8" w:rsidRPr="00900669" w:rsidRDefault="00286FC8" w:rsidP="00400A29">
      <w:pPr>
        <w:pStyle w:val="ListParagraph"/>
        <w:numPr>
          <w:ilvl w:val="0"/>
          <w:numId w:val="11"/>
        </w:numPr>
        <w:spacing w:after="240"/>
        <w:jc w:val="both"/>
        <w:outlineLvl w:val="1"/>
        <w:rPr>
          <w:bCs/>
          <w:iCs/>
          <w:szCs w:val="28"/>
        </w:rPr>
      </w:pPr>
      <w:r w:rsidRPr="00400A29">
        <w:rPr>
          <w:bCs/>
          <w:iCs/>
          <w:szCs w:val="28"/>
          <w:u w:val="single"/>
        </w:rPr>
        <w:t>PIE Response</w:t>
      </w:r>
    </w:p>
    <w:p w14:paraId="6F36FF30" w14:textId="0AC7292E" w:rsidR="00286FC8" w:rsidRPr="00286FC8" w:rsidRDefault="00286FC8" w:rsidP="00286FC8">
      <w:pPr>
        <w:jc w:val="both"/>
      </w:pPr>
      <w:r>
        <w:tab/>
      </w:r>
      <w:r w:rsidRPr="00286FC8">
        <w:t xml:space="preserve">PIE argues that despite EU’s protestations, the record is replete with evidence and testimony supporting </w:t>
      </w:r>
      <w:r w:rsidR="00900669">
        <w:t>our</w:t>
      </w:r>
      <w:r w:rsidRPr="00286FC8">
        <w:t xml:space="preserve"> determination that there was no need for service, and that findings of fact by </w:t>
      </w:r>
      <w:r w:rsidR="00900669">
        <w:t xml:space="preserve">us </w:t>
      </w:r>
      <w:r w:rsidRPr="00286FC8">
        <w:t>cannot be disturbed if there is competent substantial evidence in the record.</w:t>
      </w:r>
      <w:r w:rsidRPr="00286FC8">
        <w:rPr>
          <w:vertAlign w:val="superscript"/>
        </w:rPr>
        <w:footnoteReference w:id="12"/>
      </w:r>
      <w:r w:rsidRPr="00286FC8">
        <w:t xml:space="preserve"> According to PIE, </w:t>
      </w:r>
      <w:r w:rsidR="00900669">
        <w:t>we</w:t>
      </w:r>
      <w:r w:rsidRPr="00286FC8">
        <w:t xml:space="preserve"> appropriately determined there was no need for service and that, therefore, the public interest would not be served if the application was granted. EU cannot point to anything in the record that would undercut this finding; it provides no facts, only counsel’s previously rejected arguments, and its attempt to go outside the record to inject </w:t>
      </w:r>
      <w:r w:rsidR="00467CC9">
        <w:t>the</w:t>
      </w:r>
      <w:r w:rsidR="00467CC9" w:rsidRPr="00286FC8">
        <w:t xml:space="preserve"> </w:t>
      </w:r>
      <w:r w:rsidRPr="00286FC8">
        <w:t xml:space="preserve">County’s post-hearing unsworn correspondence as support for the application is wholly improper. PIE contends that EU’s motion should be denied because the record provides ample competent substantial evidence in support of </w:t>
      </w:r>
      <w:r w:rsidR="00900669">
        <w:t>our</w:t>
      </w:r>
      <w:r w:rsidRPr="00286FC8">
        <w:t xml:space="preserve"> findings of fact and conclusions of law.</w:t>
      </w:r>
    </w:p>
    <w:p w14:paraId="2BE8C7C1" w14:textId="77777777" w:rsidR="00286FC8" w:rsidRPr="00286FC8" w:rsidRDefault="00286FC8" w:rsidP="00286FC8">
      <w:pPr>
        <w:jc w:val="both"/>
      </w:pPr>
    </w:p>
    <w:p w14:paraId="1C43FF92" w14:textId="77777777" w:rsidR="00286FC8" w:rsidRPr="00400A29" w:rsidRDefault="00286FC8" w:rsidP="00400A29">
      <w:pPr>
        <w:pStyle w:val="ListParagraph"/>
        <w:numPr>
          <w:ilvl w:val="0"/>
          <w:numId w:val="11"/>
        </w:numPr>
        <w:spacing w:after="240"/>
        <w:jc w:val="both"/>
        <w:outlineLvl w:val="1"/>
        <w:rPr>
          <w:bCs/>
          <w:iCs/>
          <w:szCs w:val="28"/>
          <w:u w:val="single"/>
        </w:rPr>
      </w:pPr>
      <w:r w:rsidRPr="00400A29">
        <w:rPr>
          <w:bCs/>
          <w:iCs/>
          <w:szCs w:val="28"/>
          <w:u w:val="single"/>
        </w:rPr>
        <w:t>LC Response</w:t>
      </w:r>
    </w:p>
    <w:p w14:paraId="77B05050" w14:textId="5F3BE916" w:rsidR="00286FC8" w:rsidRPr="00286FC8" w:rsidRDefault="00286FC8" w:rsidP="00286FC8">
      <w:pPr>
        <w:jc w:val="both"/>
      </w:pPr>
      <w:r>
        <w:tab/>
      </w:r>
      <w:r w:rsidRPr="00286FC8">
        <w:t xml:space="preserve">LC argues that </w:t>
      </w:r>
      <w:r w:rsidR="00900669">
        <w:t xml:space="preserve">we </w:t>
      </w:r>
      <w:r w:rsidRPr="00286FC8">
        <w:t>should deny EU’s motion. LC posits that EU appears to be testifying after the fact, using words like "intent," "obviously," "apparent," and "tantamount to" – language frequently employed in the absence of evidence. While EU states that reconsideration should be based on "specific factual matters set forth in the record and susceptible to review," the motion introduces elements that were not part of the record and were delivered after the order was posted. And while EU points out that "it is not appropriate to reargue matters that have already been considered," LC maintains that much of the motion consists of relitigating points that were previously made and reviewed.</w:t>
      </w:r>
    </w:p>
    <w:p w14:paraId="420609D1" w14:textId="77777777" w:rsidR="00286FC8" w:rsidRPr="00286FC8" w:rsidRDefault="00286FC8" w:rsidP="00286FC8">
      <w:pPr>
        <w:jc w:val="both"/>
      </w:pPr>
    </w:p>
    <w:p w14:paraId="7CB38165" w14:textId="1869E968" w:rsidR="00286FC8" w:rsidRPr="00400A29" w:rsidRDefault="00286FC8" w:rsidP="00400A29">
      <w:pPr>
        <w:pStyle w:val="ListParagraph"/>
        <w:numPr>
          <w:ilvl w:val="0"/>
          <w:numId w:val="10"/>
        </w:numPr>
        <w:spacing w:after="240"/>
        <w:jc w:val="both"/>
        <w:rPr>
          <w:u w:val="single"/>
        </w:rPr>
      </w:pPr>
      <w:r w:rsidRPr="00400A29">
        <w:rPr>
          <w:u w:val="single"/>
        </w:rPr>
        <w:t>Analysis</w:t>
      </w:r>
    </w:p>
    <w:p w14:paraId="0D78042B" w14:textId="6EF8F635" w:rsidR="00286FC8" w:rsidRDefault="00286FC8" w:rsidP="00286FC8">
      <w:pPr>
        <w:pStyle w:val="OrderBody"/>
      </w:pPr>
      <w:r>
        <w:tab/>
      </w:r>
      <w:r w:rsidR="00900669">
        <w:t>We</w:t>
      </w:r>
      <w:r w:rsidRPr="00286FC8">
        <w:t xml:space="preserve"> disagree with EU that there are points of fact or law that </w:t>
      </w:r>
      <w:r w:rsidR="00900669">
        <w:t xml:space="preserve">we </w:t>
      </w:r>
      <w:r w:rsidRPr="00286FC8">
        <w:t xml:space="preserve">overlooked or failed to consider in denying EU’s application for wastewater certification. EU’s criticism of </w:t>
      </w:r>
      <w:r w:rsidR="00900669">
        <w:t>our</w:t>
      </w:r>
      <w:r w:rsidRPr="00286FC8">
        <w:t xml:space="preserve"> decision is merely reargument, which is not grounds for reconsideration.</w:t>
      </w:r>
    </w:p>
    <w:p w14:paraId="50449E7E" w14:textId="77777777" w:rsidR="00286FC8" w:rsidRDefault="00286FC8" w:rsidP="00286FC8">
      <w:pPr>
        <w:pStyle w:val="OrderBody"/>
      </w:pPr>
    </w:p>
    <w:p w14:paraId="73811C71" w14:textId="77777777" w:rsidR="00286FC8" w:rsidRPr="00286FC8" w:rsidRDefault="00286FC8" w:rsidP="00286FC8">
      <w:pPr>
        <w:numPr>
          <w:ilvl w:val="0"/>
          <w:numId w:val="2"/>
        </w:numPr>
        <w:spacing w:after="240"/>
        <w:jc w:val="both"/>
        <w:rPr>
          <w:b/>
        </w:rPr>
      </w:pPr>
      <w:r w:rsidRPr="00286FC8">
        <w:rPr>
          <w:b/>
        </w:rPr>
        <w:t>New Legal Standard (Need for Service)</w:t>
      </w:r>
    </w:p>
    <w:p w14:paraId="3B2CFEA2" w14:textId="7D01CA05" w:rsidR="00286FC8" w:rsidRPr="00286FC8" w:rsidRDefault="00286FC8" w:rsidP="00286FC8">
      <w:pPr>
        <w:spacing w:after="240"/>
        <w:jc w:val="both"/>
      </w:pPr>
      <w:r>
        <w:tab/>
      </w:r>
      <w:r w:rsidRPr="00286FC8">
        <w:t xml:space="preserve">EU claims that </w:t>
      </w:r>
      <w:r w:rsidR="00900669">
        <w:t>we</w:t>
      </w:r>
      <w:r w:rsidRPr="00286FC8">
        <w:t xml:space="preserve"> derived a new standard for determining need for service. Rule 25-30.033(1)(k), F.A.C, sets forth the information to be filed in order to demonstrate there is a need for service in a proposed service area as follows:</w:t>
      </w:r>
    </w:p>
    <w:p w14:paraId="48314FC3" w14:textId="77777777" w:rsidR="00286FC8" w:rsidRPr="00286FC8" w:rsidRDefault="00286FC8" w:rsidP="00286FC8">
      <w:pPr>
        <w:numPr>
          <w:ilvl w:val="0"/>
          <w:numId w:val="1"/>
        </w:numPr>
        <w:ind w:right="630"/>
        <w:jc w:val="both"/>
      </w:pPr>
      <w:r w:rsidRPr="00286FC8">
        <w:t xml:space="preserve">The number of customers currently being served and proposed to be served, by customer class and meter size, including a description of the types of customers currently being served and anticipated to be served, i.e., single family homes, </w:t>
      </w:r>
      <w:r w:rsidRPr="00286FC8">
        <w:lastRenderedPageBreak/>
        <w:t>mobile homes, duplexes, golf course clubhouse, or commercial. If the development will be in phases, this information shall be separated by phase;</w:t>
      </w:r>
    </w:p>
    <w:p w14:paraId="26CDCD8C" w14:textId="77777777" w:rsidR="00286FC8" w:rsidRPr="00286FC8" w:rsidRDefault="00286FC8" w:rsidP="00286FC8">
      <w:pPr>
        <w:numPr>
          <w:ilvl w:val="0"/>
          <w:numId w:val="1"/>
        </w:numPr>
        <w:ind w:right="630"/>
        <w:jc w:val="both"/>
      </w:pPr>
      <w:r w:rsidRPr="00286FC8">
        <w:t>A copy of all requests for service from property owners or developers in areas not currently served;</w:t>
      </w:r>
    </w:p>
    <w:p w14:paraId="4053484E" w14:textId="77777777" w:rsidR="00286FC8" w:rsidRPr="00286FC8" w:rsidRDefault="00286FC8" w:rsidP="00286FC8">
      <w:pPr>
        <w:numPr>
          <w:ilvl w:val="0"/>
          <w:numId w:val="1"/>
        </w:numPr>
        <w:ind w:right="630"/>
        <w:jc w:val="both"/>
      </w:pPr>
      <w:r w:rsidRPr="00286FC8">
        <w:t>The current land use designation of the proposed service territory as described in the local comprehensive plan at the time the application is filed. If the proposed development will require a revision to the comprehensive plan, describe the steps taken and to be taken to facilitate those changes, including changes needed to address the proposed need for service; and,</w:t>
      </w:r>
    </w:p>
    <w:p w14:paraId="5609A702" w14:textId="77777777" w:rsidR="00286FC8" w:rsidRPr="00286FC8" w:rsidRDefault="00286FC8" w:rsidP="00286FC8">
      <w:pPr>
        <w:numPr>
          <w:ilvl w:val="0"/>
          <w:numId w:val="1"/>
        </w:numPr>
        <w:ind w:right="630"/>
        <w:jc w:val="both"/>
      </w:pPr>
      <w:r w:rsidRPr="00286FC8">
        <w:t>Any known land use restrictions, such as environmental restrictions imposed by governmental authorities.</w:t>
      </w:r>
    </w:p>
    <w:p w14:paraId="4B58ED4A" w14:textId="77777777" w:rsidR="00286FC8" w:rsidRPr="00286FC8" w:rsidRDefault="00286FC8" w:rsidP="00286FC8">
      <w:pPr>
        <w:ind w:right="630"/>
        <w:jc w:val="both"/>
      </w:pPr>
    </w:p>
    <w:p w14:paraId="2D940980" w14:textId="48B02637" w:rsidR="00286FC8" w:rsidRPr="00286FC8" w:rsidRDefault="00286FC8" w:rsidP="00286FC8">
      <w:pPr>
        <w:jc w:val="both"/>
      </w:pPr>
      <w:r>
        <w:tab/>
      </w:r>
      <w:r w:rsidRPr="00286FC8">
        <w:t xml:space="preserve">This information may be weighed at </w:t>
      </w:r>
      <w:r w:rsidR="00900669">
        <w:t>our</w:t>
      </w:r>
      <w:r w:rsidRPr="00286FC8">
        <w:t xml:space="preserve"> discretion when determining whether a need for service exists. Exercising that discretion does not itself create a new legal standard as argued in EU’s motion. To the contrary, discretion is an essential feature of any request for wastewater certification because no two service areas are ever the same. </w:t>
      </w:r>
    </w:p>
    <w:p w14:paraId="233D3045" w14:textId="77777777" w:rsidR="00286FC8" w:rsidRPr="00286FC8" w:rsidRDefault="00286FC8" w:rsidP="00286FC8">
      <w:pPr>
        <w:jc w:val="both"/>
      </w:pPr>
    </w:p>
    <w:p w14:paraId="7D718674" w14:textId="0B61FD8D" w:rsidR="00286FC8" w:rsidRDefault="00286FC8" w:rsidP="00286FC8">
      <w:pPr>
        <w:pStyle w:val="OrderBody"/>
      </w:pPr>
      <w:r>
        <w:tab/>
      </w:r>
      <w:r w:rsidR="00900669">
        <w:t>We</w:t>
      </w:r>
      <w:r w:rsidRPr="00286FC8">
        <w:t xml:space="preserve"> held two service hearings in this docket: one on February 8, 2022, and one the following morning on February 9, 2022. Customers participating at those service hearings were overwhelmingly opposed to EU’s application. So too was the correspondence received by </w:t>
      </w:r>
      <w:r w:rsidR="00900669">
        <w:t>us</w:t>
      </w:r>
      <w:r w:rsidRPr="00286FC8">
        <w:t xml:space="preserve"> while the record remained open. While EU strenuously argues that this customer communication was the inflated presence of a vocal minority, nothing in the record substantiates that argument.</w:t>
      </w:r>
    </w:p>
    <w:p w14:paraId="0740039C" w14:textId="77777777" w:rsidR="00286FC8" w:rsidRDefault="00286FC8" w:rsidP="00286FC8">
      <w:pPr>
        <w:pStyle w:val="OrderBody"/>
      </w:pPr>
    </w:p>
    <w:p w14:paraId="3DD727B4" w14:textId="71BF5C96" w:rsidR="00286FC8" w:rsidRPr="00286FC8" w:rsidRDefault="00286FC8" w:rsidP="00286FC8">
      <w:pPr>
        <w:jc w:val="both"/>
        <w:rPr>
          <w:color w:val="000000"/>
        </w:rPr>
      </w:pPr>
      <w:r w:rsidRPr="00286FC8">
        <w:t xml:space="preserve">Had EU presented evidence of customer support while the record was open, or had supportive property owners been present at service hearings or written </w:t>
      </w:r>
      <w:r w:rsidR="00900669">
        <w:t>us</w:t>
      </w:r>
      <w:r w:rsidRPr="00286FC8">
        <w:t xml:space="preserve">, then those sentiments could have been weighed by </w:t>
      </w:r>
      <w:r w:rsidR="00900669">
        <w:t>us</w:t>
      </w:r>
      <w:r w:rsidRPr="00286FC8">
        <w:t xml:space="preserve"> when deciding whether there was a need for service in the proposed service area. </w:t>
      </w:r>
    </w:p>
    <w:p w14:paraId="021AE86E" w14:textId="77777777" w:rsidR="00286FC8" w:rsidRPr="00286FC8" w:rsidRDefault="00286FC8" w:rsidP="00286FC8">
      <w:pPr>
        <w:jc w:val="both"/>
        <w:rPr>
          <w:color w:val="000000"/>
        </w:rPr>
      </w:pPr>
    </w:p>
    <w:p w14:paraId="5D5374BD" w14:textId="77777777" w:rsidR="00286FC8" w:rsidRPr="00286FC8" w:rsidRDefault="00286FC8" w:rsidP="00286FC8">
      <w:pPr>
        <w:numPr>
          <w:ilvl w:val="0"/>
          <w:numId w:val="2"/>
        </w:numPr>
        <w:spacing w:after="240"/>
        <w:jc w:val="both"/>
        <w:rPr>
          <w:b/>
        </w:rPr>
      </w:pPr>
      <w:r w:rsidRPr="00286FC8">
        <w:rPr>
          <w:b/>
        </w:rPr>
        <w:t xml:space="preserve">County Support of EU’s Application </w:t>
      </w:r>
    </w:p>
    <w:p w14:paraId="65B25A04" w14:textId="554FEA71" w:rsidR="00286FC8" w:rsidRPr="00286FC8" w:rsidRDefault="00286FC8" w:rsidP="00286FC8">
      <w:pPr>
        <w:spacing w:after="240"/>
        <w:jc w:val="both"/>
      </w:pPr>
      <w:r>
        <w:tab/>
      </w:r>
      <w:r w:rsidRPr="00286FC8">
        <w:t xml:space="preserve">EU argues at length in its motion that </w:t>
      </w:r>
      <w:r w:rsidR="00900669">
        <w:t>we</w:t>
      </w:r>
      <w:r w:rsidRPr="00286FC8">
        <w:t xml:space="preserve"> clearly misapplied or ignored the law when </w:t>
      </w:r>
      <w:r w:rsidR="00467CC9">
        <w:t>we</w:t>
      </w:r>
      <w:r w:rsidR="00467CC9" w:rsidRPr="00286FC8">
        <w:t xml:space="preserve"> </w:t>
      </w:r>
      <w:r w:rsidRPr="00286FC8">
        <w:t xml:space="preserve">failed to consider the County’s support of EU’s application. The different ways in which </w:t>
      </w:r>
      <w:r w:rsidR="00900669">
        <w:t xml:space="preserve">we </w:t>
      </w:r>
      <w:r w:rsidRPr="00286FC8">
        <w:t xml:space="preserve">allegedly failed to consider the County’s position of EU’s application are addressed in the following subsections. </w:t>
      </w:r>
    </w:p>
    <w:p w14:paraId="063436C1" w14:textId="77777777" w:rsidR="00286FC8" w:rsidRPr="00286FC8" w:rsidRDefault="00286FC8" w:rsidP="00286FC8">
      <w:pPr>
        <w:numPr>
          <w:ilvl w:val="0"/>
          <w:numId w:val="3"/>
        </w:numPr>
        <w:spacing w:after="240"/>
        <w:jc w:val="both"/>
      </w:pPr>
      <w:r w:rsidRPr="00286FC8">
        <w:rPr>
          <w:u w:val="single"/>
        </w:rPr>
        <w:t>Craig Rudy’s Testimony</w:t>
      </w:r>
    </w:p>
    <w:p w14:paraId="1C2541CA" w14:textId="47BA898A" w:rsidR="00286FC8" w:rsidRPr="00286FC8" w:rsidRDefault="00286FC8" w:rsidP="00286FC8">
      <w:pPr>
        <w:spacing w:after="240"/>
        <w:jc w:val="both"/>
      </w:pPr>
      <w:r>
        <w:tab/>
      </w:r>
      <w:r w:rsidRPr="00286FC8">
        <w:t xml:space="preserve">EU contends that </w:t>
      </w:r>
      <w:r w:rsidR="00900669">
        <w:t>we</w:t>
      </w:r>
      <w:r w:rsidRPr="00286FC8">
        <w:t xml:space="preserve"> ignored the testimony of witness Rudy or failed to weigh his testimony as the County’s designated representative. But </w:t>
      </w:r>
      <w:r w:rsidR="00900669">
        <w:t>we</w:t>
      </w:r>
      <w:r w:rsidRPr="00286FC8">
        <w:t xml:space="preserve"> believe EU misstates the clarity and weight to be given to witness Rudy’s testimony. </w:t>
      </w:r>
    </w:p>
    <w:p w14:paraId="5C599449" w14:textId="057A79FC" w:rsidR="00286FC8" w:rsidRPr="00286FC8" w:rsidRDefault="00286FC8" w:rsidP="00286FC8">
      <w:pPr>
        <w:spacing w:after="240"/>
        <w:jc w:val="both"/>
      </w:pPr>
      <w:r>
        <w:tab/>
      </w:r>
      <w:r w:rsidRPr="00286FC8">
        <w:t>It is true that in his deposition, witness Rudy stated that the County believed EU’s application to be consistent with the Comp Plan</w:t>
      </w:r>
      <w:r w:rsidR="00305C41">
        <w:t>,</w:t>
      </w:r>
      <w:r w:rsidRPr="00286FC8">
        <w:t xml:space="preserve"> but there is ample evidence in the record to show inconsistencies between EU’s application and the Comp Plan, which will be referenced in a subsequent subsection. And witness Rudy’s testimony did little to resolve the competing arguments presented by the parties in the course of the formal hearing held in this docket. </w:t>
      </w:r>
      <w:r w:rsidRPr="00286FC8">
        <w:lastRenderedPageBreak/>
        <w:t xml:space="preserve">Importantly, witness Rudy’s testimony was but one piece of evidence in an extensive evidentiary record, which </w:t>
      </w:r>
      <w:r w:rsidR="00900669">
        <w:t>we</w:t>
      </w:r>
      <w:r w:rsidRPr="00286FC8">
        <w:t xml:space="preserve"> weighed in its entirety. While </w:t>
      </w:r>
      <w:r w:rsidR="00900669">
        <w:t>we</w:t>
      </w:r>
      <w:r w:rsidRPr="00286FC8">
        <w:t xml:space="preserve"> received witness Rudy’s testimony in his capacity as the County’s representative, his deposition offered little substance for </w:t>
      </w:r>
      <w:r w:rsidR="00900669">
        <w:t>us</w:t>
      </w:r>
      <w:r w:rsidRPr="00286FC8">
        <w:t xml:space="preserve"> to rely on in making </w:t>
      </w:r>
      <w:r w:rsidR="00037282">
        <w:t>our</w:t>
      </w:r>
      <w:r w:rsidR="00037282" w:rsidRPr="00286FC8">
        <w:t xml:space="preserve"> </w:t>
      </w:r>
      <w:r w:rsidRPr="00286FC8">
        <w:t xml:space="preserve">final decision. Ultimately, his testimony was given the weight </w:t>
      </w:r>
      <w:r w:rsidR="00900669">
        <w:t>we</w:t>
      </w:r>
      <w:r w:rsidRPr="00286FC8">
        <w:t xml:space="preserve"> believed it deserved. </w:t>
      </w:r>
    </w:p>
    <w:p w14:paraId="739A8D4F" w14:textId="77602CCF" w:rsidR="00286FC8" w:rsidRPr="00286FC8" w:rsidRDefault="00286FC8" w:rsidP="00286FC8">
      <w:pPr>
        <w:spacing w:after="240"/>
        <w:jc w:val="both"/>
      </w:pPr>
      <w:r>
        <w:tab/>
      </w:r>
      <w:r w:rsidRPr="00286FC8">
        <w:t xml:space="preserve">The County letter authored by witness Rudy and Brandon Moody dated September 27, 2021, placed in the docket as correspondence, mirrored much of the substance of witness Rudy’s deposition testimony. Therefore, like witness Rudy’s testimony, it was given the weight </w:t>
      </w:r>
      <w:r w:rsidR="00900669">
        <w:t>we</w:t>
      </w:r>
      <w:r w:rsidRPr="00286FC8">
        <w:t xml:space="preserve"> believed it deserved. The crux of EU’s argument is that </w:t>
      </w:r>
      <w:r w:rsidR="00900669">
        <w:t>we</w:t>
      </w:r>
      <w:r w:rsidRPr="00286FC8">
        <w:t xml:space="preserve"> should have relied more on witness Rudy’s testimony and the County’s correspondence, but such arguments are not grounds for reconsideration.</w:t>
      </w:r>
    </w:p>
    <w:p w14:paraId="0B2BF2E8" w14:textId="77777777" w:rsidR="00286FC8" w:rsidRPr="00286FC8" w:rsidRDefault="00286FC8" w:rsidP="00286FC8">
      <w:pPr>
        <w:numPr>
          <w:ilvl w:val="0"/>
          <w:numId w:val="3"/>
        </w:numPr>
        <w:spacing w:after="240"/>
        <w:jc w:val="both"/>
        <w:rPr>
          <w:u w:val="single"/>
        </w:rPr>
      </w:pPr>
      <w:r w:rsidRPr="00286FC8">
        <w:rPr>
          <w:u w:val="single"/>
        </w:rPr>
        <w:t>Environmental Restrictions and Need</w:t>
      </w:r>
    </w:p>
    <w:p w14:paraId="301274A4" w14:textId="3FAACA5E" w:rsidR="00286FC8" w:rsidRDefault="00286FC8" w:rsidP="00286FC8">
      <w:pPr>
        <w:pStyle w:val="OrderBody"/>
        <w:rPr>
          <w:color w:val="000000"/>
        </w:rPr>
      </w:pPr>
      <w:r>
        <w:tab/>
      </w:r>
      <w:r w:rsidRPr="00286FC8">
        <w:t xml:space="preserve">During the hearing and in its post-hearing brief, EU argued that there is a need for its central sewer system due to failing septic tanks in the proposed service territory contributing to red tide and water quality degradation of Lemon Bay and the Gulf of Mexico. </w:t>
      </w:r>
      <w:r w:rsidRPr="00286FC8">
        <w:rPr>
          <w:color w:val="000000"/>
        </w:rPr>
        <w:t xml:space="preserve">EU also cited the Florida Governor as making the environmental remediation of the area a priority. According to EU, all of these factors led the County to support its application. </w:t>
      </w:r>
      <w:r w:rsidRPr="00286FC8">
        <w:t xml:space="preserve">Yet, based on Rule 25-30.033(1)(k)(4), F.A.C., </w:t>
      </w:r>
      <w:r w:rsidR="00900669">
        <w:t>we</w:t>
      </w:r>
      <w:r w:rsidRPr="00286FC8">
        <w:t xml:space="preserve"> found the absence of a specific environmental restriction or mandate more compelling than the general assertions made by EU. Although EU disagrees with how </w:t>
      </w:r>
      <w:r w:rsidR="00900669">
        <w:t>we</w:t>
      </w:r>
      <w:r w:rsidRPr="00286FC8">
        <w:t xml:space="preserve"> weighed evidence of an environmental need, </w:t>
      </w:r>
      <w:r w:rsidRPr="00286FC8">
        <w:rPr>
          <w:color w:val="000000"/>
        </w:rPr>
        <w:t>such disagreements are not grounds for reconsideration.</w:t>
      </w:r>
    </w:p>
    <w:p w14:paraId="4F11808F" w14:textId="77777777" w:rsidR="00286FC8" w:rsidRDefault="00286FC8" w:rsidP="00286FC8">
      <w:pPr>
        <w:pStyle w:val="OrderBody"/>
        <w:rPr>
          <w:color w:val="000000"/>
        </w:rPr>
      </w:pPr>
    </w:p>
    <w:p w14:paraId="6D7DC4A4" w14:textId="77777777" w:rsidR="00286FC8" w:rsidRPr="00286FC8" w:rsidRDefault="00286FC8" w:rsidP="00286FC8">
      <w:pPr>
        <w:numPr>
          <w:ilvl w:val="0"/>
          <w:numId w:val="3"/>
        </w:numPr>
        <w:spacing w:after="240"/>
        <w:jc w:val="both"/>
      </w:pPr>
      <w:r w:rsidRPr="00286FC8">
        <w:rPr>
          <w:u w:val="single"/>
        </w:rPr>
        <w:t>Mandatory Connection Ordinance</w:t>
      </w:r>
    </w:p>
    <w:p w14:paraId="143F2D12" w14:textId="66519705" w:rsidR="00286FC8" w:rsidRPr="00286FC8" w:rsidRDefault="00286FC8" w:rsidP="00286FC8">
      <w:pPr>
        <w:spacing w:after="240"/>
        <w:jc w:val="both"/>
      </w:pPr>
      <w:r>
        <w:tab/>
      </w:r>
      <w:r w:rsidRPr="00286FC8">
        <w:t xml:space="preserve">EU contends that </w:t>
      </w:r>
      <w:r w:rsidR="00900669">
        <w:t>we</w:t>
      </w:r>
      <w:r w:rsidRPr="00286FC8">
        <w:t xml:space="preserve"> overlooked or misunderstood the significance of the Ordinance. Yet, there is no evidence in the record to support this claim. The County’s Ordinance was discussed at length during the formal hearing held in this docket. The parties presented arguments about the Ordinance in their post-hearing briefs. In </w:t>
      </w:r>
      <w:r w:rsidR="00900669">
        <w:t>our</w:t>
      </w:r>
      <w:r w:rsidRPr="00286FC8">
        <w:t xml:space="preserve"> deliberations during the June 7, 2022 Agenda Conference, the Ordinance was discussed before voting to deny EU’s application for certification. Unlike what is described in EU’s motion, the Ordinance and its implications were fully fleshed out. As discussed in </w:t>
      </w:r>
      <w:r w:rsidR="00900669">
        <w:t>our</w:t>
      </w:r>
      <w:r w:rsidRPr="00286FC8">
        <w:t xml:space="preserve"> final order, </w:t>
      </w:r>
      <w:r w:rsidRPr="00057CB3">
        <w:t>“</w:t>
      </w:r>
      <w:r w:rsidR="00EC1D94">
        <w:t>We</w:t>
      </w:r>
      <w:r w:rsidRPr="00057CB3">
        <w:t xml:space="preserve"> d</w:t>
      </w:r>
      <w:r w:rsidRPr="00286FC8">
        <w:t>id not consider the existence of the mandatory connection ordinance dispositive of the issue of need for service.” (Final Order pp. 8-9).</w:t>
      </w:r>
    </w:p>
    <w:p w14:paraId="56B0CA07" w14:textId="31E68538" w:rsidR="00286FC8" w:rsidRPr="00286FC8" w:rsidRDefault="00286FC8" w:rsidP="00286FC8">
      <w:pPr>
        <w:spacing w:after="240"/>
        <w:jc w:val="both"/>
      </w:pPr>
      <w:r>
        <w:tab/>
      </w:r>
      <w:r w:rsidRPr="00286FC8">
        <w:t xml:space="preserve">Nor did </w:t>
      </w:r>
      <w:r w:rsidR="00900669">
        <w:t>we</w:t>
      </w:r>
      <w:r w:rsidRPr="00286FC8">
        <w:t xml:space="preserve"> misunderstand the Ordinance. The words in a statute are the best guide to legislative intent:</w:t>
      </w:r>
      <w:r w:rsidR="00EC1D94">
        <w:t xml:space="preserve"> </w:t>
      </w:r>
      <w:r w:rsidRPr="00286FC8">
        <w:t>a statute's text is the most reliable and authoritative expression of the legislature's intent.</w:t>
      </w:r>
      <w:r w:rsidRPr="00286FC8">
        <w:rPr>
          <w:vertAlign w:val="superscript"/>
        </w:rPr>
        <w:footnoteReference w:id="13"/>
      </w:r>
      <w:r w:rsidRPr="00286FC8">
        <w:t xml:space="preserve"> Like a statute, an Ordinance’s text is the most reliable and authoritative expression of the County’s intent. Section 3-8-41(a), Charlotte County Ordinances, states in pertinent part, “[a]ll developed property must connect the plumbing system for any structure on </w:t>
      </w:r>
      <w:r w:rsidRPr="00286FC8">
        <w:lastRenderedPageBreak/>
        <w:t xml:space="preserve">the property to an available public or private sewer system within three hundred sixty-five (365) days after written notification by the public or private sewer system that the system is available for connection.” The plain text of the Ordinance shows that it only becomes operative once a system is available for connection. Thus where there is no system to speak of, the Ordinance has no legal effect. Nothing in the text of the Ordinance references whether a sewer system should be present in a service area in the first place. It appears as if EU is asking </w:t>
      </w:r>
      <w:r w:rsidR="00900669">
        <w:t>us</w:t>
      </w:r>
      <w:r w:rsidRPr="00286FC8">
        <w:t xml:space="preserve"> to infer motivations of the County from the mere existence of the Ordinance, which </w:t>
      </w:r>
      <w:r w:rsidR="00900669">
        <w:t>we</w:t>
      </w:r>
      <w:r w:rsidRPr="00286FC8">
        <w:t xml:space="preserve"> believe is not supported by the record evidence. </w:t>
      </w:r>
    </w:p>
    <w:p w14:paraId="57435B1D" w14:textId="77777777" w:rsidR="00286FC8" w:rsidRPr="00286FC8" w:rsidRDefault="00286FC8" w:rsidP="00286FC8">
      <w:pPr>
        <w:numPr>
          <w:ilvl w:val="0"/>
          <w:numId w:val="3"/>
        </w:numPr>
        <w:spacing w:after="240"/>
        <w:jc w:val="both"/>
      </w:pPr>
      <w:r w:rsidRPr="00286FC8">
        <w:rPr>
          <w:u w:val="single"/>
        </w:rPr>
        <w:t>Comprehensive Plan</w:t>
      </w:r>
    </w:p>
    <w:p w14:paraId="4E0B48F1" w14:textId="2A447C56" w:rsidR="00286FC8" w:rsidRPr="00286FC8" w:rsidRDefault="00286FC8" w:rsidP="00286FC8">
      <w:pPr>
        <w:spacing w:after="240"/>
        <w:jc w:val="both"/>
      </w:pPr>
      <w:r>
        <w:tab/>
      </w:r>
      <w:r w:rsidRPr="00286FC8">
        <w:t>EU’s motion contends that, “when determining that central wastewater service was inconsistent with the County’s comprehe</w:t>
      </w:r>
      <w:r w:rsidRPr="00057CB3">
        <w:t xml:space="preserve">nsive plan </w:t>
      </w:r>
      <w:r w:rsidR="00057CB3">
        <w:t>[</w:t>
      </w:r>
      <w:r w:rsidRPr="00967AAE">
        <w:t>this Commission</w:t>
      </w:r>
      <w:r w:rsidR="00057CB3">
        <w:t>]</w:t>
      </w:r>
      <w:r w:rsidRPr="00286FC8">
        <w:t xml:space="preserve"> overlooked that compliance with the Comprehensive Plan is obvious from the fact that central Utility services are already being provided on the islands.”</w:t>
      </w:r>
    </w:p>
    <w:p w14:paraId="21FA247D" w14:textId="23316B4D" w:rsidR="00286FC8" w:rsidRDefault="00286FC8" w:rsidP="00286FC8">
      <w:pPr>
        <w:pStyle w:val="OrderBody"/>
      </w:pPr>
      <w:r>
        <w:tab/>
      </w:r>
      <w:r w:rsidR="00900669">
        <w:t>We are</w:t>
      </w:r>
      <w:r w:rsidRPr="00286FC8">
        <w:t xml:space="preserve"> granted the discretion whether to defer to a comprehensive plan when deciding whether to grant a wastewater certificate.</w:t>
      </w:r>
      <w:r w:rsidRPr="00286FC8">
        <w:rPr>
          <w:vertAlign w:val="superscript"/>
        </w:rPr>
        <w:footnoteReference w:id="14"/>
      </w:r>
      <w:r w:rsidRPr="00286FC8">
        <w:t xml:space="preserve"> In compliance with the statute, </w:t>
      </w:r>
      <w:r w:rsidR="00900669">
        <w:t>we</w:t>
      </w:r>
      <w:r w:rsidRPr="00286FC8">
        <w:t xml:space="preserve"> considered the plan, and in addressing the relationship between EU’s application and the comprehensive plan found inconsistencies between the two. For example, the record reflects that EU’s proposed service area is designated as a Rural Service Area, according to the comprehensive plan. </w:t>
      </w:r>
      <w:r w:rsidR="00900669">
        <w:t>Our</w:t>
      </w:r>
      <w:r w:rsidRPr="00286FC8">
        <w:t xml:space="preserve"> order notes the following:</w:t>
      </w:r>
    </w:p>
    <w:p w14:paraId="14568835" w14:textId="77777777" w:rsidR="00286FC8" w:rsidRDefault="00286FC8" w:rsidP="00286FC8">
      <w:pPr>
        <w:pStyle w:val="OrderBody"/>
      </w:pPr>
    </w:p>
    <w:p w14:paraId="56B426F4" w14:textId="77777777" w:rsidR="00286FC8" w:rsidRPr="00286FC8" w:rsidRDefault="00286FC8" w:rsidP="00286FC8">
      <w:pPr>
        <w:ind w:left="720" w:right="720"/>
        <w:jc w:val="both"/>
        <w:rPr>
          <w:color w:val="000000"/>
        </w:rPr>
      </w:pPr>
      <w:r w:rsidRPr="00286FC8">
        <w:rPr>
          <w:color w:val="000000"/>
        </w:rPr>
        <w:t xml:space="preserve">[T]he Rural Service Area designation has multiple elements that explicitly reference Commission-regulated utilities and does not appear to support the construction of central sewer systems. </w:t>
      </w:r>
      <w:r w:rsidRPr="00286FC8">
        <w:t xml:space="preserve">WSW </w:t>
      </w:r>
      <w:r w:rsidRPr="00286FC8">
        <w:rPr>
          <w:color w:val="000000"/>
        </w:rPr>
        <w:t>Policy 3.2.4 states “The County shall discourage expansion of service areas of Utility companies regulated by the [Commission] to any areas outside of the Urban Service area . . .” PIE witness Hardgrove highlighted FLU Policy 3.2.4 which states that the Rural Service Area shall “continue to rely primarily upon individual on-site septic systems as the method of disposal of wastewater.” The same policy further bans new developments in the Rural Service Area from being constructed with central sewer systems, but does allow an exemption if it is “clearly and convincingly demonstrated by the proponents of the system expansion that a health problem exists in a built but unserved area for which there is no other feasible solution.”</w:t>
      </w:r>
    </w:p>
    <w:p w14:paraId="58474657" w14:textId="77777777" w:rsidR="00286FC8" w:rsidRPr="00286FC8" w:rsidRDefault="00286FC8" w:rsidP="00286FC8">
      <w:pPr>
        <w:ind w:left="720" w:right="720"/>
        <w:jc w:val="both"/>
        <w:rPr>
          <w:color w:val="000000"/>
        </w:rPr>
      </w:pPr>
    </w:p>
    <w:p w14:paraId="4162606E" w14:textId="39EE3061" w:rsidR="00286FC8" w:rsidRPr="00286FC8" w:rsidRDefault="00286FC8" w:rsidP="00286FC8">
      <w:pPr>
        <w:jc w:val="both"/>
      </w:pPr>
      <w:r w:rsidRPr="00286FC8">
        <w:t xml:space="preserve">(Final Order p. 10). The aforementioned land designation and policies contained within the comprehensive plan led </w:t>
      </w:r>
      <w:r w:rsidR="00900669">
        <w:t>us</w:t>
      </w:r>
      <w:r w:rsidRPr="00286FC8">
        <w:t xml:space="preserve"> to conclude that EU’s application is inconsistent with the plan. </w:t>
      </w:r>
    </w:p>
    <w:p w14:paraId="761A3A38" w14:textId="77777777" w:rsidR="00286FC8" w:rsidRPr="00286FC8" w:rsidRDefault="00286FC8" w:rsidP="00286FC8">
      <w:pPr>
        <w:jc w:val="both"/>
      </w:pPr>
    </w:p>
    <w:p w14:paraId="67386383" w14:textId="228EBCE2" w:rsidR="00286FC8" w:rsidRPr="00286FC8" w:rsidRDefault="00286FC8" w:rsidP="00286FC8">
      <w:pPr>
        <w:jc w:val="both"/>
      </w:pPr>
      <w:r>
        <w:tab/>
      </w:r>
      <w:r w:rsidRPr="00286FC8">
        <w:t xml:space="preserve">This is yet another instance where EU offers reargument instead of a point of fact or law that </w:t>
      </w:r>
      <w:r w:rsidR="00900669">
        <w:t xml:space="preserve">we </w:t>
      </w:r>
      <w:r w:rsidRPr="00286FC8">
        <w:t xml:space="preserve">overlooked or failed to consider in rendering the order. Therefore, EU’s arguments that </w:t>
      </w:r>
      <w:r w:rsidR="00900669">
        <w:lastRenderedPageBreak/>
        <w:t>we</w:t>
      </w:r>
      <w:r w:rsidRPr="00286FC8">
        <w:t xml:space="preserve"> overlooked EU’s compliance with the Comp Plan are without merit, and </w:t>
      </w:r>
      <w:r w:rsidR="00900669">
        <w:t>we</w:t>
      </w:r>
      <w:r w:rsidRPr="00286FC8">
        <w:t xml:space="preserve"> believe they are not grounds for reconsideration.</w:t>
      </w:r>
    </w:p>
    <w:p w14:paraId="794E8B74" w14:textId="77777777" w:rsidR="00286FC8" w:rsidRPr="00286FC8" w:rsidRDefault="00286FC8" w:rsidP="00286FC8">
      <w:pPr>
        <w:jc w:val="both"/>
      </w:pPr>
    </w:p>
    <w:p w14:paraId="5548CC70" w14:textId="77777777" w:rsidR="00286FC8" w:rsidRPr="00286FC8" w:rsidRDefault="00286FC8" w:rsidP="00286FC8">
      <w:pPr>
        <w:numPr>
          <w:ilvl w:val="0"/>
          <w:numId w:val="3"/>
        </w:numPr>
        <w:spacing w:after="240"/>
        <w:ind w:right="630"/>
        <w:jc w:val="both"/>
      </w:pPr>
      <w:r w:rsidRPr="00286FC8">
        <w:rPr>
          <w:u w:val="single"/>
        </w:rPr>
        <w:t>Sewer Master Plan</w:t>
      </w:r>
    </w:p>
    <w:p w14:paraId="64D7C2B8" w14:textId="364B3AFE" w:rsidR="00286FC8" w:rsidRPr="00286FC8" w:rsidRDefault="00286FC8" w:rsidP="00286FC8">
      <w:pPr>
        <w:spacing w:after="240"/>
        <w:jc w:val="both"/>
      </w:pPr>
      <w:r>
        <w:tab/>
      </w:r>
      <w:r w:rsidRPr="00286FC8">
        <w:t>EU suggests that without making a “definitive” ruling,</w:t>
      </w:r>
      <w:r w:rsidRPr="00286FC8">
        <w:rPr>
          <w:vertAlign w:val="superscript"/>
        </w:rPr>
        <w:footnoteReference w:id="15"/>
      </w:r>
      <w:r w:rsidRPr="00286FC8">
        <w:t xml:space="preserve"> </w:t>
      </w:r>
      <w:r w:rsidR="00900669">
        <w:t>we</w:t>
      </w:r>
      <w:r w:rsidRPr="00286FC8">
        <w:t xml:space="preserve"> ignored, misinterpreted or overlooked the intent of the Sewer Master Plan. As noted in </w:t>
      </w:r>
      <w:r w:rsidR="00900669">
        <w:t>our</w:t>
      </w:r>
      <w:r w:rsidRPr="00286FC8">
        <w:t xml:space="preserve"> order, </w:t>
      </w:r>
      <w:r w:rsidR="00900669">
        <w:t>we have</w:t>
      </w:r>
      <w:r w:rsidRPr="00286FC8">
        <w:t xml:space="preserve"> no statutory or rule requirement to consider the Master Plan. Just as </w:t>
      </w:r>
      <w:r w:rsidR="00900669">
        <w:t>we are</w:t>
      </w:r>
      <w:r w:rsidRPr="00286FC8">
        <w:t xml:space="preserve"> not bound by a local comprehensive plan in a certificate proceeding, a document such as the Master Plan – which is not contemplated in Section 367.045, F.S., or Rule 25-30.033, F.A.C. – is not binding either. All the same, as set out in </w:t>
      </w:r>
      <w:r w:rsidR="00900669">
        <w:t>our</w:t>
      </w:r>
      <w:r w:rsidRPr="00286FC8">
        <w:t xml:space="preserve"> order, </w:t>
      </w:r>
      <w:r w:rsidR="00900669">
        <w:t>we</w:t>
      </w:r>
      <w:r w:rsidRPr="00286FC8">
        <w:t xml:space="preserve"> chose to address the Master Plan because it was identified as an issue in this docket, and there was substantial evidence and discussion at the hearing regarding this issue. </w:t>
      </w:r>
    </w:p>
    <w:p w14:paraId="44560B79" w14:textId="393C55FE" w:rsidR="00286FC8" w:rsidRDefault="00286FC8" w:rsidP="00286FC8">
      <w:pPr>
        <w:pStyle w:val="OrderBody"/>
      </w:pPr>
      <w:r>
        <w:tab/>
      </w:r>
      <w:r w:rsidRPr="00286FC8">
        <w:t xml:space="preserve">Contrary to EU’s contention, </w:t>
      </w:r>
      <w:r w:rsidR="00900669">
        <w:t>our</w:t>
      </w:r>
      <w:r w:rsidRPr="00286FC8">
        <w:t xml:space="preserve"> inclusion of an analysis of the Sewer Master Plan in </w:t>
      </w:r>
      <w:r w:rsidR="00900669">
        <w:t>our</w:t>
      </w:r>
      <w:r w:rsidRPr="00286FC8">
        <w:t xml:space="preserve"> own order is evidence that it was considered. Moreover, the Master Plan was interpreted based on the evidence presented at the final hearing. Although EU characterizes </w:t>
      </w:r>
      <w:r w:rsidR="00900669">
        <w:t>our</w:t>
      </w:r>
      <w:r w:rsidRPr="00286FC8">
        <w:t xml:space="preserve"> finding as “indecisive,” it is clear that </w:t>
      </w:r>
      <w:r w:rsidR="00900669">
        <w:t>we</w:t>
      </w:r>
      <w:r w:rsidRPr="00286FC8">
        <w:t xml:space="preserve"> did not find the Sewer Master Plan as compelling evidence towards the demonstration of need. </w:t>
      </w:r>
      <w:r w:rsidR="00900669">
        <w:t>We find</w:t>
      </w:r>
      <w:r w:rsidRPr="00286FC8">
        <w:t xml:space="preserve"> that EU’s criticism of </w:t>
      </w:r>
      <w:r w:rsidR="00900669">
        <w:t xml:space="preserve">our </w:t>
      </w:r>
      <w:r w:rsidRPr="00286FC8">
        <w:t>analysis of the Master Plan is reargument and does not merit reconsideration.</w:t>
      </w:r>
    </w:p>
    <w:p w14:paraId="3402F9C0" w14:textId="77777777" w:rsidR="00286FC8" w:rsidRDefault="00286FC8" w:rsidP="00286FC8">
      <w:pPr>
        <w:pStyle w:val="OrderBody"/>
      </w:pPr>
    </w:p>
    <w:p w14:paraId="7133F797" w14:textId="77777777" w:rsidR="00286FC8" w:rsidRPr="00286FC8" w:rsidRDefault="00286FC8" w:rsidP="00286FC8">
      <w:pPr>
        <w:numPr>
          <w:ilvl w:val="0"/>
          <w:numId w:val="3"/>
        </w:numPr>
        <w:spacing w:after="240"/>
        <w:jc w:val="both"/>
      </w:pPr>
      <w:r w:rsidRPr="00286FC8">
        <w:rPr>
          <w:u w:val="single"/>
        </w:rPr>
        <w:t>Bulk Sewer Service Agreement</w:t>
      </w:r>
    </w:p>
    <w:p w14:paraId="71AE4893" w14:textId="5ABBC81D" w:rsidR="00286FC8" w:rsidRPr="00286FC8" w:rsidRDefault="00286FC8" w:rsidP="00286FC8">
      <w:pPr>
        <w:spacing w:after="240"/>
        <w:jc w:val="both"/>
        <w:rPr>
          <w:color w:val="000000"/>
        </w:rPr>
      </w:pPr>
      <w:r>
        <w:tab/>
      </w:r>
      <w:r w:rsidRPr="00286FC8">
        <w:t xml:space="preserve">As it argued in its post-hearing brief, EU’s motion contends that </w:t>
      </w:r>
      <w:r w:rsidRPr="00286FC8">
        <w:rPr>
          <w:color w:val="000000"/>
        </w:rPr>
        <w:t xml:space="preserve">the County’s approval of the Bulk Sewer Agreement infers the County’s support of EU’s application for wastewater certification. EU appears to be conflating the existence of the Bulk Sewer Agreement with the intent behind the Bulk Sewer Agreement’s existence. </w:t>
      </w:r>
      <w:r w:rsidR="00900669">
        <w:rPr>
          <w:color w:val="000000"/>
        </w:rPr>
        <w:t>We find</w:t>
      </w:r>
      <w:r w:rsidRPr="00286FC8">
        <w:rPr>
          <w:color w:val="000000"/>
        </w:rPr>
        <w:t xml:space="preserve"> that the mere existence of such an agreement is insufficient, without more, to support a finding of the County’s support for EU’s application. </w:t>
      </w:r>
    </w:p>
    <w:p w14:paraId="46231ED2" w14:textId="73917BD9" w:rsidR="00286FC8" w:rsidRPr="00286FC8" w:rsidRDefault="00286FC8" w:rsidP="00286FC8">
      <w:pPr>
        <w:jc w:val="both"/>
      </w:pPr>
      <w:r>
        <w:rPr>
          <w:color w:val="000000"/>
        </w:rPr>
        <w:tab/>
      </w:r>
      <w:r w:rsidRPr="00286FC8">
        <w:rPr>
          <w:color w:val="000000"/>
        </w:rPr>
        <w:t xml:space="preserve">But even if the Bulk Sewer Agreement made clear the County’s intent, </w:t>
      </w:r>
      <w:r w:rsidR="00900669">
        <w:rPr>
          <w:color w:val="000000"/>
        </w:rPr>
        <w:t xml:space="preserve">we are </w:t>
      </w:r>
      <w:r w:rsidRPr="00286FC8">
        <w:rPr>
          <w:color w:val="000000"/>
        </w:rPr>
        <w:t xml:space="preserve">still granted discretion in the weight </w:t>
      </w:r>
      <w:r w:rsidR="00900669">
        <w:rPr>
          <w:color w:val="000000"/>
        </w:rPr>
        <w:t>we</w:t>
      </w:r>
      <w:r w:rsidRPr="00286FC8">
        <w:rPr>
          <w:color w:val="000000"/>
        </w:rPr>
        <w:t xml:space="preserve"> give to such evidence. </w:t>
      </w:r>
      <w:r w:rsidR="00900669">
        <w:rPr>
          <w:color w:val="000000"/>
        </w:rPr>
        <w:t>We were</w:t>
      </w:r>
      <w:r w:rsidRPr="00286FC8">
        <w:rPr>
          <w:color w:val="000000"/>
        </w:rPr>
        <w:t xml:space="preserve"> fully apprised of the existence of the Bulk Sewer Agreement; however, </w:t>
      </w:r>
      <w:r w:rsidR="00900669">
        <w:rPr>
          <w:color w:val="000000"/>
        </w:rPr>
        <w:t>we</w:t>
      </w:r>
      <w:r w:rsidRPr="00286FC8">
        <w:rPr>
          <w:color w:val="000000"/>
        </w:rPr>
        <w:t xml:space="preserve"> </w:t>
      </w:r>
      <w:r w:rsidR="00900669">
        <w:rPr>
          <w:color w:val="000000"/>
        </w:rPr>
        <w:t>did not gi</w:t>
      </w:r>
      <w:r w:rsidRPr="00286FC8">
        <w:rPr>
          <w:color w:val="000000"/>
        </w:rPr>
        <w:t xml:space="preserve">ve the existence of the agreement the same weight that EU would </w:t>
      </w:r>
      <w:r w:rsidRPr="00286FC8">
        <w:t>urge</w:t>
      </w:r>
      <w:r w:rsidR="00057CB3">
        <w:t xml:space="preserve"> it</w:t>
      </w:r>
      <w:r w:rsidRPr="00286FC8">
        <w:t xml:space="preserve"> be given. As with virtually all of the other points raised by EU, a disagreement over the weight which evidence should be given is not enough to warrant  reconsideration. </w:t>
      </w:r>
    </w:p>
    <w:p w14:paraId="4C623C06" w14:textId="77777777" w:rsidR="00286FC8" w:rsidRPr="00286FC8" w:rsidRDefault="00286FC8" w:rsidP="00286FC8">
      <w:pPr>
        <w:jc w:val="both"/>
      </w:pPr>
    </w:p>
    <w:p w14:paraId="6FA594EF" w14:textId="77777777" w:rsidR="00286FC8" w:rsidRPr="00286FC8" w:rsidRDefault="00286FC8" w:rsidP="00286FC8">
      <w:pPr>
        <w:numPr>
          <w:ilvl w:val="0"/>
          <w:numId w:val="2"/>
        </w:numPr>
        <w:jc w:val="both"/>
        <w:rPr>
          <w:b/>
        </w:rPr>
      </w:pPr>
      <w:r w:rsidRPr="00286FC8">
        <w:rPr>
          <w:b/>
        </w:rPr>
        <w:t xml:space="preserve">Evidence Not Present in the Record  </w:t>
      </w:r>
    </w:p>
    <w:p w14:paraId="3E4F7E19" w14:textId="77777777" w:rsidR="00286FC8" w:rsidRPr="00286FC8" w:rsidRDefault="00286FC8" w:rsidP="00286FC8">
      <w:pPr>
        <w:jc w:val="both"/>
        <w:rPr>
          <w:b/>
        </w:rPr>
      </w:pPr>
    </w:p>
    <w:p w14:paraId="0AA566DE" w14:textId="30969148" w:rsidR="00286FC8" w:rsidRDefault="00286FC8" w:rsidP="00286FC8">
      <w:pPr>
        <w:pStyle w:val="OrderBody"/>
      </w:pPr>
      <w:r>
        <w:tab/>
      </w:r>
      <w:r w:rsidRPr="00286FC8">
        <w:t xml:space="preserve">In advocating for reconsideration, EU provided in its July 25, 2022 “Notice of Filing Attachments to its Motion for Reconsideration” a letter from the Charlotte County Board of Commissioners, dated June 28, 2022. This letter was never introduced – indeed, it did not exist – while the record in this docket was open. The Board’s letter attaches and incorporates by reference a September 27, 2021, letter by County employees Rudy and Moody. While EU did </w:t>
      </w:r>
      <w:r w:rsidRPr="00286FC8">
        <w:lastRenderedPageBreak/>
        <w:t xml:space="preserve">not offer the September 2021 letter into evidence at the February 8, 2022 evidentiary hearing, the document was placed in the correspondence side of the docket, along with other items of correspondence, where it was available for review by the parties to the proceeding, </w:t>
      </w:r>
      <w:r w:rsidR="00900669">
        <w:t>our</w:t>
      </w:r>
      <w:r w:rsidR="00900669" w:rsidRPr="00286FC8">
        <w:t xml:space="preserve"> </w:t>
      </w:r>
      <w:r w:rsidRPr="00286FC8">
        <w:t xml:space="preserve">staff, and </w:t>
      </w:r>
      <w:r w:rsidR="00900669">
        <w:t>u</w:t>
      </w:r>
      <w:r w:rsidR="00900669" w:rsidRPr="00286FC8">
        <w:t>s</w:t>
      </w:r>
      <w:r w:rsidRPr="00286FC8">
        <w:t xml:space="preserve">. While </w:t>
      </w:r>
      <w:r w:rsidR="00900669">
        <w:t>we</w:t>
      </w:r>
      <w:r w:rsidRPr="00286FC8">
        <w:t xml:space="preserve"> do not take issue with the September 27, 2021 letter any more than </w:t>
      </w:r>
      <w:r w:rsidR="00900669">
        <w:t>we</w:t>
      </w:r>
      <w:r w:rsidRPr="00286FC8">
        <w:t xml:space="preserve"> do with letters filed by potential customers of the Utility, the June 28, 2022 letter by the County Board is clearly outside the scope of the record, and appears to be an after-the-fact attempt by EU to bolster its claim of County support for its application. As correctly pointed out in the intervenors’ responses, reliance on this extra-record material would be improper, as no opportunity to cross-examine, challenge, or rebut the material has been afforded</w:t>
      </w:r>
      <w:r w:rsidR="00057CB3">
        <w:t xml:space="preserve"> to the parties</w:t>
      </w:r>
      <w:r w:rsidRPr="00286FC8">
        <w:t xml:space="preserve">, in contravention to the requirements of Section 120.57(1), F.S. </w:t>
      </w:r>
      <w:r w:rsidR="00900669" w:rsidRPr="00400A29">
        <w:t>We</w:t>
      </w:r>
      <w:r w:rsidRPr="00286FC8">
        <w:t xml:space="preserve"> give no consideration, substantive discussion, or weight to the June 28, 2022 letter.</w:t>
      </w:r>
    </w:p>
    <w:p w14:paraId="066807B4" w14:textId="77777777" w:rsidR="00286FC8" w:rsidRDefault="00286FC8" w:rsidP="00286FC8">
      <w:pPr>
        <w:pStyle w:val="OrderBody"/>
      </w:pPr>
    </w:p>
    <w:p w14:paraId="5FFC2894" w14:textId="77777777" w:rsidR="00286FC8" w:rsidRPr="00400A29" w:rsidRDefault="00286FC8" w:rsidP="00400A29">
      <w:pPr>
        <w:pStyle w:val="ListParagraph"/>
        <w:numPr>
          <w:ilvl w:val="0"/>
          <w:numId w:val="10"/>
        </w:numPr>
        <w:spacing w:after="240"/>
        <w:jc w:val="both"/>
        <w:rPr>
          <w:u w:val="single"/>
        </w:rPr>
      </w:pPr>
      <w:r w:rsidRPr="00400A29">
        <w:rPr>
          <w:u w:val="single"/>
        </w:rPr>
        <w:t>Conclusion</w:t>
      </w:r>
    </w:p>
    <w:p w14:paraId="67ADABB3" w14:textId="27D4D8FC" w:rsidR="00286FC8" w:rsidRPr="00286FC8" w:rsidRDefault="00286FC8" w:rsidP="00286FC8">
      <w:pPr>
        <w:spacing w:after="240"/>
        <w:jc w:val="both"/>
      </w:pPr>
      <w:r>
        <w:tab/>
      </w:r>
      <w:r w:rsidRPr="00286FC8">
        <w:t xml:space="preserve">The standard of review for reconsideration of </w:t>
      </w:r>
      <w:r w:rsidR="00900669">
        <w:t>our</w:t>
      </w:r>
      <w:r w:rsidRPr="00286FC8">
        <w:t xml:space="preserve"> order is whether the motion identifies a point of fact or law that </w:t>
      </w:r>
      <w:r w:rsidR="00900669">
        <w:t>we</w:t>
      </w:r>
      <w:r w:rsidR="00900669" w:rsidRPr="00286FC8">
        <w:t xml:space="preserve"> </w:t>
      </w:r>
      <w:r w:rsidRPr="00286FC8">
        <w:t>overlooked or failed to consider in rendering the order. The lack of a particular discussion of one item in a document or proceeding is not presumptive proof that the item or matter was not considered by the tribunal. Furthermore, a motion for reconsideration should not be granted “based upon an arbitrary feeling that a mistake may have been made, but should be based upon specific factual matters set forth in the record and susceptible to review.”</w:t>
      </w:r>
      <w:r w:rsidRPr="00286FC8">
        <w:rPr>
          <w:vertAlign w:val="superscript"/>
        </w:rPr>
        <w:footnoteReference w:id="16"/>
      </w:r>
    </w:p>
    <w:p w14:paraId="7EF41848" w14:textId="1A57A4C0" w:rsidR="00286FC8" w:rsidRDefault="00286FC8" w:rsidP="00286FC8">
      <w:pPr>
        <w:pStyle w:val="OrderBody"/>
      </w:pPr>
      <w:r>
        <w:tab/>
      </w:r>
      <w:r w:rsidRPr="00286FC8">
        <w:t xml:space="preserve">EU, who has the burden of proof in this matter, has offered only reargument to support its claims.  In other words, EU disagrees with the weight </w:t>
      </w:r>
      <w:r w:rsidR="00900669">
        <w:t>we</w:t>
      </w:r>
      <w:r w:rsidRPr="00286FC8">
        <w:t xml:space="preserve"> gave to the record evidence, and instead would urge </w:t>
      </w:r>
      <w:r w:rsidR="00900669">
        <w:t>us to</w:t>
      </w:r>
      <w:r w:rsidRPr="00286FC8">
        <w:t xml:space="preserve"> rule in accordance with EU’s position. Instead, the matters raised by EU in its motion have been considered, but rejected</w:t>
      </w:r>
      <w:r w:rsidR="00337B66">
        <w:t xml:space="preserve"> by us</w:t>
      </w:r>
      <w:r w:rsidRPr="00286FC8">
        <w:t xml:space="preserve"> as unpersuasive</w:t>
      </w:r>
      <w:r w:rsidR="00337B66">
        <w:t>..</w:t>
      </w:r>
      <w:r w:rsidRPr="00286FC8">
        <w:t xml:space="preserve"> Accordingly, </w:t>
      </w:r>
      <w:r w:rsidR="00900669">
        <w:t xml:space="preserve">we find </w:t>
      </w:r>
      <w:r w:rsidRPr="00286FC8">
        <w:t>that EU’s motion for reconsideration sh</w:t>
      </w:r>
      <w:r w:rsidR="00900669">
        <w:t>all</w:t>
      </w:r>
      <w:r w:rsidRPr="00286FC8">
        <w:t xml:space="preserve"> be denied.</w:t>
      </w:r>
    </w:p>
    <w:p w14:paraId="75547B16" w14:textId="77777777" w:rsidR="00286FC8" w:rsidRDefault="00286FC8" w:rsidP="00286FC8">
      <w:pPr>
        <w:pStyle w:val="OrderBody"/>
      </w:pPr>
    </w:p>
    <w:p w14:paraId="450301CA" w14:textId="77777777" w:rsidR="00286FC8" w:rsidRDefault="00286FC8" w:rsidP="00286FC8">
      <w:pPr>
        <w:pStyle w:val="OrderBody"/>
      </w:pPr>
      <w:r>
        <w:tab/>
        <w:t>Based on the foregoing, it is</w:t>
      </w:r>
    </w:p>
    <w:p w14:paraId="1F687388" w14:textId="77777777" w:rsidR="00286FC8" w:rsidRDefault="00286FC8" w:rsidP="00286FC8">
      <w:pPr>
        <w:pStyle w:val="OrderBody"/>
      </w:pPr>
    </w:p>
    <w:p w14:paraId="24AAD932" w14:textId="05E18BFD" w:rsidR="00900669" w:rsidRDefault="00286FC8">
      <w:pPr>
        <w:pStyle w:val="OrderBody"/>
      </w:pPr>
      <w:r>
        <w:tab/>
        <w:t>ORDERED by the Florida Public Service Commission that</w:t>
      </w:r>
      <w:r w:rsidR="00900669">
        <w:t xml:space="preserve"> for the reasons set forth herein, Environmental Utilities, LLC’s motion for reconsideration is denied.  It is further</w:t>
      </w:r>
    </w:p>
    <w:p w14:paraId="495B116E" w14:textId="77777777" w:rsidR="00900669" w:rsidRDefault="00900669" w:rsidP="00286FC8">
      <w:pPr>
        <w:pStyle w:val="OrderBody"/>
      </w:pPr>
    </w:p>
    <w:p w14:paraId="6449DBB9" w14:textId="4901B421" w:rsidR="00286FC8" w:rsidRDefault="00900669" w:rsidP="00286FC8">
      <w:pPr>
        <w:pStyle w:val="OrderBody"/>
      </w:pPr>
      <w:r>
        <w:tab/>
        <w:t>ORDERED that this docket shall be closed.</w:t>
      </w:r>
    </w:p>
    <w:p w14:paraId="29FC0481" w14:textId="77777777" w:rsidR="00286FC8" w:rsidRDefault="00286FC8" w:rsidP="00286FC8">
      <w:pPr>
        <w:pStyle w:val="OrderBody"/>
      </w:pPr>
    </w:p>
    <w:p w14:paraId="3D299FF4" w14:textId="39B73419" w:rsidR="00286FC8" w:rsidRDefault="00286FC8" w:rsidP="00286FC8">
      <w:pPr>
        <w:pStyle w:val="OrderBody"/>
        <w:keepNext/>
        <w:keepLines/>
      </w:pPr>
      <w:r>
        <w:lastRenderedPageBreak/>
        <w:tab/>
        <w:t xml:space="preserve">By ORDER of the Florida Public Service Commission this </w:t>
      </w:r>
      <w:bookmarkStart w:id="6" w:name="replaceDate"/>
      <w:bookmarkEnd w:id="6"/>
      <w:r w:rsidR="00866C75">
        <w:rPr>
          <w:u w:val="single"/>
        </w:rPr>
        <w:t>27th</w:t>
      </w:r>
      <w:r w:rsidR="00866C75">
        <w:t xml:space="preserve"> day of </w:t>
      </w:r>
      <w:r w:rsidR="00866C75">
        <w:rPr>
          <w:u w:val="single"/>
        </w:rPr>
        <w:t>September</w:t>
      </w:r>
      <w:r w:rsidR="00866C75">
        <w:t xml:space="preserve">, </w:t>
      </w:r>
      <w:r w:rsidR="00866C75">
        <w:rPr>
          <w:u w:val="single"/>
        </w:rPr>
        <w:t>2022</w:t>
      </w:r>
      <w:r w:rsidR="00866C75">
        <w:t>.</w:t>
      </w:r>
    </w:p>
    <w:p w14:paraId="44568636" w14:textId="77777777" w:rsidR="00866C75" w:rsidRPr="00866C75" w:rsidRDefault="00866C75" w:rsidP="00286FC8">
      <w:pPr>
        <w:pStyle w:val="OrderBody"/>
        <w:keepNext/>
        <w:keepLines/>
      </w:pPr>
    </w:p>
    <w:p w14:paraId="00EA3367" w14:textId="77777777" w:rsidR="00286FC8" w:rsidRDefault="00286FC8" w:rsidP="00286FC8">
      <w:pPr>
        <w:pStyle w:val="OrderBody"/>
        <w:keepNext/>
        <w:keepLines/>
      </w:pPr>
    </w:p>
    <w:p w14:paraId="33C2AF24" w14:textId="77777777" w:rsidR="00286FC8" w:rsidRDefault="00286FC8" w:rsidP="00286FC8">
      <w:pPr>
        <w:pStyle w:val="OrderBody"/>
        <w:keepNext/>
        <w:keepLines/>
      </w:pPr>
    </w:p>
    <w:p w14:paraId="4EC5BED0" w14:textId="77777777" w:rsidR="00286FC8" w:rsidRDefault="00286FC8" w:rsidP="00286FC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86FC8" w14:paraId="4AF0F7A3" w14:textId="77777777" w:rsidTr="00286FC8">
        <w:tc>
          <w:tcPr>
            <w:tcW w:w="720" w:type="dxa"/>
            <w:shd w:val="clear" w:color="auto" w:fill="auto"/>
          </w:tcPr>
          <w:p w14:paraId="13360287" w14:textId="77777777" w:rsidR="00286FC8" w:rsidRDefault="00286FC8" w:rsidP="00286FC8">
            <w:pPr>
              <w:pStyle w:val="OrderBody"/>
              <w:keepNext/>
              <w:keepLines/>
            </w:pPr>
            <w:bookmarkStart w:id="7" w:name="bkmrkSignature" w:colFirst="0" w:colLast="0"/>
          </w:p>
        </w:tc>
        <w:tc>
          <w:tcPr>
            <w:tcW w:w="4320" w:type="dxa"/>
            <w:tcBorders>
              <w:bottom w:val="single" w:sz="4" w:space="0" w:color="auto"/>
            </w:tcBorders>
            <w:shd w:val="clear" w:color="auto" w:fill="auto"/>
          </w:tcPr>
          <w:p w14:paraId="1A0B9F74" w14:textId="774AEBE2" w:rsidR="00286FC8" w:rsidRDefault="00866C75" w:rsidP="00286FC8">
            <w:pPr>
              <w:pStyle w:val="OrderBody"/>
              <w:keepNext/>
              <w:keepLines/>
            </w:pPr>
            <w:r>
              <w:t>/s/ Adam J. Teitzman</w:t>
            </w:r>
            <w:bookmarkStart w:id="8" w:name="_GoBack"/>
            <w:bookmarkEnd w:id="8"/>
          </w:p>
        </w:tc>
      </w:tr>
      <w:bookmarkEnd w:id="7"/>
      <w:tr w:rsidR="00286FC8" w14:paraId="20F90475" w14:textId="77777777" w:rsidTr="00286FC8">
        <w:tc>
          <w:tcPr>
            <w:tcW w:w="720" w:type="dxa"/>
            <w:shd w:val="clear" w:color="auto" w:fill="auto"/>
          </w:tcPr>
          <w:p w14:paraId="19590188" w14:textId="77777777" w:rsidR="00286FC8" w:rsidRDefault="00286FC8" w:rsidP="00286FC8">
            <w:pPr>
              <w:pStyle w:val="OrderBody"/>
              <w:keepNext/>
              <w:keepLines/>
            </w:pPr>
          </w:p>
        </w:tc>
        <w:tc>
          <w:tcPr>
            <w:tcW w:w="4320" w:type="dxa"/>
            <w:tcBorders>
              <w:top w:val="single" w:sz="4" w:space="0" w:color="auto"/>
            </w:tcBorders>
            <w:shd w:val="clear" w:color="auto" w:fill="auto"/>
          </w:tcPr>
          <w:p w14:paraId="069C85AB" w14:textId="77777777" w:rsidR="00286FC8" w:rsidRDefault="00286FC8" w:rsidP="00286FC8">
            <w:pPr>
              <w:pStyle w:val="OrderBody"/>
              <w:keepNext/>
              <w:keepLines/>
            </w:pPr>
            <w:r>
              <w:t>ADAM J. TEITZMAN</w:t>
            </w:r>
          </w:p>
          <w:p w14:paraId="3DC09AA2" w14:textId="77777777" w:rsidR="00286FC8" w:rsidRDefault="00286FC8" w:rsidP="00286FC8">
            <w:pPr>
              <w:pStyle w:val="OrderBody"/>
              <w:keepNext/>
              <w:keepLines/>
            </w:pPr>
            <w:r>
              <w:t>Commission Clerk</w:t>
            </w:r>
          </w:p>
        </w:tc>
      </w:tr>
    </w:tbl>
    <w:p w14:paraId="0C2CBA8C" w14:textId="77777777" w:rsidR="00286FC8" w:rsidRDefault="00286FC8" w:rsidP="00286FC8">
      <w:pPr>
        <w:pStyle w:val="OrderSigInfo"/>
        <w:keepNext/>
        <w:keepLines/>
      </w:pPr>
      <w:r>
        <w:t>Florida Public Service Commission</w:t>
      </w:r>
    </w:p>
    <w:p w14:paraId="2AFD4F9F" w14:textId="77777777" w:rsidR="00286FC8" w:rsidRDefault="00286FC8" w:rsidP="00286FC8">
      <w:pPr>
        <w:pStyle w:val="OrderSigInfo"/>
        <w:keepNext/>
        <w:keepLines/>
      </w:pPr>
      <w:r>
        <w:t>2540 Shumard Oak Boulevard</w:t>
      </w:r>
    </w:p>
    <w:p w14:paraId="52E45A88" w14:textId="77777777" w:rsidR="00286FC8" w:rsidRDefault="00286FC8" w:rsidP="00286FC8">
      <w:pPr>
        <w:pStyle w:val="OrderSigInfo"/>
        <w:keepNext/>
        <w:keepLines/>
      </w:pPr>
      <w:r>
        <w:t>Tallahassee, Florida 32399</w:t>
      </w:r>
    </w:p>
    <w:p w14:paraId="1D71F018" w14:textId="77777777" w:rsidR="00286FC8" w:rsidRDefault="00286FC8" w:rsidP="00286FC8">
      <w:pPr>
        <w:pStyle w:val="OrderSigInfo"/>
        <w:keepNext/>
        <w:keepLines/>
      </w:pPr>
      <w:r>
        <w:t>(850) 413</w:t>
      </w:r>
      <w:r>
        <w:noBreakHyphen/>
        <w:t>6770</w:t>
      </w:r>
    </w:p>
    <w:p w14:paraId="371496A5" w14:textId="77777777" w:rsidR="00286FC8" w:rsidRDefault="00286FC8" w:rsidP="00286FC8">
      <w:pPr>
        <w:pStyle w:val="OrderSigInfo"/>
        <w:keepNext/>
        <w:keepLines/>
      </w:pPr>
      <w:r>
        <w:t>www.floridapsc.com</w:t>
      </w:r>
    </w:p>
    <w:p w14:paraId="2BE40E2F" w14:textId="77777777" w:rsidR="00286FC8" w:rsidRDefault="00286FC8" w:rsidP="00286FC8">
      <w:pPr>
        <w:pStyle w:val="OrderSigInfo"/>
        <w:keepNext/>
        <w:keepLines/>
      </w:pPr>
    </w:p>
    <w:p w14:paraId="6700FD89" w14:textId="77777777" w:rsidR="00286FC8" w:rsidRDefault="00286FC8" w:rsidP="00286FC8">
      <w:pPr>
        <w:pStyle w:val="OrderSigInfo"/>
        <w:keepNext/>
        <w:keepLines/>
      </w:pPr>
      <w:r>
        <w:t>Copies furnished:  A copy of this document is provided to the parties of record at the time of issuance and, if applicable, interested persons.</w:t>
      </w:r>
    </w:p>
    <w:p w14:paraId="2C0B5028" w14:textId="77777777" w:rsidR="00286FC8" w:rsidRDefault="00286FC8" w:rsidP="00286FC8">
      <w:pPr>
        <w:pStyle w:val="OrderBody"/>
        <w:keepNext/>
        <w:keepLines/>
      </w:pPr>
    </w:p>
    <w:p w14:paraId="490ECAC6" w14:textId="77777777" w:rsidR="00286FC8" w:rsidRDefault="00286FC8" w:rsidP="00286FC8">
      <w:pPr>
        <w:pStyle w:val="OrderBody"/>
        <w:keepNext/>
        <w:keepLines/>
      </w:pPr>
    </w:p>
    <w:p w14:paraId="5785E944" w14:textId="77777777" w:rsidR="00286FC8" w:rsidRDefault="00286FC8" w:rsidP="00286FC8">
      <w:pPr>
        <w:pStyle w:val="OrderBody"/>
        <w:keepNext/>
        <w:keepLines/>
      </w:pPr>
      <w:r>
        <w:t>RPS</w:t>
      </w:r>
    </w:p>
    <w:p w14:paraId="4752BFA7" w14:textId="77777777" w:rsidR="00286FC8" w:rsidRDefault="00286FC8" w:rsidP="00286FC8">
      <w:pPr>
        <w:pStyle w:val="OrderBody"/>
      </w:pPr>
    </w:p>
    <w:p w14:paraId="4C8F3D5D" w14:textId="77777777" w:rsidR="00286FC8" w:rsidRDefault="00286FC8" w:rsidP="00286FC8">
      <w:pPr>
        <w:pStyle w:val="OrderBody"/>
      </w:pPr>
    </w:p>
    <w:p w14:paraId="2E31EE81" w14:textId="77777777" w:rsidR="00286FC8" w:rsidRDefault="00286FC8" w:rsidP="00286FC8">
      <w:pPr>
        <w:pStyle w:val="OrderBody"/>
      </w:pPr>
    </w:p>
    <w:p w14:paraId="4C979CE9" w14:textId="77777777" w:rsidR="00286FC8" w:rsidRDefault="00286FC8" w:rsidP="00286FC8">
      <w:pPr>
        <w:pStyle w:val="CenterUnderline"/>
      </w:pPr>
      <w:r>
        <w:t>NOTICE OF JUDICIAL REVIEW</w:t>
      </w:r>
    </w:p>
    <w:p w14:paraId="6F6B6C83" w14:textId="77777777" w:rsidR="00286FC8" w:rsidRDefault="00286FC8" w:rsidP="00286FC8">
      <w:pPr>
        <w:pStyle w:val="CenterUnderline"/>
      </w:pPr>
    </w:p>
    <w:p w14:paraId="072EBD94" w14:textId="77777777" w:rsidR="00286FC8" w:rsidRDefault="00286FC8" w:rsidP="00286F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72B7E1B" w14:textId="77777777" w:rsidR="00286FC8" w:rsidRDefault="00286FC8" w:rsidP="00286FC8">
      <w:pPr>
        <w:pStyle w:val="OrderBody"/>
      </w:pPr>
    </w:p>
    <w:p w14:paraId="4A919325" w14:textId="77777777" w:rsidR="00286FC8" w:rsidRDefault="00286FC8" w:rsidP="00286FC8">
      <w:pPr>
        <w:pStyle w:val="OrderBody"/>
      </w:pPr>
      <w:r>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7D9E218E" w14:textId="77777777"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96F76" w14:textId="77777777" w:rsidR="00BD35A8" w:rsidRDefault="00BD35A8">
      <w:r>
        <w:separator/>
      </w:r>
    </w:p>
  </w:endnote>
  <w:endnote w:type="continuationSeparator" w:id="0">
    <w:p w14:paraId="66C7139F" w14:textId="77777777" w:rsidR="00BD35A8" w:rsidRDefault="00BD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3264" w14:textId="77777777" w:rsidR="00FA6EFD" w:rsidRDefault="00FA6EFD">
    <w:pPr>
      <w:pStyle w:val="Footer"/>
    </w:pPr>
  </w:p>
  <w:p w14:paraId="73D40A6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1CF5D" w14:textId="77777777" w:rsidR="00BD35A8" w:rsidRDefault="00BD35A8">
      <w:r>
        <w:separator/>
      </w:r>
    </w:p>
  </w:footnote>
  <w:footnote w:type="continuationSeparator" w:id="0">
    <w:p w14:paraId="26C3BC36" w14:textId="77777777" w:rsidR="00BD35A8" w:rsidRDefault="00BD35A8">
      <w:r>
        <w:continuationSeparator/>
      </w:r>
    </w:p>
  </w:footnote>
  <w:footnote w:id="1">
    <w:p w14:paraId="24BDA017" w14:textId="77777777" w:rsidR="00286FC8" w:rsidRDefault="00286FC8" w:rsidP="00286FC8">
      <w:pPr>
        <w:pStyle w:val="FootnoteText"/>
      </w:pPr>
      <w:r>
        <w:rPr>
          <w:rStyle w:val="FootnoteReference"/>
        </w:rPr>
        <w:footnoteRef/>
      </w:r>
      <w:r>
        <w:t xml:space="preserve"> Order No. PSC-2021-0066-PAA-SU, issued February 2, 2021, in Docket No. 20200226-SU, </w:t>
      </w:r>
      <w:r w:rsidRPr="004A1549">
        <w:rPr>
          <w:i/>
        </w:rPr>
        <w:t>In re: Application for certificate to provide wastewater service in Charlotte County, by Environmental Utilities, LLC</w:t>
      </w:r>
      <w:r>
        <w:rPr>
          <w:i/>
        </w:rPr>
        <w:t>.</w:t>
      </w:r>
    </w:p>
  </w:footnote>
  <w:footnote w:id="2">
    <w:p w14:paraId="19B36A40" w14:textId="77777777" w:rsidR="00286FC8" w:rsidRDefault="00286FC8" w:rsidP="00286FC8">
      <w:pPr>
        <w:pStyle w:val="FootnoteText"/>
      </w:pPr>
      <w:r>
        <w:rPr>
          <w:rStyle w:val="FootnoteReference"/>
        </w:rPr>
        <w:footnoteRef/>
      </w:r>
      <w:r>
        <w:t xml:space="preserve"> Order No. PSC-2021-0376-PCO-SU, issued September 28, 2021, in Docket No. 20200226-SU, </w:t>
      </w:r>
      <w:r w:rsidRPr="004A1549">
        <w:rPr>
          <w:i/>
        </w:rPr>
        <w:t>In re: Application for certificate to provide wastewater service in Charlotte County, by Environmental Utilities, LLC</w:t>
      </w:r>
      <w:r>
        <w:rPr>
          <w:i/>
        </w:rPr>
        <w:t>.</w:t>
      </w:r>
    </w:p>
  </w:footnote>
  <w:footnote w:id="3">
    <w:p w14:paraId="12FFCF34" w14:textId="77777777" w:rsidR="00286FC8" w:rsidRDefault="00286FC8" w:rsidP="00286FC8">
      <w:pPr>
        <w:pStyle w:val="FootnoteText"/>
      </w:pPr>
      <w:r>
        <w:rPr>
          <w:rStyle w:val="FootnoteReference"/>
        </w:rPr>
        <w:footnoteRef/>
      </w:r>
      <w:r>
        <w:t xml:space="preserve"> </w:t>
      </w:r>
      <w:r w:rsidRPr="009F0739">
        <w:t xml:space="preserve">Order </w:t>
      </w:r>
      <w:r>
        <w:t xml:space="preserve">No. </w:t>
      </w:r>
      <w:r w:rsidRPr="009F0739">
        <w:t>PSC-2022-0267-FOF-SU</w:t>
      </w:r>
      <w:r>
        <w:t xml:space="preserve">, issued July 8, 2022, in Docket No. 20200226-SU, </w:t>
      </w:r>
      <w:r w:rsidRPr="004A1549">
        <w:rPr>
          <w:i/>
        </w:rPr>
        <w:t>In re: Application for certificate to provide wastewater service in Charlotte County, by Environmental Utilities, LLC</w:t>
      </w:r>
      <w:r>
        <w:rPr>
          <w:i/>
        </w:rPr>
        <w:t>.</w:t>
      </w:r>
    </w:p>
  </w:footnote>
  <w:footnote w:id="4">
    <w:p w14:paraId="7ABCA8F9" w14:textId="77777777" w:rsidR="00286FC8" w:rsidRDefault="00286FC8" w:rsidP="00286FC8">
      <w:pPr>
        <w:pStyle w:val="FootnoteText"/>
      </w:pPr>
      <w:r>
        <w:rPr>
          <w:rStyle w:val="FootnoteReference"/>
        </w:rPr>
        <w:footnoteRef/>
      </w:r>
      <w:r>
        <w:t xml:space="preserve"> Document Nos. </w:t>
      </w:r>
      <w:r w:rsidRPr="009F0739">
        <w:t>04918-2022</w:t>
      </w:r>
      <w:r>
        <w:t xml:space="preserve"> and </w:t>
      </w:r>
      <w:r w:rsidRPr="007C2B90">
        <w:t>04920-2022</w:t>
      </w:r>
      <w:r>
        <w:t xml:space="preserve">, filed on July 22, 2022, in Docket No. 20200226-SU, </w:t>
      </w:r>
      <w:r w:rsidRPr="004A1549">
        <w:rPr>
          <w:i/>
        </w:rPr>
        <w:t>In re: Application for certificate to provide wastewater service in Charlotte County, by Environmental Utilities, LLC</w:t>
      </w:r>
      <w:r>
        <w:rPr>
          <w:i/>
        </w:rPr>
        <w:t>.</w:t>
      </w:r>
    </w:p>
  </w:footnote>
  <w:footnote w:id="5">
    <w:p w14:paraId="32AB434E" w14:textId="77777777" w:rsidR="00286FC8" w:rsidRDefault="00286FC8" w:rsidP="00286FC8">
      <w:pPr>
        <w:pStyle w:val="FootnoteText"/>
      </w:pPr>
      <w:r>
        <w:rPr>
          <w:rStyle w:val="FootnoteReference"/>
        </w:rPr>
        <w:footnoteRef/>
      </w:r>
      <w:r>
        <w:t xml:space="preserve"> Document No. 04945-2022</w:t>
      </w:r>
    </w:p>
  </w:footnote>
  <w:footnote w:id="6">
    <w:p w14:paraId="6F41E212" w14:textId="6ED56E4A" w:rsidR="00286FC8" w:rsidRDefault="00286FC8" w:rsidP="00286FC8">
      <w:pPr>
        <w:pStyle w:val="FootnoteText"/>
      </w:pPr>
      <w:r>
        <w:rPr>
          <w:rStyle w:val="FootnoteReference"/>
        </w:rPr>
        <w:footnoteRef/>
      </w:r>
      <w:r>
        <w:t xml:space="preserve"> As discussed in the Final Order at p. 5, </w:t>
      </w:r>
      <w:r w:rsidR="005A77D5">
        <w:t xml:space="preserve">the </w:t>
      </w:r>
      <w:r>
        <w:t>County was not a party to this docket, but its designated representative Mr. Craig Rudy provided testimony via a deposition resulting from a subpoena by PIE. Pursuant to the Prehearing Order, EU was permitted to utilize the deposition at hearing.</w:t>
      </w:r>
    </w:p>
  </w:footnote>
  <w:footnote w:id="7">
    <w:p w14:paraId="4D8ACB78" w14:textId="77777777" w:rsidR="00286FC8" w:rsidRDefault="00286FC8" w:rsidP="00286FC8">
      <w:pPr>
        <w:pStyle w:val="FootnoteText"/>
      </w:pPr>
      <w:r>
        <w:rPr>
          <w:rStyle w:val="FootnoteReference"/>
        </w:rPr>
        <w:footnoteRef/>
      </w:r>
      <w:r>
        <w:t xml:space="preserve"> The September 27, 2021 letter was placed in the correspondence side of the docket on September 28, 2021 (see Document Nos. 11672-2021, 11627-2021, 11623-2021, 11622-2021, and 11620-2021).</w:t>
      </w:r>
    </w:p>
  </w:footnote>
  <w:footnote w:id="8">
    <w:p w14:paraId="56124BA7" w14:textId="77777777" w:rsidR="00286FC8" w:rsidRDefault="00286FC8" w:rsidP="00286FC8">
      <w:pPr>
        <w:pStyle w:val="FootnoteText"/>
      </w:pPr>
      <w:r>
        <w:rPr>
          <w:rStyle w:val="FootnoteReference"/>
        </w:rPr>
        <w:footnoteRef/>
      </w:r>
      <w:r>
        <w:t xml:space="preserve"> </w:t>
      </w:r>
      <w:r w:rsidRPr="008B1816">
        <w:rPr>
          <w:i/>
        </w:rPr>
        <w:t>See Stewart Bonded Warehouse, Inc. v. Bevis</w:t>
      </w:r>
      <w:r w:rsidRPr="00C25118">
        <w:t>, 294 So. 2d 315 (</w:t>
      </w:r>
      <w:smartTag w:uri="urn:schemas-microsoft-com:office:smarttags" w:element="State">
        <w:smartTag w:uri="urn:schemas-microsoft-com:office:smarttags" w:element="place">
          <w:r w:rsidRPr="00C25118">
            <w:t>Fla.</w:t>
          </w:r>
        </w:smartTag>
      </w:smartTag>
      <w:r w:rsidRPr="00C25118">
        <w:t xml:space="preserve"> 1974); </w:t>
      </w:r>
      <w:r w:rsidRPr="008B1816">
        <w:rPr>
          <w:i/>
        </w:rPr>
        <w:t>Diamond Cab Co. v. King</w:t>
      </w:r>
      <w:r w:rsidRPr="00C25118">
        <w:t>, 146 So. 2d 889 (</w:t>
      </w:r>
      <w:smartTag w:uri="urn:schemas-microsoft-com:office:smarttags" w:element="State">
        <w:smartTag w:uri="urn:schemas-microsoft-com:office:smarttags" w:element="place">
          <w:r w:rsidRPr="00C25118">
            <w:t>Fla.</w:t>
          </w:r>
        </w:smartTag>
      </w:smartTag>
      <w:r w:rsidRPr="00C25118">
        <w:t xml:space="preserve"> 1962); and </w:t>
      </w:r>
      <w:r w:rsidRPr="008B1816">
        <w:rPr>
          <w:i/>
        </w:rPr>
        <w:t>Pingree v. Quaintance</w:t>
      </w:r>
      <w:r w:rsidRPr="00C25118">
        <w:t>, 394 So. 2d 162 (Fla. 1st DCA 1981).</w:t>
      </w:r>
    </w:p>
  </w:footnote>
  <w:footnote w:id="9">
    <w:p w14:paraId="16ED2BA6" w14:textId="77777777" w:rsidR="00286FC8" w:rsidRDefault="00286FC8" w:rsidP="00286FC8">
      <w:pPr>
        <w:pStyle w:val="FootnoteText"/>
      </w:pPr>
      <w:r>
        <w:rPr>
          <w:rStyle w:val="FootnoteReference"/>
        </w:rPr>
        <w:footnoteRef/>
      </w:r>
      <w:r>
        <w:t xml:space="preserve"> </w:t>
      </w:r>
      <w:r w:rsidRPr="008B1816">
        <w:rPr>
          <w:i/>
        </w:rPr>
        <w:t>Sherwood v. State</w:t>
      </w:r>
      <w:r w:rsidRPr="00C25118">
        <w:t xml:space="preserve">, 111 So. 2d 96 (Fla. 3rd DCA 1959); citing </w:t>
      </w:r>
      <w:r w:rsidRPr="008B1816">
        <w:rPr>
          <w:i/>
        </w:rPr>
        <w:t>State ex. rel. Jaytex Realty Co. v. Green</w:t>
      </w:r>
      <w:r w:rsidRPr="00C25118">
        <w:t>, 105 So. 2d 817 (Fla. 1st DCA 1958).</w:t>
      </w:r>
    </w:p>
  </w:footnote>
  <w:footnote w:id="10">
    <w:p w14:paraId="23B03AF3" w14:textId="77777777" w:rsidR="00286FC8" w:rsidRPr="00DE49D5" w:rsidRDefault="00286FC8" w:rsidP="00286FC8">
      <w:pPr>
        <w:pStyle w:val="FootnoteText"/>
      </w:pPr>
      <w:r>
        <w:rPr>
          <w:rStyle w:val="FootnoteReference"/>
        </w:rPr>
        <w:footnoteRef/>
      </w:r>
      <w:r>
        <w:t xml:space="preserve"> </w:t>
      </w:r>
      <w:r>
        <w:rPr>
          <w:i/>
        </w:rPr>
        <w:t xml:space="preserve">Stewart Bonded Warehouse, Inc. </w:t>
      </w:r>
      <w:r>
        <w:t>at 317.</w:t>
      </w:r>
    </w:p>
  </w:footnote>
  <w:footnote w:id="11">
    <w:p w14:paraId="3AD2463B" w14:textId="6B441E20" w:rsidR="00286FC8" w:rsidRDefault="00286FC8" w:rsidP="00286FC8">
      <w:pPr>
        <w:autoSpaceDE w:val="0"/>
        <w:autoSpaceDN w:val="0"/>
        <w:adjustRightInd w:val="0"/>
        <w:jc w:val="both"/>
      </w:pPr>
      <w:r>
        <w:rPr>
          <w:rStyle w:val="FootnoteReference"/>
        </w:rPr>
        <w:footnoteRef/>
      </w:r>
      <w:r>
        <w:rPr>
          <w:rFonts w:ascii="TimesNewRomanPSMT" w:hAnsi="TimesNewRomanPSMT" w:cs="TimesNewRomanPSMT"/>
          <w:sz w:val="20"/>
          <w:szCs w:val="20"/>
        </w:rPr>
        <w:t xml:space="preserve"> Section 3-8-41(a), Charlotte County Ordinances</w:t>
      </w:r>
      <w:r w:rsidR="00467CC9">
        <w:rPr>
          <w:rFonts w:ascii="TimesNewRomanPSMT" w:hAnsi="TimesNewRomanPSMT" w:cs="TimesNewRomanPSMT"/>
          <w:sz w:val="20"/>
          <w:szCs w:val="20"/>
        </w:rPr>
        <w:t>,</w:t>
      </w:r>
      <w:r>
        <w:rPr>
          <w:rFonts w:ascii="TimesNewRomanPSMT" w:hAnsi="TimesNewRomanPSMT" w:cs="TimesNewRomanPSMT"/>
          <w:sz w:val="20"/>
          <w:szCs w:val="20"/>
        </w:rPr>
        <w:t xml:space="preserve"> provides that “[a]ll developed property must connect the plumbing system or any structure on the property to an available public or private sewer system within three hundred sixty-five (365) days after written notification by the public or private sewer system that the system is available for connection.”</w:t>
      </w:r>
    </w:p>
  </w:footnote>
  <w:footnote w:id="12">
    <w:p w14:paraId="2FDD29FD" w14:textId="77777777" w:rsidR="00286FC8" w:rsidRDefault="00286FC8" w:rsidP="00286FC8">
      <w:pPr>
        <w:pStyle w:val="FootnoteText"/>
      </w:pPr>
      <w:r>
        <w:rPr>
          <w:rStyle w:val="FootnoteReference"/>
        </w:rPr>
        <w:footnoteRef/>
      </w:r>
      <w:r>
        <w:t xml:space="preserve"> </w:t>
      </w:r>
      <w:r w:rsidRPr="00846344">
        <w:rPr>
          <w:i/>
        </w:rPr>
        <w:t>Citizens v. Brown</w:t>
      </w:r>
      <w:r>
        <w:t>, 269 So. 3d 498 (Fla. 2019).</w:t>
      </w:r>
    </w:p>
  </w:footnote>
  <w:footnote w:id="13">
    <w:p w14:paraId="7717EF32" w14:textId="5022506F" w:rsidR="00286FC8" w:rsidRDefault="00286FC8" w:rsidP="00286FC8">
      <w:pPr>
        <w:pStyle w:val="FootnoteText"/>
      </w:pPr>
      <w:r>
        <w:rPr>
          <w:rStyle w:val="FootnoteReference"/>
        </w:rPr>
        <w:footnoteRef/>
      </w:r>
      <w:r>
        <w:t xml:space="preserve"> </w:t>
      </w:r>
      <w:r w:rsidR="00EC1D94" w:rsidRPr="00060278">
        <w:rPr>
          <w:i/>
        </w:rPr>
        <w:t>State Farm Mut. Auto. Ins. Co. v. Nichols</w:t>
      </w:r>
      <w:r w:rsidR="00EC1D94" w:rsidRPr="00060278">
        <w:t>, 932 So. 2d 1067 (Fla. 2006)</w:t>
      </w:r>
      <w:r w:rsidR="00EC1D94">
        <w:t xml:space="preserve">; </w:t>
      </w:r>
      <w:r w:rsidRPr="00060278">
        <w:rPr>
          <w:i/>
        </w:rPr>
        <w:t>Hill v. Davis</w:t>
      </w:r>
      <w:r w:rsidRPr="00060278">
        <w:t xml:space="preserve">, 70 So. 3d 572 (Fla. 2011); </w:t>
      </w:r>
      <w:r w:rsidRPr="00060278">
        <w:rPr>
          <w:i/>
        </w:rPr>
        <w:t>Florida Farm Bureau Cas. Ins. Co. v. Cox</w:t>
      </w:r>
      <w:r w:rsidRPr="00060278">
        <w:t xml:space="preserve">, 967 So. 2d 815 (Fla. 2007); </w:t>
      </w:r>
      <w:r w:rsidRPr="00060278">
        <w:rPr>
          <w:i/>
        </w:rPr>
        <w:t>Brass &amp; Singer, P.A. v. United Auto. Ins. Co.</w:t>
      </w:r>
      <w:r w:rsidRPr="00060278">
        <w:t>, 944 So. 2d 252 (Fla. 2006).</w:t>
      </w:r>
    </w:p>
  </w:footnote>
  <w:footnote w:id="14">
    <w:p w14:paraId="6C4054F6" w14:textId="77777777" w:rsidR="00286FC8" w:rsidRDefault="00286FC8" w:rsidP="00286FC8">
      <w:pPr>
        <w:pStyle w:val="FootnoteText"/>
      </w:pPr>
      <w:r>
        <w:rPr>
          <w:rStyle w:val="FootnoteReference"/>
        </w:rPr>
        <w:footnoteRef/>
      </w:r>
      <w:r>
        <w:t xml:space="preserve"> </w:t>
      </w:r>
      <w:r w:rsidRPr="009C5C0A">
        <w:rPr>
          <w:i/>
        </w:rPr>
        <w:t>City of Oviedo v. Clark</w:t>
      </w:r>
      <w:r>
        <w:t xml:space="preserve">, 699 So. 2d 316, 318 (Fla. 1st DCA 1997) </w:t>
      </w:r>
      <w:r w:rsidRPr="000E25A4">
        <w:t xml:space="preserve">(“The plain language of the statute only requires the </w:t>
      </w:r>
      <w:r>
        <w:t>Commission</w:t>
      </w:r>
      <w:r w:rsidRPr="000E25A4">
        <w:t xml:space="preserve"> to consider the comprehensive plan. The </w:t>
      </w:r>
      <w:r>
        <w:t>Commission</w:t>
      </w:r>
      <w:r w:rsidRPr="000E25A4">
        <w:t xml:space="preserve"> is expressly granted discretion in the decision of whether to defer to the plan.”)</w:t>
      </w:r>
    </w:p>
  </w:footnote>
  <w:footnote w:id="15">
    <w:p w14:paraId="7B084EAF" w14:textId="30B60EB9" w:rsidR="00286FC8" w:rsidRDefault="00286FC8" w:rsidP="00286FC8">
      <w:pPr>
        <w:pStyle w:val="FootnoteText"/>
      </w:pPr>
      <w:r>
        <w:rPr>
          <w:rStyle w:val="FootnoteReference"/>
        </w:rPr>
        <w:footnoteRef/>
      </w:r>
      <w:r>
        <w:t xml:space="preserve"> In the Final Order at page 12, </w:t>
      </w:r>
      <w:r w:rsidR="00057CB3">
        <w:t>we</w:t>
      </w:r>
      <w:r>
        <w:t xml:space="preserve"> found that “Based on our evaluation, we find that EU’s application does not appear to be consistent with Charlotte County’s Sewer Master Plan.” EU characterizes this finding as “indecisive.”</w:t>
      </w:r>
    </w:p>
  </w:footnote>
  <w:footnote w:id="16">
    <w:p w14:paraId="08BF9061" w14:textId="77777777" w:rsidR="00286FC8" w:rsidRDefault="00286FC8" w:rsidP="00286FC8">
      <w:pPr>
        <w:pStyle w:val="FootnoteText"/>
      </w:pPr>
      <w:r>
        <w:rPr>
          <w:rStyle w:val="FootnoteReference"/>
        </w:rPr>
        <w:footnoteRef/>
      </w:r>
      <w:r>
        <w:t xml:space="preserve"> </w:t>
      </w:r>
      <w:r>
        <w:rPr>
          <w:i/>
        </w:rPr>
        <w:t xml:space="preserve">Stewart Bonded Warehouse, Inc. </w:t>
      </w:r>
      <w:r>
        <w:t>at 317.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F236" w14:textId="3DF34B0D" w:rsidR="00FA6EFD" w:rsidRDefault="00FA6EFD">
    <w:pPr>
      <w:pStyle w:val="OrderHeader"/>
    </w:pPr>
    <w:r>
      <w:t xml:space="preserve">ORDER NO. </w:t>
    </w:r>
    <w:fldSimple w:instr=" REF OrderNo0333 ">
      <w:r w:rsidR="00866C75">
        <w:t>PSC-2022-0333-FOF-SU</w:t>
      </w:r>
    </w:fldSimple>
  </w:p>
  <w:p w14:paraId="6B35CA12" w14:textId="77777777" w:rsidR="00FA6EFD" w:rsidRDefault="00286FC8">
    <w:pPr>
      <w:pStyle w:val="OrderHeader"/>
    </w:pPr>
    <w:bookmarkStart w:id="9" w:name="HeaderDocketNo"/>
    <w:bookmarkEnd w:id="9"/>
    <w:r>
      <w:t>DOCKET NO. 20200226-SU</w:t>
    </w:r>
  </w:p>
  <w:p w14:paraId="0996072F" w14:textId="746C577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6C75">
      <w:rPr>
        <w:rStyle w:val="PageNumber"/>
        <w:noProof/>
      </w:rPr>
      <w:t>9</w:t>
    </w:r>
    <w:r>
      <w:rPr>
        <w:rStyle w:val="PageNumber"/>
      </w:rPr>
      <w:fldChar w:fldCharType="end"/>
    </w:r>
  </w:p>
  <w:p w14:paraId="5B9E4640"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379B"/>
    <w:multiLevelType w:val="hybridMultilevel"/>
    <w:tmpl w:val="472AA9BA"/>
    <w:lvl w:ilvl="0" w:tplc="F406180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C50DC"/>
    <w:multiLevelType w:val="hybridMultilevel"/>
    <w:tmpl w:val="7FBCEFE6"/>
    <w:lvl w:ilvl="0" w:tplc="84D8F9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334124"/>
    <w:multiLevelType w:val="hybridMultilevel"/>
    <w:tmpl w:val="50380E28"/>
    <w:lvl w:ilvl="0" w:tplc="36A23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CE22FD"/>
    <w:multiLevelType w:val="hybridMultilevel"/>
    <w:tmpl w:val="472AA9BA"/>
    <w:lvl w:ilvl="0" w:tplc="F406180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95F75"/>
    <w:multiLevelType w:val="hybridMultilevel"/>
    <w:tmpl w:val="F560F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2239A"/>
    <w:multiLevelType w:val="hybridMultilevel"/>
    <w:tmpl w:val="4BFC9818"/>
    <w:lvl w:ilvl="0" w:tplc="74B47C3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53F7B"/>
    <w:multiLevelType w:val="hybridMultilevel"/>
    <w:tmpl w:val="477A8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C6C1B"/>
    <w:multiLevelType w:val="hybridMultilevel"/>
    <w:tmpl w:val="957AE4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E5E79"/>
    <w:multiLevelType w:val="hybridMultilevel"/>
    <w:tmpl w:val="E2847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24CD8"/>
    <w:multiLevelType w:val="hybridMultilevel"/>
    <w:tmpl w:val="0D1A19EA"/>
    <w:lvl w:ilvl="0" w:tplc="6194E7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66E379B"/>
    <w:multiLevelType w:val="hybridMultilevel"/>
    <w:tmpl w:val="66AA01A6"/>
    <w:lvl w:ilvl="0" w:tplc="8B141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7"/>
  </w:num>
  <w:num w:numId="4">
    <w:abstractNumId w:val="3"/>
  </w:num>
  <w:num w:numId="5">
    <w:abstractNumId w:val="0"/>
  </w:num>
  <w:num w:numId="6">
    <w:abstractNumId w:val="5"/>
  </w:num>
  <w:num w:numId="7">
    <w:abstractNumId w:val="10"/>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6-SU"/>
  </w:docVars>
  <w:rsids>
    <w:rsidRoot w:val="00286FC8"/>
    <w:rsid w:val="000022B8"/>
    <w:rsid w:val="00003883"/>
    <w:rsid w:val="00011251"/>
    <w:rsid w:val="00025C2A"/>
    <w:rsid w:val="00025C9D"/>
    <w:rsid w:val="0003433F"/>
    <w:rsid w:val="00035A8C"/>
    <w:rsid w:val="00036BDD"/>
    <w:rsid w:val="00037282"/>
    <w:rsid w:val="00041FFD"/>
    <w:rsid w:val="00042C99"/>
    <w:rsid w:val="00053AB9"/>
    <w:rsid w:val="00056229"/>
    <w:rsid w:val="00057AF1"/>
    <w:rsid w:val="00057CB3"/>
    <w:rsid w:val="00065FC2"/>
    <w:rsid w:val="00067685"/>
    <w:rsid w:val="00067B07"/>
    <w:rsid w:val="000730D7"/>
    <w:rsid w:val="00076E6B"/>
    <w:rsid w:val="00081AE4"/>
    <w:rsid w:val="0008247D"/>
    <w:rsid w:val="00090AFC"/>
    <w:rsid w:val="00092894"/>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0939"/>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6FC8"/>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05C41"/>
    <w:rsid w:val="00311765"/>
    <w:rsid w:val="00313C5B"/>
    <w:rsid w:val="003140E8"/>
    <w:rsid w:val="003231C7"/>
    <w:rsid w:val="00323839"/>
    <w:rsid w:val="003270C4"/>
    <w:rsid w:val="00331ED0"/>
    <w:rsid w:val="00332B0A"/>
    <w:rsid w:val="00333A41"/>
    <w:rsid w:val="00337B66"/>
    <w:rsid w:val="00341036"/>
    <w:rsid w:val="00345434"/>
    <w:rsid w:val="00351C22"/>
    <w:rsid w:val="0035495B"/>
    <w:rsid w:val="00355A93"/>
    <w:rsid w:val="00361522"/>
    <w:rsid w:val="003704B5"/>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0A29"/>
    <w:rsid w:val="00411DF2"/>
    <w:rsid w:val="00411E8F"/>
    <w:rsid w:val="004247F5"/>
    <w:rsid w:val="0042527B"/>
    <w:rsid w:val="00427EAC"/>
    <w:rsid w:val="004431B4"/>
    <w:rsid w:val="0045537F"/>
    <w:rsid w:val="00457DC7"/>
    <w:rsid w:val="004640B3"/>
    <w:rsid w:val="00467CC9"/>
    <w:rsid w:val="00472BCC"/>
    <w:rsid w:val="00477699"/>
    <w:rsid w:val="004A25CD"/>
    <w:rsid w:val="004A26CC"/>
    <w:rsid w:val="004B2108"/>
    <w:rsid w:val="004B3A2B"/>
    <w:rsid w:val="004B4BDA"/>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A77D5"/>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3DA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E77"/>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0BF7"/>
    <w:rsid w:val="008278FE"/>
    <w:rsid w:val="00832598"/>
    <w:rsid w:val="0083397E"/>
    <w:rsid w:val="0083534B"/>
    <w:rsid w:val="00842035"/>
    <w:rsid w:val="00842602"/>
    <w:rsid w:val="008449F0"/>
    <w:rsid w:val="00846F11"/>
    <w:rsid w:val="00847B45"/>
    <w:rsid w:val="00863A66"/>
    <w:rsid w:val="00866C75"/>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0669"/>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AAE"/>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4809"/>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3D54"/>
    <w:rsid w:val="00A9515B"/>
    <w:rsid w:val="00A97535"/>
    <w:rsid w:val="00AA2BAA"/>
    <w:rsid w:val="00AA4FF0"/>
    <w:rsid w:val="00AA6516"/>
    <w:rsid w:val="00AA73F1"/>
    <w:rsid w:val="00AB0E1A"/>
    <w:rsid w:val="00AB1A30"/>
    <w:rsid w:val="00AB1C15"/>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35A8"/>
    <w:rsid w:val="00BD5C92"/>
    <w:rsid w:val="00BE50E6"/>
    <w:rsid w:val="00BE7A0C"/>
    <w:rsid w:val="00BF11DD"/>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6250"/>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1C61"/>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1D94"/>
    <w:rsid w:val="00ED6A79"/>
    <w:rsid w:val="00EE17DF"/>
    <w:rsid w:val="00EF1482"/>
    <w:rsid w:val="00EF3FA5"/>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73C3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86FC8"/>
  </w:style>
  <w:style w:type="paragraph" w:styleId="BalloonText">
    <w:name w:val="Balloon Text"/>
    <w:basedOn w:val="Normal"/>
    <w:link w:val="BalloonTextChar"/>
    <w:semiHidden/>
    <w:unhideWhenUsed/>
    <w:rsid w:val="00A04809"/>
    <w:rPr>
      <w:rFonts w:ascii="Segoe UI" w:hAnsi="Segoe UI" w:cs="Segoe UI"/>
      <w:sz w:val="18"/>
      <w:szCs w:val="18"/>
    </w:rPr>
  </w:style>
  <w:style w:type="character" w:customStyle="1" w:styleId="BalloonTextChar">
    <w:name w:val="Balloon Text Char"/>
    <w:basedOn w:val="DefaultParagraphFont"/>
    <w:link w:val="BalloonText"/>
    <w:semiHidden/>
    <w:rsid w:val="00A04809"/>
    <w:rPr>
      <w:rFonts w:ascii="Segoe UI" w:hAnsi="Segoe UI" w:cs="Segoe UI"/>
      <w:sz w:val="18"/>
      <w:szCs w:val="18"/>
    </w:rPr>
  </w:style>
  <w:style w:type="paragraph" w:styleId="ListParagraph">
    <w:name w:val="List Paragraph"/>
    <w:basedOn w:val="Normal"/>
    <w:uiPriority w:val="34"/>
    <w:qFormat/>
    <w:rsid w:val="003704B5"/>
    <w:pPr>
      <w:ind w:left="720"/>
      <w:contextualSpacing/>
    </w:pPr>
  </w:style>
  <w:style w:type="character" w:styleId="CommentReference">
    <w:name w:val="annotation reference"/>
    <w:basedOn w:val="DefaultParagraphFont"/>
    <w:semiHidden/>
    <w:unhideWhenUsed/>
    <w:rsid w:val="00900669"/>
    <w:rPr>
      <w:sz w:val="16"/>
      <w:szCs w:val="16"/>
    </w:rPr>
  </w:style>
  <w:style w:type="paragraph" w:styleId="CommentText">
    <w:name w:val="annotation text"/>
    <w:basedOn w:val="Normal"/>
    <w:link w:val="CommentTextChar"/>
    <w:semiHidden/>
    <w:unhideWhenUsed/>
    <w:rsid w:val="00900669"/>
    <w:rPr>
      <w:sz w:val="20"/>
      <w:szCs w:val="20"/>
    </w:rPr>
  </w:style>
  <w:style w:type="character" w:customStyle="1" w:styleId="CommentTextChar">
    <w:name w:val="Comment Text Char"/>
    <w:basedOn w:val="DefaultParagraphFont"/>
    <w:link w:val="CommentText"/>
    <w:semiHidden/>
    <w:rsid w:val="00900669"/>
  </w:style>
  <w:style w:type="paragraph" w:styleId="CommentSubject">
    <w:name w:val="annotation subject"/>
    <w:basedOn w:val="CommentText"/>
    <w:next w:val="CommentText"/>
    <w:link w:val="CommentSubjectChar"/>
    <w:semiHidden/>
    <w:unhideWhenUsed/>
    <w:rsid w:val="00900669"/>
    <w:rPr>
      <w:b/>
      <w:bCs/>
    </w:rPr>
  </w:style>
  <w:style w:type="character" w:customStyle="1" w:styleId="CommentSubjectChar">
    <w:name w:val="Comment Subject Char"/>
    <w:basedOn w:val="CommentTextChar"/>
    <w:link w:val="CommentSubject"/>
    <w:semiHidden/>
    <w:rsid w:val="00900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10</Pages>
  <Words>3612</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2022-09-27T14:47:00Z</dcterms:created>
  <dcterms:modified xsi:type="dcterms:W3CDTF">2022-09-27T18:32:00Z</dcterms:modified>
</cp:coreProperties>
</file>