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10EF4" w:rsidP="00F10EF4">
      <w:pPr>
        <w:pStyle w:val="OrderHeading"/>
      </w:pPr>
      <w:r>
        <w:t>BEFORE THE FLORIDA PUBLIC SERVICE COMMISSION</w:t>
      </w:r>
    </w:p>
    <w:p w:rsidR="00F10EF4" w:rsidRDefault="00F10EF4" w:rsidP="00F10EF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10EF4" w:rsidRPr="00C63FCF" w:rsidTr="00C63FCF">
        <w:trPr>
          <w:trHeight w:val="828"/>
        </w:trPr>
        <w:tc>
          <w:tcPr>
            <w:tcW w:w="4788" w:type="dxa"/>
            <w:tcBorders>
              <w:bottom w:val="single" w:sz="8" w:space="0" w:color="auto"/>
              <w:right w:val="double" w:sz="6" w:space="0" w:color="auto"/>
            </w:tcBorders>
            <w:shd w:val="clear" w:color="auto" w:fill="auto"/>
          </w:tcPr>
          <w:p w:rsidR="00F10EF4" w:rsidRDefault="00F10EF4"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F10EF4" w:rsidRDefault="00F10EF4" w:rsidP="00F10EF4">
            <w:pPr>
              <w:pStyle w:val="OrderBody"/>
            </w:pPr>
            <w:r>
              <w:t xml:space="preserve">DOCKET NO. </w:t>
            </w:r>
            <w:bookmarkStart w:id="1" w:name="SSDocketNo"/>
            <w:bookmarkEnd w:id="1"/>
            <w:r>
              <w:t>20210015-EI</w:t>
            </w:r>
          </w:p>
          <w:p w:rsidR="00F10EF4" w:rsidRDefault="00F10EF4" w:rsidP="00C63FCF">
            <w:pPr>
              <w:pStyle w:val="OrderBody"/>
              <w:tabs>
                <w:tab w:val="center" w:pos="4320"/>
                <w:tab w:val="right" w:pos="8640"/>
              </w:tabs>
              <w:jc w:val="left"/>
            </w:pPr>
            <w:r>
              <w:t xml:space="preserve">ORDER NO. </w:t>
            </w:r>
            <w:bookmarkStart w:id="2" w:name="OrderNo0358"/>
            <w:r w:rsidR="00B22C32">
              <w:t>PSC-2022-0358A-FOF-EI</w:t>
            </w:r>
            <w:bookmarkEnd w:id="2"/>
          </w:p>
          <w:p w:rsidR="00F10EF4" w:rsidRDefault="00F10EF4" w:rsidP="00C63FCF">
            <w:pPr>
              <w:pStyle w:val="OrderBody"/>
              <w:tabs>
                <w:tab w:val="center" w:pos="4320"/>
                <w:tab w:val="right" w:pos="8640"/>
              </w:tabs>
              <w:jc w:val="left"/>
            </w:pPr>
            <w:r>
              <w:t xml:space="preserve">ISSUED: </w:t>
            </w:r>
            <w:r w:rsidR="00B22C32">
              <w:t>October 24, 2022</w:t>
            </w:r>
          </w:p>
        </w:tc>
      </w:tr>
    </w:tbl>
    <w:p w:rsidR="00F10EF4" w:rsidRDefault="00F10EF4" w:rsidP="00F10EF4"/>
    <w:p w:rsidR="00F10EF4" w:rsidRDefault="00F10EF4" w:rsidP="00F10EF4">
      <w:pPr>
        <w:pStyle w:val="CenterUnderline"/>
      </w:pPr>
      <w:bookmarkStart w:id="3" w:name="Commissioners"/>
      <w:bookmarkEnd w:id="3"/>
      <w:r>
        <w:t>AMENDED ORDER</w:t>
      </w:r>
      <w:bookmarkStart w:id="4" w:name="OrderTitle"/>
      <w:r>
        <w:t xml:space="preserve"> IMPLEMENTING FLORIDA POWER &amp; LIGHT</w:t>
      </w:r>
    </w:p>
    <w:p w:rsidR="00F10EF4" w:rsidRDefault="00F10EF4" w:rsidP="00F10EF4">
      <w:pPr>
        <w:pStyle w:val="CenterUnderline"/>
      </w:pPr>
      <w:r>
        <w:t xml:space="preserve">COMPANY’S RETURN ON EQUITY TRIGGER </w:t>
      </w:r>
      <w:bookmarkEnd w:id="4"/>
    </w:p>
    <w:p w:rsidR="00F10EF4" w:rsidRDefault="00F10EF4" w:rsidP="00F10EF4">
      <w:pPr>
        <w:pStyle w:val="CenterUnderline"/>
      </w:pPr>
    </w:p>
    <w:p w:rsidR="00784C8A" w:rsidRDefault="00784C8A" w:rsidP="00784C8A">
      <w:pPr>
        <w:pStyle w:val="CenterUnderline"/>
        <w:jc w:val="both"/>
        <w:rPr>
          <w:u w:val="none"/>
        </w:rPr>
      </w:pPr>
      <w:r>
        <w:rPr>
          <w:u w:val="none"/>
        </w:rPr>
        <w:t>BY THE COMMISSION:</w:t>
      </w:r>
    </w:p>
    <w:p w:rsidR="00784C8A" w:rsidRPr="00784C8A" w:rsidRDefault="00784C8A" w:rsidP="00784C8A">
      <w:pPr>
        <w:pStyle w:val="CenterUnderline"/>
        <w:jc w:val="both"/>
        <w:rPr>
          <w:u w:val="none"/>
        </w:rPr>
      </w:pPr>
    </w:p>
    <w:p w:rsidR="00FD7862" w:rsidRDefault="00F10EF4" w:rsidP="00F10EF4">
      <w:pPr>
        <w:pStyle w:val="CenterUnderline"/>
        <w:jc w:val="both"/>
        <w:rPr>
          <w:u w:val="none"/>
        </w:rPr>
      </w:pPr>
      <w:r>
        <w:rPr>
          <w:u w:val="none"/>
        </w:rPr>
        <w:tab/>
        <w:t xml:space="preserve">On October 21, 2022, Order No. PSC-2022-0358-FOF-EI was issued granting Florida Power &amp; Light Company’s (FPL) request to implement the return on equity trigger provision of its 2021 Settlement Agreement.  Due to a scrivener’s error, </w:t>
      </w:r>
      <w:r w:rsidR="004C56DD">
        <w:rPr>
          <w:u w:val="none"/>
        </w:rPr>
        <w:t xml:space="preserve">the </w:t>
      </w:r>
      <w:r>
        <w:rPr>
          <w:u w:val="none"/>
        </w:rPr>
        <w:t>Proposed Stipulations</w:t>
      </w:r>
      <w:r w:rsidR="004C56DD">
        <w:rPr>
          <w:u w:val="none"/>
        </w:rPr>
        <w:t xml:space="preserve"> stated in Attachment A</w:t>
      </w:r>
      <w:r w:rsidR="00FD7862">
        <w:rPr>
          <w:u w:val="none"/>
        </w:rPr>
        <w:t xml:space="preserve"> to that order</w:t>
      </w:r>
      <w:r>
        <w:rPr>
          <w:u w:val="none"/>
        </w:rPr>
        <w:t xml:space="preserve"> </w:t>
      </w:r>
      <w:r w:rsidR="004C56DD">
        <w:rPr>
          <w:u w:val="none"/>
        </w:rPr>
        <w:t>were incorrect.</w:t>
      </w:r>
      <w:r w:rsidR="00FD7862">
        <w:rPr>
          <w:u w:val="none"/>
        </w:rPr>
        <w:t xml:space="preserve">  </w:t>
      </w:r>
      <w:r w:rsidR="004C56DD">
        <w:rPr>
          <w:u w:val="none"/>
        </w:rPr>
        <w:t>The</w:t>
      </w:r>
      <w:r w:rsidR="00B74245">
        <w:rPr>
          <w:u w:val="none"/>
        </w:rPr>
        <w:t>refore, Order No. PSC-2022-0358-FOF-EI</w:t>
      </w:r>
      <w:r w:rsidR="004C56DD">
        <w:rPr>
          <w:u w:val="none"/>
        </w:rPr>
        <w:t xml:space="preserve"> </w:t>
      </w:r>
      <w:r w:rsidR="00B74245">
        <w:rPr>
          <w:u w:val="none"/>
        </w:rPr>
        <w:t>is amended to substitute the co</w:t>
      </w:r>
      <w:r w:rsidR="004C56DD">
        <w:rPr>
          <w:u w:val="none"/>
        </w:rPr>
        <w:t xml:space="preserve">rrect Proposed Stipulations, as found in </w:t>
      </w:r>
      <w:r w:rsidR="00FD7862">
        <w:rPr>
          <w:u w:val="none"/>
        </w:rPr>
        <w:t xml:space="preserve">admitted </w:t>
      </w:r>
      <w:r w:rsidR="004C56DD">
        <w:rPr>
          <w:u w:val="none"/>
        </w:rPr>
        <w:t>Exhibit 5</w:t>
      </w:r>
      <w:r w:rsidR="00784C8A">
        <w:rPr>
          <w:u w:val="none"/>
        </w:rPr>
        <w:t>, and attached hereto</w:t>
      </w:r>
      <w:r w:rsidR="00B74245">
        <w:rPr>
          <w:u w:val="none"/>
        </w:rPr>
        <w:t xml:space="preserve">. </w:t>
      </w:r>
      <w:r w:rsidR="00FD7862">
        <w:rPr>
          <w:u w:val="none"/>
        </w:rPr>
        <w:t xml:space="preserve">  </w:t>
      </w:r>
    </w:p>
    <w:p w:rsidR="00FD7862" w:rsidRDefault="00FD7862" w:rsidP="00F10EF4">
      <w:pPr>
        <w:pStyle w:val="CenterUnderline"/>
        <w:jc w:val="both"/>
        <w:rPr>
          <w:u w:val="none"/>
        </w:rPr>
      </w:pPr>
    </w:p>
    <w:p w:rsidR="00FD7862" w:rsidRDefault="00FD7862" w:rsidP="00F10EF4">
      <w:pPr>
        <w:pStyle w:val="CenterUnderline"/>
        <w:jc w:val="both"/>
        <w:rPr>
          <w:u w:val="none"/>
        </w:rPr>
      </w:pPr>
      <w:r>
        <w:rPr>
          <w:u w:val="none"/>
        </w:rPr>
        <w:tab/>
        <w:t>Based on the foregoing, it is</w:t>
      </w:r>
    </w:p>
    <w:p w:rsidR="00FD7862" w:rsidRDefault="00FD7862" w:rsidP="00F10EF4">
      <w:pPr>
        <w:pStyle w:val="CenterUnderline"/>
        <w:jc w:val="both"/>
        <w:rPr>
          <w:u w:val="none"/>
        </w:rPr>
      </w:pPr>
    </w:p>
    <w:p w:rsidR="00B74245" w:rsidRDefault="00FD7862" w:rsidP="00F10EF4">
      <w:pPr>
        <w:pStyle w:val="CenterUnderline"/>
        <w:jc w:val="both"/>
        <w:rPr>
          <w:u w:val="none"/>
        </w:rPr>
      </w:pPr>
      <w:r>
        <w:rPr>
          <w:u w:val="none"/>
        </w:rPr>
        <w:tab/>
        <w:t xml:space="preserve">ORDERED that Order No. PSC-2022-0358-FOF-EI is </w:t>
      </w:r>
      <w:r w:rsidR="00B74245">
        <w:rPr>
          <w:u w:val="none"/>
        </w:rPr>
        <w:t xml:space="preserve">hereby </w:t>
      </w:r>
      <w:r>
        <w:rPr>
          <w:u w:val="none"/>
        </w:rPr>
        <w:t xml:space="preserve">amended </w:t>
      </w:r>
      <w:r w:rsidR="00B74245">
        <w:rPr>
          <w:u w:val="none"/>
        </w:rPr>
        <w:t>to correct the Proposed Stipulations found in Attachment A.  It is further</w:t>
      </w:r>
    </w:p>
    <w:p w:rsidR="00B74245" w:rsidRDefault="00B74245" w:rsidP="00F10EF4">
      <w:pPr>
        <w:pStyle w:val="CenterUnderline"/>
        <w:jc w:val="both"/>
        <w:rPr>
          <w:u w:val="none"/>
        </w:rPr>
      </w:pPr>
    </w:p>
    <w:p w:rsidR="00FD7862" w:rsidRDefault="00B74245" w:rsidP="00F10EF4">
      <w:pPr>
        <w:pStyle w:val="CenterUnderline"/>
        <w:jc w:val="both"/>
        <w:rPr>
          <w:u w:val="none"/>
        </w:rPr>
      </w:pPr>
      <w:r>
        <w:rPr>
          <w:u w:val="none"/>
        </w:rPr>
        <w:tab/>
        <w:t xml:space="preserve">ORDERED that Order No. 2022-0358-FOF-EI is </w:t>
      </w:r>
      <w:r w:rsidR="00FD7862">
        <w:rPr>
          <w:u w:val="none"/>
        </w:rPr>
        <w:t>reaffirmed in all other respects not inconsistent with this order.</w:t>
      </w:r>
    </w:p>
    <w:p w:rsidR="00FD7862" w:rsidRDefault="00FD7862" w:rsidP="00F10EF4">
      <w:pPr>
        <w:pStyle w:val="CenterUnderline"/>
        <w:jc w:val="both"/>
        <w:rPr>
          <w:u w:val="none"/>
        </w:rPr>
      </w:pPr>
    </w:p>
    <w:p w:rsidR="00FD7862" w:rsidRDefault="00FD7862" w:rsidP="00FD7862">
      <w:pPr>
        <w:pStyle w:val="CenterUnderline"/>
        <w:keepNext/>
        <w:keepLines/>
        <w:jc w:val="both"/>
        <w:rPr>
          <w:u w:val="none"/>
        </w:rPr>
      </w:pPr>
      <w:r>
        <w:rPr>
          <w:u w:val="none"/>
        </w:rPr>
        <w:tab/>
        <w:t xml:space="preserve">By ORDER of the Florida Public Service Commission this </w:t>
      </w:r>
      <w:bookmarkStart w:id="5" w:name="replaceDate"/>
      <w:bookmarkEnd w:id="5"/>
      <w:r w:rsidR="00B22C32">
        <w:t>24th</w:t>
      </w:r>
      <w:r w:rsidR="00B22C32">
        <w:rPr>
          <w:u w:val="none"/>
        </w:rPr>
        <w:t xml:space="preserve"> day of </w:t>
      </w:r>
      <w:r w:rsidR="00B22C32">
        <w:t>October</w:t>
      </w:r>
      <w:r w:rsidR="00B22C32">
        <w:rPr>
          <w:u w:val="none"/>
        </w:rPr>
        <w:t xml:space="preserve">, </w:t>
      </w:r>
      <w:r w:rsidR="00B22C32">
        <w:t>2022</w:t>
      </w:r>
      <w:r w:rsidR="00B22C32">
        <w:rPr>
          <w:u w:val="none"/>
        </w:rPr>
        <w:t>.</w:t>
      </w:r>
    </w:p>
    <w:p w:rsidR="00B22C32" w:rsidRPr="00B22C32" w:rsidRDefault="00B22C32" w:rsidP="00FD7862">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FD7862" w:rsidTr="00FD7862">
        <w:tc>
          <w:tcPr>
            <w:tcW w:w="720" w:type="dxa"/>
            <w:shd w:val="clear" w:color="auto" w:fill="auto"/>
          </w:tcPr>
          <w:p w:rsidR="00FD7862" w:rsidRDefault="00FD7862" w:rsidP="00FD7862">
            <w:pPr>
              <w:pStyle w:val="CenterUnderline"/>
              <w:keepNext/>
              <w:keepLines/>
              <w:jc w:val="both"/>
              <w:rPr>
                <w:u w:val="none"/>
              </w:rPr>
            </w:pPr>
            <w:bookmarkStart w:id="6" w:name="bkmrkSignature" w:colFirst="0" w:colLast="0"/>
            <w:bookmarkStart w:id="7" w:name="_GoBack" w:colFirst="0" w:colLast="0"/>
          </w:p>
        </w:tc>
        <w:tc>
          <w:tcPr>
            <w:tcW w:w="4320" w:type="dxa"/>
            <w:tcBorders>
              <w:bottom w:val="single" w:sz="4" w:space="0" w:color="auto"/>
            </w:tcBorders>
            <w:shd w:val="clear" w:color="auto" w:fill="auto"/>
          </w:tcPr>
          <w:p w:rsidR="00784C8A" w:rsidRDefault="00992DFB" w:rsidP="00FD7862">
            <w:pPr>
              <w:pStyle w:val="CenterUnderline"/>
              <w:keepNext/>
              <w:keepLines/>
              <w:jc w:val="both"/>
              <w:rPr>
                <w:u w:val="none"/>
              </w:rPr>
            </w:pPr>
            <w:r>
              <w:rPr>
                <w:u w:val="none"/>
              </w:rPr>
              <w:t>/s/ Adam J. Teitzman</w:t>
            </w:r>
          </w:p>
          <w:p w:rsidR="00784C8A" w:rsidRDefault="00784C8A" w:rsidP="00FD7862">
            <w:pPr>
              <w:pStyle w:val="CenterUnderline"/>
              <w:keepNext/>
              <w:keepLines/>
              <w:jc w:val="both"/>
              <w:rPr>
                <w:u w:val="none"/>
              </w:rPr>
            </w:pPr>
          </w:p>
        </w:tc>
      </w:tr>
      <w:bookmarkEnd w:id="6"/>
      <w:tr w:rsidR="00FD7862" w:rsidTr="00FD7862">
        <w:tc>
          <w:tcPr>
            <w:tcW w:w="720" w:type="dxa"/>
            <w:shd w:val="clear" w:color="auto" w:fill="auto"/>
          </w:tcPr>
          <w:p w:rsidR="00FD7862" w:rsidRDefault="00FD7862" w:rsidP="00FD7862">
            <w:pPr>
              <w:pStyle w:val="CenterUnderline"/>
              <w:keepNext/>
              <w:keepLines/>
              <w:jc w:val="both"/>
              <w:rPr>
                <w:u w:val="none"/>
              </w:rPr>
            </w:pPr>
          </w:p>
        </w:tc>
        <w:tc>
          <w:tcPr>
            <w:tcW w:w="4320" w:type="dxa"/>
            <w:tcBorders>
              <w:top w:val="single" w:sz="4" w:space="0" w:color="auto"/>
            </w:tcBorders>
            <w:shd w:val="clear" w:color="auto" w:fill="auto"/>
          </w:tcPr>
          <w:p w:rsidR="00FD7862" w:rsidRDefault="00FD7862" w:rsidP="00FD7862">
            <w:pPr>
              <w:pStyle w:val="CenterUnderline"/>
              <w:keepNext/>
              <w:keepLines/>
              <w:jc w:val="both"/>
              <w:rPr>
                <w:u w:val="none"/>
              </w:rPr>
            </w:pPr>
            <w:r>
              <w:rPr>
                <w:u w:val="none"/>
              </w:rPr>
              <w:t>ADAM J. TEITZMAN</w:t>
            </w:r>
          </w:p>
          <w:p w:rsidR="00FD7862" w:rsidRDefault="00FD7862" w:rsidP="00FD7862">
            <w:pPr>
              <w:pStyle w:val="CenterUnderline"/>
              <w:keepNext/>
              <w:keepLines/>
              <w:jc w:val="both"/>
              <w:rPr>
                <w:u w:val="none"/>
              </w:rPr>
            </w:pPr>
            <w:r>
              <w:rPr>
                <w:u w:val="none"/>
              </w:rPr>
              <w:t>Commission Clerk</w:t>
            </w:r>
          </w:p>
        </w:tc>
      </w:tr>
    </w:tbl>
    <w:bookmarkEnd w:id="7"/>
    <w:p w:rsidR="00FD7862" w:rsidRDefault="00FD7862" w:rsidP="00FD7862">
      <w:pPr>
        <w:pStyle w:val="OrderSigInfo"/>
        <w:keepNext/>
        <w:keepLines/>
      </w:pPr>
      <w:r>
        <w:t>Florida Public Service Commission</w:t>
      </w:r>
    </w:p>
    <w:p w:rsidR="00FD7862" w:rsidRDefault="00FD7862" w:rsidP="00FD7862">
      <w:pPr>
        <w:pStyle w:val="OrderSigInfo"/>
        <w:keepNext/>
        <w:keepLines/>
      </w:pPr>
      <w:r>
        <w:t>2540 Shumard Oak Boulevard</w:t>
      </w:r>
    </w:p>
    <w:p w:rsidR="00FD7862" w:rsidRDefault="00FD7862" w:rsidP="00FD7862">
      <w:pPr>
        <w:pStyle w:val="OrderSigInfo"/>
        <w:keepNext/>
        <w:keepLines/>
      </w:pPr>
      <w:r>
        <w:t>Tallahassee, Florida 32399</w:t>
      </w:r>
    </w:p>
    <w:p w:rsidR="00FD7862" w:rsidRDefault="00FD7862" w:rsidP="00FD7862">
      <w:pPr>
        <w:pStyle w:val="OrderSigInfo"/>
        <w:keepNext/>
        <w:keepLines/>
      </w:pPr>
      <w:r>
        <w:t>(850) 413</w:t>
      </w:r>
      <w:r>
        <w:noBreakHyphen/>
        <w:t>6770</w:t>
      </w:r>
    </w:p>
    <w:p w:rsidR="00FD7862" w:rsidRDefault="00FD7862" w:rsidP="00FD7862">
      <w:pPr>
        <w:pStyle w:val="OrderSigInfo"/>
        <w:keepNext/>
        <w:keepLines/>
      </w:pPr>
      <w:r>
        <w:t>www.floridapsc.com</w:t>
      </w:r>
    </w:p>
    <w:p w:rsidR="00FD7862" w:rsidRDefault="00FD7862" w:rsidP="00FD7862">
      <w:pPr>
        <w:pStyle w:val="OrderSigInfo"/>
        <w:keepNext/>
        <w:keepLines/>
      </w:pPr>
    </w:p>
    <w:p w:rsidR="00FD7862" w:rsidRDefault="00FD7862" w:rsidP="00FD7862">
      <w:pPr>
        <w:pStyle w:val="OrderSigInfo"/>
        <w:keepNext/>
        <w:keepLines/>
      </w:pPr>
      <w:r>
        <w:t>Copies furnished:  A copy of this document is provided to the parties of record at the time of issuance and, if applicable, interested persons.</w:t>
      </w:r>
    </w:p>
    <w:p w:rsidR="00784C8A" w:rsidRDefault="00B74245" w:rsidP="00B74245">
      <w:pPr>
        <w:pStyle w:val="OrderBody"/>
      </w:pPr>
      <w:r>
        <w:t>SBr</w:t>
      </w:r>
    </w:p>
    <w:p w:rsidR="00784C8A" w:rsidRDefault="00784C8A">
      <w:r>
        <w:br w:type="page"/>
      </w:r>
    </w:p>
    <w:p w:rsidR="00B74245" w:rsidRDefault="00B74245" w:rsidP="00B74245">
      <w:pPr>
        <w:pStyle w:val="OrderBody"/>
        <w:jc w:val="right"/>
      </w:pPr>
      <w:r>
        <w:lastRenderedPageBreak/>
        <w:t>ATTACHMENT A</w:t>
      </w:r>
    </w:p>
    <w:p w:rsidR="00784C8A" w:rsidRDefault="00784C8A" w:rsidP="00B74245">
      <w:pPr>
        <w:pStyle w:val="OrderBody"/>
        <w:jc w:val="right"/>
      </w:pPr>
    </w:p>
    <w:p w:rsidR="00B74245" w:rsidRDefault="00B74245" w:rsidP="00B74245">
      <w:pPr>
        <w:pStyle w:val="OrderHeading"/>
      </w:pPr>
      <w:r>
        <w:t>BEFORE THE FLORIDA PUBLIC SERVICE COMMISSION</w:t>
      </w:r>
    </w:p>
    <w:p w:rsidR="00B74245" w:rsidRDefault="00B74245" w:rsidP="00B7424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74245" w:rsidRPr="00C63FCF" w:rsidTr="00926766">
        <w:trPr>
          <w:trHeight w:val="828"/>
        </w:trPr>
        <w:tc>
          <w:tcPr>
            <w:tcW w:w="4788" w:type="dxa"/>
            <w:tcBorders>
              <w:bottom w:val="single" w:sz="8" w:space="0" w:color="auto"/>
              <w:right w:val="double" w:sz="6" w:space="0" w:color="auto"/>
            </w:tcBorders>
            <w:shd w:val="clear" w:color="auto" w:fill="auto"/>
          </w:tcPr>
          <w:p w:rsidR="00B74245" w:rsidRDefault="00B74245" w:rsidP="00926766">
            <w:pPr>
              <w:pStyle w:val="OrderBody"/>
              <w:tabs>
                <w:tab w:val="center" w:pos="4320"/>
                <w:tab w:val="right" w:pos="8640"/>
              </w:tabs>
              <w:jc w:val="left"/>
            </w:pPr>
            <w:r>
              <w:t>In re: Petition for rate increase by Florida Power &amp; Light Company.</w:t>
            </w:r>
          </w:p>
        </w:tc>
        <w:tc>
          <w:tcPr>
            <w:tcW w:w="4788" w:type="dxa"/>
            <w:tcBorders>
              <w:left w:val="double" w:sz="6" w:space="0" w:color="auto"/>
            </w:tcBorders>
            <w:shd w:val="clear" w:color="auto" w:fill="auto"/>
          </w:tcPr>
          <w:p w:rsidR="00B74245" w:rsidRDefault="00B74245" w:rsidP="00926766">
            <w:pPr>
              <w:pStyle w:val="OrderBody"/>
            </w:pPr>
            <w:r>
              <w:t>DOCKET NO. 20210015-EI</w:t>
            </w:r>
          </w:p>
          <w:p w:rsidR="00B74245" w:rsidRDefault="00B74245" w:rsidP="00926766">
            <w:pPr>
              <w:pStyle w:val="OrderBody"/>
              <w:tabs>
                <w:tab w:val="center" w:pos="4320"/>
                <w:tab w:val="right" w:pos="8640"/>
              </w:tabs>
              <w:jc w:val="left"/>
            </w:pPr>
            <w:r>
              <w:t xml:space="preserve"> </w:t>
            </w:r>
          </w:p>
        </w:tc>
      </w:tr>
    </w:tbl>
    <w:p w:rsidR="00B74245" w:rsidRDefault="00B74245" w:rsidP="00B74245"/>
    <w:p w:rsidR="00B74245" w:rsidRDefault="00B74245" w:rsidP="00B74245">
      <w:pPr>
        <w:pStyle w:val="CenterUnderline"/>
      </w:pPr>
      <w:r>
        <w:t>PROPOSED STIPULATIONS</w:t>
      </w:r>
    </w:p>
    <w:p w:rsidR="00B74245" w:rsidRDefault="00B74245" w:rsidP="00B74245">
      <w:pPr>
        <w:pStyle w:val="CenterUnderline"/>
      </w:pPr>
      <w:r>
        <w:t xml:space="preserve"> </w:t>
      </w:r>
    </w:p>
    <w:p w:rsidR="00B74245" w:rsidRPr="00B6330E" w:rsidRDefault="00B74245" w:rsidP="00B74245">
      <w:pPr>
        <w:ind w:left="1440" w:hanging="1440"/>
        <w:jc w:val="both"/>
      </w:pPr>
      <w:r w:rsidRPr="00535A5C">
        <w:rPr>
          <w:u w:val="single"/>
        </w:rPr>
        <w:t>ISSUE 1</w:t>
      </w:r>
      <w:r w:rsidRPr="00B6330E">
        <w:t>:</w:t>
      </w:r>
      <w:r>
        <w:tab/>
      </w:r>
      <w:r w:rsidRPr="00B6330E">
        <w:t>What was the 30-year U. S. Treasury Bond yield rate as of August 10, 2021, the date of the 2021 Settlement Agreement?</w:t>
      </w:r>
    </w:p>
    <w:p w:rsidR="00B74245" w:rsidRDefault="00B74245" w:rsidP="00B74245">
      <w:pPr>
        <w:jc w:val="both"/>
      </w:pPr>
    </w:p>
    <w:p w:rsidR="00B74245" w:rsidRPr="00535A5C" w:rsidRDefault="00B74245" w:rsidP="00B74245">
      <w:pPr>
        <w:jc w:val="both"/>
      </w:pPr>
      <w:r w:rsidRPr="00535A5C">
        <w:rPr>
          <w:b/>
        </w:rPr>
        <w:t>Stipulation:</w:t>
      </w:r>
      <w:r w:rsidRPr="00535A5C">
        <w:rPr>
          <w:b/>
        </w:rPr>
        <w:tab/>
      </w:r>
      <w:r>
        <w:t>The 30-year U.S. Treasury Bond yield rate on August 10, 2021 was 1.99 percent.</w:t>
      </w:r>
    </w:p>
    <w:p w:rsidR="00B74245" w:rsidRDefault="00B74245" w:rsidP="00B74245">
      <w:pPr>
        <w:jc w:val="both"/>
        <w:rPr>
          <w:u w:val="single"/>
        </w:rPr>
      </w:pPr>
    </w:p>
    <w:p w:rsidR="00B74245" w:rsidRPr="00B6330E" w:rsidRDefault="00B74245" w:rsidP="00B74245">
      <w:pPr>
        <w:ind w:left="1440" w:hanging="1440"/>
        <w:jc w:val="both"/>
      </w:pPr>
      <w:r w:rsidRPr="00535A5C">
        <w:rPr>
          <w:u w:val="single"/>
        </w:rPr>
        <w:t>ISSUE 2</w:t>
      </w:r>
      <w:r w:rsidRPr="00B6330E">
        <w:t>:</w:t>
      </w:r>
      <w:r>
        <w:tab/>
      </w:r>
      <w:r w:rsidRPr="00B6330E">
        <w:t>What is the average 30-year U. S. Treasury Bond yield rate for the six-month period February 22, 2022 through August 19, 2022?</w:t>
      </w:r>
    </w:p>
    <w:p w:rsidR="00B74245" w:rsidRDefault="00B74245" w:rsidP="00B74245">
      <w:pPr>
        <w:jc w:val="both"/>
      </w:pPr>
    </w:p>
    <w:p w:rsidR="00B74245" w:rsidRPr="00535A5C" w:rsidRDefault="00B74245" w:rsidP="00B74245">
      <w:pPr>
        <w:jc w:val="both"/>
      </w:pPr>
      <w:r w:rsidRPr="00535A5C">
        <w:rPr>
          <w:b/>
        </w:rPr>
        <w:t>Stipulation:</w:t>
      </w:r>
      <w:r>
        <w:rPr>
          <w:b/>
        </w:rPr>
        <w:tab/>
      </w:r>
      <w:r>
        <w:t xml:space="preserve">The average 30-year U.S. Treasury Bond yield rate for the period February 22, </w:t>
      </w:r>
      <w:r>
        <w:tab/>
      </w:r>
      <w:r>
        <w:tab/>
      </w:r>
      <w:r>
        <w:tab/>
        <w:t>2022 through August 19, 2022 is 2.91 percent.</w:t>
      </w:r>
    </w:p>
    <w:p w:rsidR="00B74245" w:rsidRPr="00B6330E" w:rsidRDefault="00B74245" w:rsidP="00B74245">
      <w:pPr>
        <w:jc w:val="both"/>
      </w:pPr>
    </w:p>
    <w:p w:rsidR="00B74245" w:rsidRPr="00B6330E" w:rsidRDefault="00B74245" w:rsidP="00B74245">
      <w:pPr>
        <w:ind w:left="1440" w:hanging="1440"/>
        <w:jc w:val="both"/>
      </w:pPr>
      <w:r w:rsidRPr="00535A5C">
        <w:rPr>
          <w:u w:val="single"/>
        </w:rPr>
        <w:t>ISSUE 3</w:t>
      </w:r>
      <w:r w:rsidRPr="00B6330E">
        <w:t>:</w:t>
      </w:r>
      <w:r>
        <w:tab/>
      </w:r>
      <w:r w:rsidRPr="00B6330E">
        <w:t>Have the conditions stated in Section 3(b) of FPL’s Commission-approved 2021 Settlement Agreement been met to implement the agreed upon revision of FPL’s authorized ROE?</w:t>
      </w:r>
    </w:p>
    <w:p w:rsidR="00B74245" w:rsidRDefault="00B74245" w:rsidP="00B74245">
      <w:pPr>
        <w:jc w:val="both"/>
      </w:pPr>
    </w:p>
    <w:p w:rsidR="00B74245" w:rsidRDefault="00B74245" w:rsidP="00B74245">
      <w:pPr>
        <w:ind w:left="1440" w:hanging="1440"/>
        <w:jc w:val="both"/>
      </w:pPr>
      <w:r w:rsidRPr="00535A5C">
        <w:rPr>
          <w:b/>
        </w:rPr>
        <w:t>Stipulation:</w:t>
      </w:r>
      <w:r>
        <w:rPr>
          <w:b/>
        </w:rPr>
        <w:tab/>
      </w:r>
      <w:r>
        <w:t>The effectiveness of the trigger provisions in Section 3 of the 2021 Settlement Agreement is contingent upon the continuing validity and effectiveness of Order No. PSC-2021-0446-S-EI, as amended by Order No. PSC-2021-0446A-S-EI, which is presently on appeal at the Florida Supreme Court.  Subject to this condition, the parties stipulate as follows:</w:t>
      </w:r>
    </w:p>
    <w:p w:rsidR="00B74245" w:rsidRDefault="00B74245" w:rsidP="00B74245">
      <w:pPr>
        <w:ind w:left="1440" w:hanging="1440"/>
        <w:jc w:val="both"/>
      </w:pPr>
    </w:p>
    <w:p w:rsidR="00B74245" w:rsidRPr="00535A5C" w:rsidRDefault="00B74245" w:rsidP="00B74245">
      <w:pPr>
        <w:ind w:left="1440" w:hanging="1440"/>
        <w:jc w:val="both"/>
      </w:pPr>
      <w:r>
        <w:tab/>
      </w:r>
      <w:r w:rsidRPr="00994C4A">
        <w:t xml:space="preserve">Yes. </w:t>
      </w:r>
      <w:r>
        <w:t xml:space="preserve"> </w:t>
      </w:r>
      <w:r w:rsidRPr="00360C66">
        <w:t>For a period of six consecutive months following the date of filing of the Settlement Agreement, the average U.S. Treasury Bond yield rate has been at least 50 basis points greater than the yield rate on the date the Agreement was filed. In addition,</w:t>
      </w:r>
      <w:r w:rsidRPr="00360C66">
        <w:rPr>
          <w:color w:val="0000FF"/>
        </w:rPr>
        <w:t xml:space="preserve"> </w:t>
      </w:r>
      <w:r>
        <w:t>FPL has made the elective filing necessary to implement the agreed upon revision to FPL’s authorized ROE.</w:t>
      </w:r>
    </w:p>
    <w:p w:rsidR="00B74245" w:rsidRPr="00B6330E" w:rsidRDefault="00B74245" w:rsidP="00B74245">
      <w:pPr>
        <w:jc w:val="both"/>
      </w:pPr>
    </w:p>
    <w:p w:rsidR="00B74245" w:rsidRDefault="00B74245" w:rsidP="00B74245">
      <w:pPr>
        <w:ind w:left="1440" w:hanging="1440"/>
        <w:jc w:val="both"/>
      </w:pPr>
      <w:r w:rsidRPr="00535A5C">
        <w:rPr>
          <w:u w:val="single"/>
        </w:rPr>
        <w:t>ISSUE 4:</w:t>
      </w:r>
      <w:r w:rsidRPr="00535A5C">
        <w:tab/>
      </w:r>
      <w:r w:rsidRPr="00B6330E">
        <w:t>If the conditions allowing the agreed upon revision to FPL’s authorized ROE pursuant to the Commission-approved 2021 Settlement Agreement have been met, what is the revised authorized ROE range, ROE midpoint, and effective date pursuant to Section 3(b) of the 2021 Settlement Agreement?</w:t>
      </w:r>
    </w:p>
    <w:p w:rsidR="00B74245" w:rsidRPr="00B6330E" w:rsidRDefault="00B74245" w:rsidP="00B74245">
      <w:pPr>
        <w:ind w:left="1440" w:hanging="1440"/>
        <w:jc w:val="both"/>
      </w:pPr>
    </w:p>
    <w:p w:rsidR="00B74245" w:rsidRDefault="00B74245" w:rsidP="00B74245">
      <w:pPr>
        <w:ind w:left="1440" w:hanging="1440"/>
        <w:jc w:val="both"/>
      </w:pPr>
      <w:r w:rsidRPr="00535A5C">
        <w:rPr>
          <w:b/>
        </w:rPr>
        <w:t>Stipulation:</w:t>
      </w:r>
      <w:r>
        <w:rPr>
          <w:b/>
        </w:rPr>
        <w:tab/>
      </w:r>
      <w:r>
        <w:t xml:space="preserve">The effectiveness of the trigger provisions in Section 3 of the 2021 Settlement Agreement is contingent upon the continuing validity and effectiveness of Order No. PSC-2021-0446-S-EI, as amended by Order No. PSC-2021-0446A-S-EI, </w:t>
      </w:r>
      <w:r>
        <w:lastRenderedPageBreak/>
        <w:t>which is presently on appeal at the Florida Supreme Court.  Subject to this condition, the parties stipulate as follows:</w:t>
      </w:r>
    </w:p>
    <w:p w:rsidR="00B74245" w:rsidRDefault="00B74245" w:rsidP="00B74245">
      <w:pPr>
        <w:ind w:left="1440" w:hanging="1440"/>
        <w:jc w:val="both"/>
      </w:pPr>
    </w:p>
    <w:p w:rsidR="00B74245" w:rsidRPr="00535A5C" w:rsidRDefault="00B74245" w:rsidP="00B74245">
      <w:pPr>
        <w:ind w:left="1440" w:hanging="1440"/>
        <w:jc w:val="both"/>
      </w:pPr>
      <w:r>
        <w:tab/>
        <w:t>Per Section 3(b) of the 2021 Settlement Agreement, FPL’s revised authorized ROE is increased by 20 basis points to be within a range of 9.8 to 11.8 percent with a midpoint of 10.8 percent effective September 1, 2022.</w:t>
      </w:r>
    </w:p>
    <w:p w:rsidR="00B74245" w:rsidRPr="00B6330E" w:rsidRDefault="00B74245" w:rsidP="00B74245">
      <w:pPr>
        <w:jc w:val="both"/>
      </w:pPr>
    </w:p>
    <w:p w:rsidR="00B74245" w:rsidRDefault="00B74245" w:rsidP="00B74245">
      <w:pPr>
        <w:ind w:left="1440" w:hanging="1440"/>
        <w:jc w:val="both"/>
      </w:pPr>
      <w:r w:rsidRPr="00535A5C">
        <w:rPr>
          <w:u w:val="single"/>
        </w:rPr>
        <w:t>ISSUE 5</w:t>
      </w:r>
      <w:r w:rsidRPr="00B6330E">
        <w:t>:</w:t>
      </w:r>
      <w:r>
        <w:tab/>
      </w:r>
      <w:r w:rsidRPr="00B6330E">
        <w:t>If the trigger provisions of the 2021 Settlement Agreement are met, to what regulatory mechanisms will the revised authorized ROE range and midpoint be applied?</w:t>
      </w:r>
    </w:p>
    <w:p w:rsidR="00B74245" w:rsidRDefault="00B74245" w:rsidP="00B74245">
      <w:pPr>
        <w:jc w:val="both"/>
      </w:pPr>
    </w:p>
    <w:p w:rsidR="00B74245" w:rsidRDefault="00B74245" w:rsidP="00B74245">
      <w:pPr>
        <w:ind w:left="1440" w:hanging="1440"/>
        <w:jc w:val="both"/>
      </w:pPr>
      <w:r w:rsidRPr="00535A5C">
        <w:rPr>
          <w:b/>
        </w:rPr>
        <w:t>Stipulation:</w:t>
      </w:r>
      <w:r>
        <w:rPr>
          <w:b/>
        </w:rPr>
        <w:tab/>
      </w:r>
      <w:r>
        <w:t>The effectiveness of the trigger provisions in Section 3 of the 2021 Settlement Agreement is contingent upon the continuing validity and effectiveness of Order No. PSC-2021-0446-S-EI, as amended by Order No. PSC-2021-0446A-S-EI, which is presently on appeal at the Florida Supreme Court.  Subject to this condition, the parties stipulate as follows:</w:t>
      </w:r>
    </w:p>
    <w:p w:rsidR="00B74245" w:rsidRDefault="00B74245" w:rsidP="00B74245">
      <w:pPr>
        <w:ind w:left="1440" w:hanging="1440"/>
        <w:jc w:val="both"/>
      </w:pPr>
    </w:p>
    <w:p w:rsidR="00B74245" w:rsidRPr="000C3694" w:rsidRDefault="00B74245" w:rsidP="00B74245">
      <w:pPr>
        <w:ind w:left="1440" w:hanging="1440"/>
        <w:jc w:val="both"/>
      </w:pPr>
      <w:r>
        <w:tab/>
        <w:t xml:space="preserve">Section 3(c) of the 2021 Settlement Agreement states that the revised authorized ROE midpoint and range will be used prospectively for all regulatory purposes.  However, at FPL’s request, the revised authorized ROE will not be applied to the clause cost recovery factors to be implemented in January 2023, but will be reflected in clause recovery true-ups that will be filed in 2023 and recovered in 2024.   Further, FPL has requested that its rate for Allowance for Funds Used During Construction (AFUDC) not be increased for the last four months of 2022.  Consistent with Rule 25-6.0141, Florida Administrative Code, FPL will request approval to revise its AFUDC rate to be effective in 2023.     </w:t>
      </w:r>
    </w:p>
    <w:p w:rsidR="00B74245" w:rsidRPr="00B86581" w:rsidRDefault="00B74245" w:rsidP="00B74245">
      <w:pPr>
        <w:ind w:left="1440" w:hanging="1440"/>
        <w:jc w:val="both"/>
      </w:pPr>
    </w:p>
    <w:p w:rsidR="00B74245" w:rsidRDefault="00B74245" w:rsidP="00B74245">
      <w:pPr>
        <w:pStyle w:val="CenterUnderline"/>
        <w:ind w:left="1440" w:hanging="1440"/>
        <w:jc w:val="both"/>
        <w:rPr>
          <w:u w:val="none"/>
        </w:rPr>
      </w:pPr>
      <w:r>
        <w:t>ISSUE 6</w:t>
      </w:r>
      <w:r w:rsidRPr="00535A5C">
        <w:rPr>
          <w:u w:val="none"/>
        </w:rPr>
        <w:t>:</w:t>
      </w:r>
      <w:r>
        <w:rPr>
          <w:u w:val="none"/>
        </w:rPr>
        <w:tab/>
      </w:r>
      <w:r w:rsidRPr="00535A5C">
        <w:rPr>
          <w:u w:val="none"/>
        </w:rPr>
        <w:t>Should this docket be closed?</w:t>
      </w:r>
    </w:p>
    <w:p w:rsidR="00B74245" w:rsidRDefault="00B74245" w:rsidP="00B74245">
      <w:pPr>
        <w:pStyle w:val="CenterUnderline"/>
        <w:ind w:left="1440" w:hanging="1440"/>
        <w:jc w:val="both"/>
        <w:rPr>
          <w:u w:val="none"/>
        </w:rPr>
      </w:pPr>
    </w:p>
    <w:p w:rsidR="00B74245" w:rsidRDefault="00B74245" w:rsidP="00B74245">
      <w:pPr>
        <w:pStyle w:val="CenterUnderline"/>
        <w:ind w:left="1440" w:hanging="1440"/>
        <w:jc w:val="both"/>
        <w:rPr>
          <w:u w:val="none"/>
        </w:rPr>
      </w:pPr>
      <w:r w:rsidRPr="00535A5C">
        <w:rPr>
          <w:b/>
          <w:u w:val="none"/>
        </w:rPr>
        <w:t>Stipulation:</w:t>
      </w:r>
      <w:r>
        <w:rPr>
          <w:b/>
          <w:u w:val="none"/>
        </w:rPr>
        <w:tab/>
      </w:r>
      <w:r>
        <w:rPr>
          <w:u w:val="none"/>
        </w:rPr>
        <w:t>No, this docket is currently on appeal at the Florida Supreme Court and shall remain open pending resolution of the appeal.</w:t>
      </w:r>
    </w:p>
    <w:p w:rsidR="00B74245" w:rsidRDefault="00B74245" w:rsidP="00B74245">
      <w:pPr>
        <w:pStyle w:val="CenterUnderline"/>
        <w:ind w:left="1440" w:hanging="1440"/>
        <w:jc w:val="both"/>
        <w:rPr>
          <w:u w:val="none"/>
        </w:rPr>
      </w:pPr>
    </w:p>
    <w:p w:rsidR="00B74245" w:rsidRDefault="00B74245" w:rsidP="00B74245">
      <w:pPr>
        <w:pStyle w:val="CenterUnderline"/>
        <w:ind w:left="1440" w:hanging="1440"/>
        <w:jc w:val="both"/>
        <w:rPr>
          <w:u w:val="none"/>
        </w:rPr>
      </w:pPr>
    </w:p>
    <w:p w:rsidR="00B74245" w:rsidRDefault="00B74245" w:rsidP="00B74245">
      <w:pPr>
        <w:pStyle w:val="CenterUnderline"/>
        <w:ind w:left="1440" w:hanging="1440"/>
        <w:jc w:val="both"/>
        <w:rPr>
          <w:u w:val="none"/>
        </w:rPr>
      </w:pPr>
    </w:p>
    <w:p w:rsidR="00B74245" w:rsidRDefault="00B74245" w:rsidP="00B74245">
      <w:pPr>
        <w:pStyle w:val="CenterUnderline"/>
        <w:ind w:left="1440" w:hanging="1440"/>
        <w:jc w:val="both"/>
        <w:rPr>
          <w:u w:val="none"/>
        </w:rPr>
      </w:pPr>
    </w:p>
    <w:p w:rsidR="00B74245" w:rsidRDefault="00B74245" w:rsidP="00B74245">
      <w:pPr>
        <w:pStyle w:val="CenterUnderline"/>
        <w:ind w:left="1440" w:hanging="1440"/>
        <w:jc w:val="both"/>
        <w:rPr>
          <w:u w:val="none"/>
        </w:rPr>
      </w:pPr>
    </w:p>
    <w:p w:rsidR="00B74245" w:rsidRDefault="00B74245" w:rsidP="00B74245">
      <w:pPr>
        <w:pStyle w:val="CenterUnderline"/>
        <w:ind w:left="1440" w:hanging="1440"/>
        <w:jc w:val="both"/>
        <w:rPr>
          <w:u w:val="none"/>
        </w:rPr>
      </w:pPr>
    </w:p>
    <w:p w:rsidR="00B74245" w:rsidRDefault="00B74245" w:rsidP="00B74245">
      <w:pPr>
        <w:pStyle w:val="CenterUnderline"/>
        <w:ind w:left="1440" w:hanging="1440"/>
        <w:jc w:val="both"/>
        <w:rPr>
          <w:u w:val="none"/>
        </w:rPr>
      </w:pPr>
    </w:p>
    <w:p w:rsidR="00B74245" w:rsidRDefault="00B74245" w:rsidP="00B74245">
      <w:pPr>
        <w:pStyle w:val="CenterUnderline"/>
        <w:ind w:left="1440" w:hanging="1440"/>
        <w:jc w:val="both"/>
        <w:rPr>
          <w:u w:val="none"/>
        </w:rPr>
      </w:pPr>
    </w:p>
    <w:p w:rsidR="00B74245" w:rsidRDefault="00B74245" w:rsidP="00B74245">
      <w:pPr>
        <w:pStyle w:val="CenterUnderline"/>
        <w:ind w:left="1440" w:hanging="1440"/>
        <w:jc w:val="both"/>
        <w:rPr>
          <w:u w:val="none"/>
        </w:rPr>
      </w:pPr>
    </w:p>
    <w:p w:rsidR="00B74245" w:rsidRDefault="00B74245" w:rsidP="00B74245">
      <w:pPr>
        <w:pStyle w:val="CenterUnderline"/>
        <w:ind w:left="1440" w:hanging="1440"/>
        <w:jc w:val="both"/>
        <w:rPr>
          <w:u w:val="none"/>
        </w:rPr>
      </w:pPr>
    </w:p>
    <w:p w:rsidR="00B74245" w:rsidRDefault="00B74245" w:rsidP="00B74245">
      <w:pPr>
        <w:pStyle w:val="CenterUnderline"/>
        <w:ind w:left="1440" w:hanging="1440"/>
        <w:jc w:val="both"/>
        <w:rPr>
          <w:u w:val="none"/>
        </w:rPr>
      </w:pPr>
    </w:p>
    <w:p w:rsidR="00B74245" w:rsidRDefault="00B74245" w:rsidP="00B74245">
      <w:pPr>
        <w:pStyle w:val="CenterUnderline"/>
        <w:ind w:left="1440" w:hanging="1440"/>
        <w:jc w:val="both"/>
        <w:rPr>
          <w:u w:val="none"/>
        </w:rPr>
      </w:pPr>
    </w:p>
    <w:p w:rsidR="00B74245" w:rsidRPr="00534548" w:rsidRDefault="00B74245" w:rsidP="00B74245">
      <w:pPr>
        <w:pStyle w:val="CenterUnderline"/>
        <w:ind w:left="1440" w:hanging="1440"/>
        <w:jc w:val="both"/>
        <w:rPr>
          <w:sz w:val="16"/>
          <w:szCs w:val="16"/>
          <w:u w:val="none"/>
        </w:rPr>
      </w:pPr>
      <w:r>
        <w:rPr>
          <w:sz w:val="16"/>
          <w:szCs w:val="16"/>
          <w:u w:val="none"/>
        </w:rPr>
        <w:t>C:20210015.stipulation-4.sbr</w:t>
      </w:r>
    </w:p>
    <w:p w:rsidR="00B74245" w:rsidRDefault="00B74245" w:rsidP="00B74245">
      <w:pPr>
        <w:pStyle w:val="OrderBody"/>
      </w:pPr>
    </w:p>
    <w:sectPr w:rsidR="00B74245">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EF4" w:rsidRDefault="00F10EF4">
      <w:r>
        <w:separator/>
      </w:r>
    </w:p>
  </w:endnote>
  <w:endnote w:type="continuationSeparator" w:id="0">
    <w:p w:rsidR="00F10EF4" w:rsidRDefault="00F10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EF4" w:rsidRDefault="00F10EF4">
      <w:r>
        <w:separator/>
      </w:r>
    </w:p>
  </w:footnote>
  <w:footnote w:type="continuationSeparator" w:id="0">
    <w:p w:rsidR="00F10EF4" w:rsidRDefault="00F10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58 ">
      <w:r w:rsidR="00B22C32">
        <w:t>PSC-2022-0358A-FOF-EI</w:t>
      </w:r>
    </w:fldSimple>
  </w:p>
  <w:p w:rsidR="00FA6EFD" w:rsidRDefault="00F10EF4">
    <w:pPr>
      <w:pStyle w:val="OrderHeader"/>
    </w:pPr>
    <w:bookmarkStart w:id="8" w:name="HeaderDocketNo"/>
    <w:bookmarkEnd w:id="8"/>
    <w:r>
      <w:t>DOCKET NO. 20210015-EI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92DF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F10EF4"/>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C56D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3A79"/>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6F6790"/>
    <w:rsid w:val="00703F2A"/>
    <w:rsid w:val="00704C5D"/>
    <w:rsid w:val="007072BC"/>
    <w:rsid w:val="00715275"/>
    <w:rsid w:val="00721B44"/>
    <w:rsid w:val="007232A2"/>
    <w:rsid w:val="007249D0"/>
    <w:rsid w:val="00726366"/>
    <w:rsid w:val="00731AB6"/>
    <w:rsid w:val="00733B6B"/>
    <w:rsid w:val="00740808"/>
    <w:rsid w:val="007467C4"/>
    <w:rsid w:val="0076170F"/>
    <w:rsid w:val="0076669C"/>
    <w:rsid w:val="00766E46"/>
    <w:rsid w:val="00772CCB"/>
    <w:rsid w:val="00777727"/>
    <w:rsid w:val="0078166A"/>
    <w:rsid w:val="00782B79"/>
    <w:rsid w:val="00783811"/>
    <w:rsid w:val="00784C8A"/>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2DFB"/>
    <w:rsid w:val="00994100"/>
    <w:rsid w:val="00995E49"/>
    <w:rsid w:val="009A04B7"/>
    <w:rsid w:val="009A6B17"/>
    <w:rsid w:val="009B052E"/>
    <w:rsid w:val="009D4C29"/>
    <w:rsid w:val="009E358E"/>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22C32"/>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4245"/>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10EF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D7862"/>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26F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22C32"/>
    <w:rPr>
      <w:rFonts w:ascii="Segoe UI" w:hAnsi="Segoe UI" w:cs="Segoe UI"/>
      <w:sz w:val="18"/>
      <w:szCs w:val="18"/>
    </w:rPr>
  </w:style>
  <w:style w:type="character" w:customStyle="1" w:styleId="BalloonTextChar">
    <w:name w:val="Balloon Text Char"/>
    <w:basedOn w:val="DefaultParagraphFont"/>
    <w:link w:val="BalloonText"/>
    <w:semiHidden/>
    <w:rsid w:val="00B22C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2022-10-24T15:36:00Z</dcterms:created>
  <dcterms:modified xsi:type="dcterms:W3CDTF">2022-10-24T18:26:00Z</dcterms:modified>
</cp:coreProperties>
</file>