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E83C7" w14:textId="77777777" w:rsidR="00CB5276" w:rsidRPr="00B33384" w:rsidRDefault="00FE2788" w:rsidP="00FE2788">
      <w:pPr>
        <w:pStyle w:val="OrderHeading"/>
      </w:pPr>
      <w:r w:rsidRPr="00B33384">
        <w:t>BEFORE THE FLORIDA PUBLIC SERVICE COMMISSION</w:t>
      </w:r>
    </w:p>
    <w:p w14:paraId="5B721B45" w14:textId="77777777" w:rsidR="00FE2788" w:rsidRPr="00B33384" w:rsidRDefault="00FE2788" w:rsidP="00FE2788">
      <w:pPr>
        <w:pStyle w:val="OrderBody"/>
      </w:pPr>
    </w:p>
    <w:p w14:paraId="438D05D3" w14:textId="77777777" w:rsidR="00FE2788" w:rsidRPr="00B33384" w:rsidRDefault="00FE2788" w:rsidP="00FE27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E2788" w:rsidRPr="00B33384" w14:paraId="2214C444" w14:textId="77777777" w:rsidTr="00620B64">
        <w:trPr>
          <w:trHeight w:val="828"/>
        </w:trPr>
        <w:tc>
          <w:tcPr>
            <w:tcW w:w="4788" w:type="dxa"/>
            <w:tcBorders>
              <w:bottom w:val="single" w:sz="8" w:space="0" w:color="auto"/>
              <w:right w:val="double" w:sz="6" w:space="0" w:color="auto"/>
            </w:tcBorders>
            <w:shd w:val="clear" w:color="auto" w:fill="auto"/>
          </w:tcPr>
          <w:p w14:paraId="14254EBD" w14:textId="77777777" w:rsidR="00FE2788" w:rsidRPr="00B33384" w:rsidRDefault="00FE2788" w:rsidP="00620B64">
            <w:pPr>
              <w:pStyle w:val="OrderBody"/>
              <w:tabs>
                <w:tab w:val="center" w:pos="4320"/>
                <w:tab w:val="right" w:pos="8640"/>
              </w:tabs>
              <w:jc w:val="left"/>
            </w:pPr>
            <w:r w:rsidRPr="00B33384">
              <w:t xml:space="preserve">In re: </w:t>
            </w:r>
            <w:bookmarkStart w:id="0" w:name="SSInRe"/>
            <w:bookmarkEnd w:id="0"/>
            <w:r w:rsidRPr="00B33384">
              <w:t>Review of Storm Protection Plan, pursuant to Rule 25-6.030, F.A.C., Duke Energy Florida, LLC.</w:t>
            </w:r>
          </w:p>
        </w:tc>
        <w:tc>
          <w:tcPr>
            <w:tcW w:w="4788" w:type="dxa"/>
            <w:tcBorders>
              <w:left w:val="double" w:sz="6" w:space="0" w:color="auto"/>
            </w:tcBorders>
            <w:shd w:val="clear" w:color="auto" w:fill="auto"/>
          </w:tcPr>
          <w:p w14:paraId="764A6F64" w14:textId="77777777" w:rsidR="00FE2788" w:rsidRPr="00B33384" w:rsidRDefault="00FE2788" w:rsidP="00FE2788">
            <w:pPr>
              <w:pStyle w:val="OrderBody"/>
            </w:pPr>
            <w:r w:rsidRPr="00B33384">
              <w:t xml:space="preserve">DOCKET NO. </w:t>
            </w:r>
            <w:bookmarkStart w:id="1" w:name="SSDocketNo"/>
            <w:bookmarkEnd w:id="1"/>
            <w:r w:rsidRPr="00B33384">
              <w:t>20220050-EI</w:t>
            </w:r>
          </w:p>
          <w:p w14:paraId="20A03B27" w14:textId="6ACD3559" w:rsidR="00FE2788" w:rsidRPr="00B33384" w:rsidRDefault="00FE2788" w:rsidP="00620B64">
            <w:pPr>
              <w:pStyle w:val="OrderBody"/>
              <w:tabs>
                <w:tab w:val="center" w:pos="4320"/>
                <w:tab w:val="right" w:pos="8640"/>
              </w:tabs>
              <w:jc w:val="left"/>
            </w:pPr>
            <w:r w:rsidRPr="00B33384">
              <w:t xml:space="preserve">ORDER NO. </w:t>
            </w:r>
            <w:bookmarkStart w:id="2" w:name="OrderNo0391"/>
            <w:r w:rsidR="004C0183">
              <w:t>PSC-2022-0388</w:t>
            </w:r>
            <w:r w:rsidR="005A76F0">
              <w:t>A</w:t>
            </w:r>
            <w:r w:rsidR="003A377C">
              <w:t>-FOF-EI</w:t>
            </w:r>
            <w:bookmarkEnd w:id="2"/>
          </w:p>
          <w:p w14:paraId="3E0A0955" w14:textId="7113F074" w:rsidR="00FE2788" w:rsidRPr="00B33384" w:rsidRDefault="00FE2788" w:rsidP="00620B64">
            <w:pPr>
              <w:pStyle w:val="OrderBody"/>
              <w:tabs>
                <w:tab w:val="center" w:pos="4320"/>
                <w:tab w:val="right" w:pos="8640"/>
              </w:tabs>
              <w:jc w:val="left"/>
            </w:pPr>
            <w:r w:rsidRPr="00B33384">
              <w:t xml:space="preserve">ISSUED: </w:t>
            </w:r>
            <w:r w:rsidR="003A377C">
              <w:t>November 14, 2022</w:t>
            </w:r>
          </w:p>
        </w:tc>
      </w:tr>
    </w:tbl>
    <w:p w14:paraId="11BA3BFF" w14:textId="77777777" w:rsidR="00FE2788" w:rsidRPr="00B33384" w:rsidRDefault="00FE2788" w:rsidP="00FE2788"/>
    <w:p w14:paraId="309C7091" w14:textId="77777777" w:rsidR="00FE2788" w:rsidRPr="00B33384" w:rsidRDefault="00FE2788" w:rsidP="00FE2788"/>
    <w:p w14:paraId="7C9736BA" w14:textId="77777777" w:rsidR="00FE2788" w:rsidRPr="00B33384" w:rsidRDefault="00FE2788" w:rsidP="00B67A43">
      <w:pPr>
        <w:ind w:firstLine="720"/>
        <w:jc w:val="both"/>
      </w:pPr>
      <w:bookmarkStart w:id="3" w:name="Commissioners"/>
      <w:bookmarkEnd w:id="3"/>
      <w:r w:rsidRPr="00B33384">
        <w:t>The following Commissioners participated in the disposition of this matter:</w:t>
      </w:r>
    </w:p>
    <w:p w14:paraId="501B656C" w14:textId="77777777" w:rsidR="00FE2788" w:rsidRPr="00B33384" w:rsidRDefault="00FE2788" w:rsidP="00B67A43"/>
    <w:p w14:paraId="460EB0C8" w14:textId="1654C916" w:rsidR="00FE2788" w:rsidRPr="00B33384" w:rsidRDefault="00FE2788" w:rsidP="00B67A43">
      <w:pPr>
        <w:jc w:val="center"/>
      </w:pPr>
      <w:r w:rsidRPr="00B33384">
        <w:t>ART GRAHAM</w:t>
      </w:r>
    </w:p>
    <w:p w14:paraId="3CA0CC9C" w14:textId="77777777" w:rsidR="00FE2788" w:rsidRPr="00B33384" w:rsidRDefault="00FE2788" w:rsidP="00B67A43">
      <w:pPr>
        <w:jc w:val="center"/>
      </w:pPr>
      <w:r w:rsidRPr="00B33384">
        <w:t>GARY F. CLARK</w:t>
      </w:r>
    </w:p>
    <w:p w14:paraId="7FD66259" w14:textId="77777777" w:rsidR="00FE2788" w:rsidRPr="00B33384" w:rsidRDefault="00FE2788" w:rsidP="00B67A43">
      <w:pPr>
        <w:jc w:val="center"/>
      </w:pPr>
      <w:r w:rsidRPr="00B33384">
        <w:t>MIKE LA ROSA</w:t>
      </w:r>
    </w:p>
    <w:p w14:paraId="5E87DCD4" w14:textId="77777777" w:rsidR="00FE2788" w:rsidRPr="00B33384" w:rsidRDefault="00FE2788" w:rsidP="00B67A43">
      <w:pPr>
        <w:jc w:val="center"/>
      </w:pPr>
      <w:r w:rsidRPr="00B33384">
        <w:rPr>
          <w:lang w:val="en"/>
        </w:rPr>
        <w:t>GABRIELLA PASSIDOMO</w:t>
      </w:r>
    </w:p>
    <w:p w14:paraId="1D2F8B75" w14:textId="77777777" w:rsidR="00CB5276" w:rsidRPr="00B33384" w:rsidRDefault="00CB5276">
      <w:pPr>
        <w:pStyle w:val="OrderBody"/>
      </w:pPr>
    </w:p>
    <w:p w14:paraId="4405C432" w14:textId="5C709D7F" w:rsidR="00182A37" w:rsidRPr="00B33384" w:rsidRDefault="00AD4076" w:rsidP="00FE2788">
      <w:pPr>
        <w:pStyle w:val="CenterUnderline"/>
      </w:pPr>
      <w:r>
        <w:t xml:space="preserve">AMENDED </w:t>
      </w:r>
      <w:r w:rsidR="00801554" w:rsidRPr="00B33384">
        <w:t xml:space="preserve">FINAL </w:t>
      </w:r>
      <w:r w:rsidR="00FE2788" w:rsidRPr="00B33384">
        <w:t>ORDER</w:t>
      </w:r>
      <w:bookmarkStart w:id="4" w:name="OrderTitle"/>
      <w:r w:rsidR="00FE2788" w:rsidRPr="00B33384">
        <w:t xml:space="preserve"> </w:t>
      </w:r>
      <w:r w:rsidR="00182A37" w:rsidRPr="00B33384">
        <w:t xml:space="preserve">APPROVING, WITH MODIFICATIONS, DUKE ENERGY FLORIDA’S </w:t>
      </w:r>
    </w:p>
    <w:p w14:paraId="2C4490F3" w14:textId="77777777" w:rsidR="00FE2788" w:rsidRPr="00B33384" w:rsidRDefault="00182A37" w:rsidP="00FE2788">
      <w:pPr>
        <w:pStyle w:val="CenterUnderline"/>
      </w:pPr>
      <w:r w:rsidRPr="00B33384">
        <w:t>STORM PROTECTION PLAN</w:t>
      </w:r>
      <w:r w:rsidR="00FE2788" w:rsidRPr="00B33384">
        <w:t xml:space="preserve"> </w:t>
      </w:r>
      <w:bookmarkEnd w:id="4"/>
    </w:p>
    <w:p w14:paraId="5D798B80" w14:textId="77777777" w:rsidR="00FE2788" w:rsidRPr="00B33384" w:rsidRDefault="00FE2788" w:rsidP="00FE2788">
      <w:pPr>
        <w:pStyle w:val="CenterUnderline"/>
      </w:pPr>
    </w:p>
    <w:p w14:paraId="4BEFB348" w14:textId="77777777" w:rsidR="00EC18C1" w:rsidRPr="002F0E60" w:rsidRDefault="00EC18C1" w:rsidP="00EC18C1">
      <w:pPr>
        <w:jc w:val="both"/>
      </w:pPr>
      <w:r w:rsidRPr="002F0E60">
        <w:t>APPEARANCES:</w:t>
      </w:r>
    </w:p>
    <w:p w14:paraId="45BDB962" w14:textId="77777777" w:rsidR="00EC18C1" w:rsidRPr="002F0E60" w:rsidRDefault="00EC18C1" w:rsidP="00EC18C1">
      <w:pPr>
        <w:jc w:val="both"/>
      </w:pPr>
    </w:p>
    <w:p w14:paraId="3C8596A3" w14:textId="77777777" w:rsidR="00EC18C1" w:rsidRPr="002F0E60" w:rsidRDefault="00EC18C1" w:rsidP="00EC18C1">
      <w:pPr>
        <w:ind w:left="1440"/>
        <w:jc w:val="both"/>
      </w:pPr>
      <w:r w:rsidRPr="002F0E60">
        <w:t xml:space="preserve">MATTHEW R. BERNIER </w:t>
      </w:r>
      <w:r>
        <w:t xml:space="preserve">and STEPHANIE A. CUELLO, </w:t>
      </w:r>
      <w:r w:rsidRPr="002F0E60">
        <w:t>ESQUIRE</w:t>
      </w:r>
      <w:r>
        <w:t>S</w:t>
      </w:r>
      <w:r w:rsidRPr="002F0E60">
        <w:t>, 106 E. College Avenue, Suite 800, Tallahassee, Florida 32301</w:t>
      </w:r>
    </w:p>
    <w:p w14:paraId="6BF0AFEC" w14:textId="77777777" w:rsidR="00EC18C1" w:rsidRPr="002F0E60" w:rsidRDefault="00EC18C1" w:rsidP="00EC18C1">
      <w:pPr>
        <w:ind w:left="720" w:firstLine="720"/>
        <w:jc w:val="both"/>
      </w:pPr>
      <w:r w:rsidRPr="002F0E60">
        <w:rPr>
          <w:u w:val="single"/>
        </w:rPr>
        <w:t>On behalf of Duke Energy Florida, LLC (DEF)</w:t>
      </w:r>
      <w:r w:rsidRPr="00964DB6">
        <w:rPr>
          <w:u w:val="single"/>
        </w:rPr>
        <w:t>.</w:t>
      </w:r>
    </w:p>
    <w:p w14:paraId="0B99E03B" w14:textId="77777777" w:rsidR="00EC18C1" w:rsidRPr="002F0E60" w:rsidRDefault="00EC18C1" w:rsidP="00EC18C1">
      <w:pPr>
        <w:ind w:left="720" w:firstLine="720"/>
        <w:jc w:val="both"/>
      </w:pPr>
    </w:p>
    <w:p w14:paraId="58D6F76C" w14:textId="77777777" w:rsidR="00EC18C1" w:rsidRPr="002F0E60" w:rsidRDefault="00EC18C1" w:rsidP="00EC18C1">
      <w:pPr>
        <w:ind w:left="1440"/>
        <w:jc w:val="both"/>
      </w:pPr>
      <w:r>
        <w:t>RICHARD GENTRY, CHARLES J. REHWINKEL, STEPHANIE A. MORSE, PATTY CHRISTENSEN, and MARY WESSLING, ESQUIRES</w:t>
      </w:r>
      <w:r w:rsidRPr="002F0E60">
        <w:t xml:space="preserve">, </w:t>
      </w:r>
      <w:r>
        <w:t>111 West Madison Street, R</w:t>
      </w:r>
      <w:r w:rsidRPr="002F0E60">
        <w:t>oom 812, Tallahassee, Florida 32399-1400</w:t>
      </w:r>
    </w:p>
    <w:p w14:paraId="49DEDAED" w14:textId="77777777" w:rsidR="00EC18C1" w:rsidRPr="002F0E60" w:rsidRDefault="00EC18C1" w:rsidP="00EC18C1">
      <w:pPr>
        <w:ind w:left="720" w:firstLine="720"/>
        <w:jc w:val="both"/>
      </w:pPr>
      <w:r w:rsidRPr="002F0E60">
        <w:rPr>
          <w:u w:val="single"/>
        </w:rPr>
        <w:t>On behalf of Office of Public Counsel (OPC)</w:t>
      </w:r>
      <w:r w:rsidRPr="00964DB6">
        <w:rPr>
          <w:u w:val="single"/>
        </w:rPr>
        <w:t>.</w:t>
      </w:r>
    </w:p>
    <w:p w14:paraId="05819722" w14:textId="77777777" w:rsidR="00EC18C1" w:rsidRPr="002F0E60" w:rsidRDefault="00EC18C1" w:rsidP="00EC18C1">
      <w:pPr>
        <w:ind w:left="720" w:firstLine="720"/>
        <w:jc w:val="both"/>
      </w:pPr>
    </w:p>
    <w:p w14:paraId="578FAF71" w14:textId="77777777" w:rsidR="00EC18C1" w:rsidRPr="002F0E60" w:rsidRDefault="00EC18C1" w:rsidP="00EC18C1">
      <w:pPr>
        <w:ind w:left="1440"/>
        <w:jc w:val="both"/>
      </w:pPr>
      <w:r w:rsidRPr="002F0E60">
        <w:t>JON C. MOYLE, JR. and KAREN PUTNAL, ESQUIRES, 118 North Gadsden Street, Tallahassee, Florida 32312</w:t>
      </w:r>
    </w:p>
    <w:p w14:paraId="3E4A75D1" w14:textId="77777777" w:rsidR="00EC18C1" w:rsidRPr="002F0E60" w:rsidRDefault="00EC18C1" w:rsidP="00EC18C1">
      <w:pPr>
        <w:ind w:left="1440"/>
        <w:jc w:val="both"/>
      </w:pPr>
      <w:r w:rsidRPr="002F0E60">
        <w:rPr>
          <w:u w:val="single"/>
        </w:rPr>
        <w:t>On behalf of Florida Industrial Power Users Group (FIPUG)</w:t>
      </w:r>
      <w:r w:rsidRPr="00964DB6">
        <w:rPr>
          <w:u w:val="single"/>
        </w:rPr>
        <w:t>.</w:t>
      </w:r>
    </w:p>
    <w:p w14:paraId="49969EC1" w14:textId="77777777" w:rsidR="00EC18C1" w:rsidRPr="002F0E60" w:rsidRDefault="00EC18C1" w:rsidP="00EC18C1">
      <w:pPr>
        <w:ind w:left="1440"/>
        <w:jc w:val="both"/>
      </w:pPr>
    </w:p>
    <w:p w14:paraId="3255250F" w14:textId="77777777" w:rsidR="00EC18C1" w:rsidRPr="002F0E60" w:rsidRDefault="00EC18C1" w:rsidP="00EC18C1">
      <w:pPr>
        <w:ind w:left="1440"/>
        <w:jc w:val="both"/>
      </w:pPr>
      <w:r w:rsidRPr="002F0E60">
        <w:t>JAMES W. BREW and LAURA WYNN BAKER, ESQUIRES, Stone Mattheis Xenopoulos &amp; Brew, PC, 1025 Thomas Jefferson Street, NW, Eighth Floor, West Tower, Washington, District of Columbia 20007</w:t>
      </w:r>
    </w:p>
    <w:p w14:paraId="077B8D37" w14:textId="77777777" w:rsidR="00EC18C1" w:rsidRPr="002F0E60" w:rsidRDefault="00EC18C1" w:rsidP="00EC18C1">
      <w:pPr>
        <w:ind w:left="720" w:firstLine="720"/>
        <w:jc w:val="both"/>
      </w:pPr>
      <w:r w:rsidRPr="002F0E60">
        <w:rPr>
          <w:u w:val="single"/>
        </w:rPr>
        <w:t xml:space="preserve">On behalf of White Springs Agricultural Chemicals, Inc. d/b/a PCS Phosphate – </w:t>
      </w:r>
      <w:r w:rsidRPr="002F0E60">
        <w:tab/>
      </w:r>
      <w:r w:rsidRPr="002F0E60">
        <w:rPr>
          <w:u w:val="single"/>
        </w:rPr>
        <w:t>White Springs (PCS)</w:t>
      </w:r>
      <w:r w:rsidRPr="00964DB6">
        <w:rPr>
          <w:u w:val="single"/>
        </w:rPr>
        <w:t>.</w:t>
      </w:r>
    </w:p>
    <w:p w14:paraId="29E52583" w14:textId="77777777" w:rsidR="00EC18C1" w:rsidRDefault="00EC18C1" w:rsidP="00EC18C1">
      <w:pPr>
        <w:jc w:val="both"/>
      </w:pPr>
    </w:p>
    <w:p w14:paraId="56DCE4B6" w14:textId="77777777" w:rsidR="00EC18C1" w:rsidRDefault="00EC18C1" w:rsidP="00EC18C1">
      <w:pPr>
        <w:ind w:left="1440"/>
        <w:jc w:val="both"/>
      </w:pPr>
      <w:r>
        <w:t>PETER J. MATTHEIS, MICHAEL K. LAVANGA, and JOSEPH R. BRISCAR, ESQUIRES, 1025 Thomas Jefferson Street, NW, Suite 800 West, Washington, DC 20007</w:t>
      </w:r>
    </w:p>
    <w:p w14:paraId="733EF6F3" w14:textId="77777777" w:rsidR="00EC18C1" w:rsidRDefault="00EC18C1" w:rsidP="00EC18C1">
      <w:pPr>
        <w:ind w:left="1440"/>
        <w:jc w:val="both"/>
        <w:rPr>
          <w:u w:val="single"/>
        </w:rPr>
      </w:pPr>
      <w:r>
        <w:rPr>
          <w:u w:val="single"/>
        </w:rPr>
        <w:t>On behalf of Nucor Steel (NUCOR).</w:t>
      </w:r>
    </w:p>
    <w:p w14:paraId="5194CA81" w14:textId="57A4055C" w:rsidR="00EC18C1" w:rsidRDefault="00EC18C1" w:rsidP="00EC18C1">
      <w:pPr>
        <w:ind w:left="1440"/>
        <w:jc w:val="both"/>
        <w:rPr>
          <w:u w:val="single"/>
        </w:rPr>
      </w:pPr>
    </w:p>
    <w:p w14:paraId="4A6E6ECA" w14:textId="77777777" w:rsidR="00EC18C1" w:rsidRDefault="00EC18C1" w:rsidP="00EC18C1">
      <w:pPr>
        <w:ind w:left="1440"/>
        <w:jc w:val="both"/>
        <w:rPr>
          <w:u w:val="single"/>
        </w:rPr>
      </w:pPr>
    </w:p>
    <w:p w14:paraId="25E4CF7C" w14:textId="77777777" w:rsidR="00EC18C1" w:rsidRPr="002F0E60" w:rsidRDefault="00EC18C1" w:rsidP="00EC18C1">
      <w:pPr>
        <w:ind w:left="1440"/>
        <w:jc w:val="both"/>
      </w:pPr>
      <w:r w:rsidRPr="002F0E60">
        <w:lastRenderedPageBreak/>
        <w:t xml:space="preserve">STEPHANIE U. EATON, ESQUIRE, 110 Oakwood Drive, Suite 500, Winston-Salem, North Carolina 27103 and DERRICK PRICE WILLIAMSON and </w:t>
      </w:r>
      <w:r>
        <w:t>STEVEN W. LEE</w:t>
      </w:r>
      <w:r w:rsidRPr="002F0E60">
        <w:t>, ESQUIRES, 1100 Bent Creek Boulevard, Suite 101, Mechanicsburg, Pennsylvania 17050</w:t>
      </w:r>
    </w:p>
    <w:p w14:paraId="55F8A016" w14:textId="77777777" w:rsidR="00EC18C1" w:rsidRDefault="00EC18C1" w:rsidP="00EC18C1">
      <w:pPr>
        <w:ind w:left="720" w:firstLine="720"/>
        <w:jc w:val="both"/>
      </w:pPr>
      <w:r w:rsidRPr="002F0E60">
        <w:rPr>
          <w:u w:val="single"/>
        </w:rPr>
        <w:t>On behalf of Walmart Inc. (Walmart)</w:t>
      </w:r>
      <w:r w:rsidRPr="00964DB6">
        <w:rPr>
          <w:u w:val="single"/>
        </w:rPr>
        <w:t>.</w:t>
      </w:r>
    </w:p>
    <w:p w14:paraId="3E22563E" w14:textId="77777777" w:rsidR="00EC18C1" w:rsidRPr="002F0E60" w:rsidRDefault="00EC18C1" w:rsidP="00EC18C1">
      <w:pPr>
        <w:ind w:left="720" w:firstLine="720"/>
        <w:jc w:val="both"/>
      </w:pPr>
    </w:p>
    <w:p w14:paraId="465351BA" w14:textId="77777777" w:rsidR="00EC18C1" w:rsidRPr="002F0E60" w:rsidRDefault="00EC18C1" w:rsidP="00EC18C1">
      <w:pPr>
        <w:ind w:left="1440"/>
        <w:jc w:val="both"/>
      </w:pPr>
      <w:r>
        <w:t>WALT TRIERWEILER</w:t>
      </w:r>
      <w:r w:rsidRPr="002F0E60">
        <w:t xml:space="preserve"> and </w:t>
      </w:r>
      <w:r>
        <w:t>JACOB IMIG</w:t>
      </w:r>
      <w:r w:rsidRPr="002F0E60">
        <w:t>, ESQUIRES, Florida Public Service Commission, 2540 Shumard Oak Boulevard, Tallahassee, Florida 32399-0850</w:t>
      </w:r>
    </w:p>
    <w:p w14:paraId="0573382C" w14:textId="77777777" w:rsidR="00EC18C1" w:rsidRPr="002F0E60" w:rsidRDefault="00EC18C1" w:rsidP="00EC18C1">
      <w:pPr>
        <w:ind w:left="720" w:firstLine="720"/>
        <w:jc w:val="both"/>
      </w:pPr>
      <w:r w:rsidRPr="002F0E60">
        <w:rPr>
          <w:u w:val="single"/>
        </w:rPr>
        <w:t>On behalf of the Florida Public Service Commission (Staff)</w:t>
      </w:r>
      <w:r w:rsidRPr="00964DB6">
        <w:rPr>
          <w:u w:val="single"/>
        </w:rPr>
        <w:t>.</w:t>
      </w:r>
    </w:p>
    <w:p w14:paraId="303E9D2B" w14:textId="77777777" w:rsidR="00EC18C1" w:rsidRPr="002F0E60" w:rsidRDefault="00EC18C1" w:rsidP="00EC18C1">
      <w:pPr>
        <w:jc w:val="both"/>
      </w:pPr>
    </w:p>
    <w:p w14:paraId="6D204266" w14:textId="77777777" w:rsidR="00EC18C1" w:rsidRPr="002F0E60" w:rsidRDefault="00EC18C1" w:rsidP="00EC18C1">
      <w:pPr>
        <w:ind w:left="1440"/>
        <w:jc w:val="both"/>
      </w:pPr>
      <w:r w:rsidRPr="002F0E60">
        <w:t>MARY ANNE HELTON, ESQUIRE, Deputy General Counsel, Florida Public Service Commission, 2540 Shumard Oak Boulevard, Tallahassee, Florida 32399-0850</w:t>
      </w:r>
    </w:p>
    <w:p w14:paraId="09A043B6" w14:textId="77777777" w:rsidR="00EC18C1" w:rsidRPr="002F0E60" w:rsidRDefault="00EC18C1" w:rsidP="00EC18C1">
      <w:pPr>
        <w:ind w:left="720" w:firstLine="720"/>
        <w:jc w:val="both"/>
      </w:pPr>
      <w:r w:rsidRPr="002F0E60">
        <w:rPr>
          <w:u w:val="single"/>
        </w:rPr>
        <w:t>Advisor to the Florida Public Service Commission</w:t>
      </w:r>
      <w:r w:rsidRPr="00964DB6">
        <w:rPr>
          <w:u w:val="single"/>
        </w:rPr>
        <w:t>.</w:t>
      </w:r>
    </w:p>
    <w:p w14:paraId="64524BF2" w14:textId="77777777" w:rsidR="00EC18C1" w:rsidRPr="002F0E60" w:rsidRDefault="00EC18C1" w:rsidP="00EC18C1">
      <w:pPr>
        <w:jc w:val="center"/>
        <w:rPr>
          <w:b/>
          <w:bCs/>
          <w:u w:val="single"/>
        </w:rPr>
      </w:pPr>
    </w:p>
    <w:p w14:paraId="443870E9" w14:textId="77777777" w:rsidR="00EC18C1" w:rsidRPr="002F0E60" w:rsidRDefault="00EC18C1" w:rsidP="00EC18C1">
      <w:pPr>
        <w:ind w:left="1440"/>
        <w:jc w:val="both"/>
      </w:pPr>
      <w:r w:rsidRPr="002F0E60">
        <w:t>KEITH C. HETRICK, ESQUIRE, General Counsel, Florida Public Service Commission, 2540 Shumard Oak Boulevard, Tallahassee, Florida 32399-0850</w:t>
      </w:r>
    </w:p>
    <w:p w14:paraId="445066FF" w14:textId="77777777" w:rsidR="00EC18C1" w:rsidRPr="002F0E60" w:rsidRDefault="00EC18C1" w:rsidP="00EC18C1">
      <w:pPr>
        <w:ind w:left="720" w:firstLine="720"/>
        <w:jc w:val="both"/>
      </w:pPr>
      <w:r w:rsidRPr="002F0E60">
        <w:rPr>
          <w:u w:val="single"/>
        </w:rPr>
        <w:t>Florida Public Service Commission General Counsel</w:t>
      </w:r>
      <w:r w:rsidRPr="00964DB6">
        <w:rPr>
          <w:u w:val="single"/>
        </w:rPr>
        <w:t>.</w:t>
      </w:r>
    </w:p>
    <w:p w14:paraId="0BA4A81E" w14:textId="77777777" w:rsidR="00EC18C1" w:rsidRDefault="00EC18C1" w:rsidP="00FE2788">
      <w:pPr>
        <w:pStyle w:val="OrderBody"/>
      </w:pPr>
    </w:p>
    <w:p w14:paraId="1AE98372" w14:textId="5E3AAA50" w:rsidR="00FE2788" w:rsidRPr="00B33384" w:rsidRDefault="00FE2788" w:rsidP="00FE2788">
      <w:pPr>
        <w:pStyle w:val="OrderBody"/>
      </w:pPr>
      <w:r w:rsidRPr="00B33384">
        <w:t>BY THE COMMISSION:</w:t>
      </w:r>
    </w:p>
    <w:p w14:paraId="0B646D01" w14:textId="77777777" w:rsidR="00CB5276" w:rsidRPr="00B33384" w:rsidRDefault="00CB5276">
      <w:pPr>
        <w:pStyle w:val="OrderBody"/>
      </w:pPr>
      <w:bookmarkStart w:id="5" w:name="OrderText"/>
      <w:bookmarkEnd w:id="5"/>
    </w:p>
    <w:p w14:paraId="26B688DF" w14:textId="77777777" w:rsidR="00182A37" w:rsidRPr="00B33384" w:rsidRDefault="00182A37" w:rsidP="00182A37">
      <w:pPr>
        <w:pStyle w:val="RecommendationMajorSectionHeading"/>
        <w:rPr>
          <w:rFonts w:ascii="Times New Roman" w:hAnsi="Times New Roman" w:cs="Times New Roman"/>
          <w:b w:val="0"/>
          <w:bCs w:val="0"/>
          <w:kern w:val="0"/>
          <w:szCs w:val="24"/>
        </w:rPr>
      </w:pPr>
      <w:r w:rsidRPr="00B33384">
        <w:rPr>
          <w:rFonts w:ascii="Times New Roman" w:hAnsi="Times New Roman" w:cs="Times New Roman"/>
          <w:b w:val="0"/>
          <w:u w:val="single"/>
        </w:rPr>
        <w:t>Background</w:t>
      </w:r>
    </w:p>
    <w:p w14:paraId="43AD8DC1" w14:textId="7B36C2BA" w:rsidR="005F2751" w:rsidRPr="00B33384" w:rsidRDefault="00182A37" w:rsidP="00801554">
      <w:pPr>
        <w:ind w:firstLine="720"/>
        <w:jc w:val="both"/>
      </w:pPr>
      <w:r w:rsidRPr="00B33384">
        <w:t xml:space="preserve">Section 366.96, Florida Statutes (F.S.), requires each investor-owned electric utility (IOU) to file a transmission and distribution storm protection plan (SPP) that covers the immediate 10-year planning period. </w:t>
      </w:r>
      <w:r w:rsidR="00CE1C57">
        <w:t xml:space="preserve"> </w:t>
      </w:r>
      <w:r w:rsidRPr="00B33384">
        <w:t xml:space="preserve">The plans are required to be filed with the Florida Public Service Commission (FPSC or Commission) at least every three years and must explain the systematic approach the utility will follow to achieve the objectives of reducing restoration costs and outage times associated with extreme weather events and enhancing reliability. </w:t>
      </w:r>
      <w:r w:rsidR="00CE1C57">
        <w:t xml:space="preserve"> </w:t>
      </w:r>
      <w:r w:rsidRPr="00B33384">
        <w:t xml:space="preserve">No later than </w:t>
      </w:r>
      <w:r w:rsidR="009C1F29">
        <w:t>180 days after a utility files its plan</w:t>
      </w:r>
      <w:r w:rsidRPr="00B33384">
        <w:t xml:space="preserve"> that contains all </w:t>
      </w:r>
      <w:r w:rsidR="00801554" w:rsidRPr="00B33384">
        <w:t>elements required by our rule, we</w:t>
      </w:r>
      <w:r w:rsidRPr="00B33384">
        <w:t xml:space="preserve"> must determine whether it is in the public interest to approve, approve with modification, or deny the plan. </w:t>
      </w:r>
      <w:r w:rsidR="00CE1C57">
        <w:t xml:space="preserve"> </w:t>
      </w:r>
      <w:r w:rsidRPr="00B33384">
        <w:t>S</w:t>
      </w:r>
      <w:r w:rsidR="0002059E">
        <w:t>ubs</w:t>
      </w:r>
      <w:r w:rsidRPr="00B33384">
        <w:t>ection 366.96(7), F.S., states that once a utility’s SPP has been approved, proceeding with actions to implement the plan shall not constitute or be evidence of imprudence.</w:t>
      </w:r>
      <w:r w:rsidR="00801554" w:rsidRPr="00B33384">
        <w:t xml:space="preserve"> </w:t>
      </w:r>
      <w:r w:rsidR="00CE1C57">
        <w:t xml:space="preserve"> </w:t>
      </w:r>
      <w:r w:rsidR="00801554" w:rsidRPr="00B33384">
        <w:t>Under</w:t>
      </w:r>
      <w:r w:rsidRPr="00B33384">
        <w:t xml:space="preserve"> this section</w:t>
      </w:r>
      <w:r w:rsidR="00F74488" w:rsidRPr="00B33384">
        <w:t>,</w:t>
      </w:r>
      <w:r w:rsidRPr="00B33384">
        <w:t xml:space="preserve"> </w:t>
      </w:r>
      <w:r w:rsidR="00801554" w:rsidRPr="00B33384">
        <w:t>we are also required to</w:t>
      </w:r>
      <w:r w:rsidRPr="00B33384">
        <w:t xml:space="preserve"> conduct an annual </w:t>
      </w:r>
      <w:r w:rsidR="00801554" w:rsidRPr="00B33384">
        <w:t xml:space="preserve">storm protection plan cost recovery clause (SPPCRC) </w:t>
      </w:r>
      <w:r w:rsidR="009C1F29">
        <w:t>proceeding</w:t>
      </w:r>
      <w:r w:rsidRPr="00B33384">
        <w:t xml:space="preserve"> to determine the utility’s prudently incurred SPP costs.</w:t>
      </w:r>
    </w:p>
    <w:p w14:paraId="74240E89" w14:textId="77777777" w:rsidR="00182A37" w:rsidRPr="00B33384" w:rsidRDefault="00182A37" w:rsidP="00182A37"/>
    <w:p w14:paraId="264E8D6A" w14:textId="621A53E3" w:rsidR="00182A37" w:rsidRPr="00B33384" w:rsidRDefault="00182A37" w:rsidP="00801554">
      <w:pPr>
        <w:spacing w:after="240"/>
        <w:ind w:firstLine="720"/>
        <w:jc w:val="both"/>
      </w:pPr>
      <w:r w:rsidRPr="00B33384">
        <w:t>Duke Energy Florida, LLC (DEF</w:t>
      </w:r>
      <w:r w:rsidR="001B55E3">
        <w:t xml:space="preserve"> or Utility</w:t>
      </w:r>
      <w:r w:rsidRPr="00B33384">
        <w:t>) filed its first SPP on April 10, 2020</w:t>
      </w:r>
      <w:r w:rsidR="00855C8E">
        <w:t>,</w:t>
      </w:r>
      <w:r w:rsidRPr="00B33384">
        <w:t xml:space="preserve"> in Docket No. 20200069-EI. </w:t>
      </w:r>
      <w:r w:rsidR="00CE1C57">
        <w:t xml:space="preserve"> </w:t>
      </w:r>
      <w:r w:rsidRPr="00B33384">
        <w:t>The Office of Public Counsel (OPC), Walmart, Inc. (Walmart), Florida Industrial Power Users Group (FIPUG)</w:t>
      </w:r>
      <w:r w:rsidR="00861D86">
        <w:t>,</w:t>
      </w:r>
      <w:r w:rsidRPr="00B33384">
        <w:t xml:space="preserve"> and White Springs Agr</w:t>
      </w:r>
      <w:r w:rsidR="008A25AD">
        <w:t xml:space="preserve">icultural Chemical, Inc. d/b/a </w:t>
      </w:r>
      <w:r w:rsidRPr="00B33384">
        <w:t xml:space="preserve">PCS Phosphate (PCS) were granted intervention. </w:t>
      </w:r>
      <w:r w:rsidR="00CE1C57">
        <w:t xml:space="preserve"> </w:t>
      </w:r>
      <w:r w:rsidR="009C1F29">
        <w:t>The 2020 SPP</w:t>
      </w:r>
      <w:r w:rsidRPr="00B33384">
        <w:t xml:space="preserve"> was </w:t>
      </w:r>
      <w:r w:rsidR="00801554" w:rsidRPr="00B33384">
        <w:t xml:space="preserve">pending </w:t>
      </w:r>
      <w:r w:rsidRPr="00B33384">
        <w:t>administrative hearing</w:t>
      </w:r>
      <w:r w:rsidR="00801554" w:rsidRPr="00B33384">
        <w:t xml:space="preserve"> when</w:t>
      </w:r>
      <w:r w:rsidRPr="00B33384">
        <w:t xml:space="preserve"> DEF entered into a Settlement Agreement with OPC, PCS, and Walmart.</w:t>
      </w:r>
      <w:r w:rsidRPr="00B33384">
        <w:rPr>
          <w:rStyle w:val="FootnoteReference"/>
        </w:rPr>
        <w:footnoteReference w:id="1"/>
      </w:r>
      <w:r w:rsidR="00CE1C57">
        <w:t xml:space="preserve"> </w:t>
      </w:r>
      <w:r w:rsidRPr="00B33384">
        <w:t xml:space="preserve"> An administrative hearing was held on August 10, 2020</w:t>
      </w:r>
      <w:r w:rsidR="00801554" w:rsidRPr="00B33384">
        <w:t>, where we</w:t>
      </w:r>
      <w:r w:rsidRPr="00B33384">
        <w:t xml:space="preserve"> hear</w:t>
      </w:r>
      <w:r w:rsidR="00801554" w:rsidRPr="00B33384">
        <w:t>d</w:t>
      </w:r>
      <w:r w:rsidRPr="00B33384">
        <w:t xml:space="preserve"> oral </w:t>
      </w:r>
      <w:r w:rsidRPr="00B33384">
        <w:lastRenderedPageBreak/>
        <w:t xml:space="preserve">argument from the parties in support </w:t>
      </w:r>
      <w:r w:rsidR="00801554" w:rsidRPr="00B33384">
        <w:t xml:space="preserve">of the Settlement Agreement, </w:t>
      </w:r>
      <w:r w:rsidRPr="00B33384">
        <w:t>admi</w:t>
      </w:r>
      <w:r w:rsidR="00B863B7">
        <w:t>t</w:t>
      </w:r>
      <w:r w:rsidRPr="00B33384">
        <w:t>t</w:t>
      </w:r>
      <w:r w:rsidR="00801554" w:rsidRPr="00B33384">
        <w:t>ed</w:t>
      </w:r>
      <w:r w:rsidRPr="00B33384">
        <w:t xml:space="preserve"> testimony and documentary evidence</w:t>
      </w:r>
      <w:r w:rsidR="00035BC1">
        <w:t xml:space="preserve"> </w:t>
      </w:r>
      <w:r w:rsidR="00695E35" w:rsidRPr="00B33384">
        <w:t>into the record, and approved</w:t>
      </w:r>
      <w:r w:rsidRPr="00B33384">
        <w:t xml:space="preserve"> the Settlement Agreement.</w:t>
      </w:r>
      <w:r w:rsidR="00695E35" w:rsidRPr="00B33384">
        <w:rPr>
          <w:rStyle w:val="FootnoteReference"/>
        </w:rPr>
        <w:footnoteReference w:id="2"/>
      </w:r>
      <w:r w:rsidRPr="00B33384">
        <w:t xml:space="preserve"> </w:t>
      </w:r>
    </w:p>
    <w:p w14:paraId="2E93E7DC" w14:textId="2EAE8481" w:rsidR="00182A37" w:rsidRPr="00B33384" w:rsidRDefault="00182A37" w:rsidP="009C1F29">
      <w:pPr>
        <w:spacing w:after="240"/>
        <w:ind w:firstLine="360"/>
        <w:jc w:val="both"/>
      </w:pPr>
      <w:r w:rsidRPr="00B33384">
        <w:t>Key pro</w:t>
      </w:r>
      <w:r w:rsidR="009C1F29">
        <w:t>visions of the 2020 Settlement we</w:t>
      </w:r>
      <w:r w:rsidRPr="00B33384">
        <w:t>re:</w:t>
      </w:r>
    </w:p>
    <w:p w14:paraId="42F1C220" w14:textId="58509BFC" w:rsidR="008E1FFE" w:rsidRDefault="009C1F29" w:rsidP="008E1FFE">
      <w:pPr>
        <w:pStyle w:val="ListParagraph"/>
        <w:numPr>
          <w:ilvl w:val="0"/>
          <w:numId w:val="16"/>
        </w:numPr>
        <w:jc w:val="both"/>
      </w:pPr>
      <w:r>
        <w:t>DEF would file an</w:t>
      </w:r>
      <w:r w:rsidR="00182A37" w:rsidRPr="00B33384">
        <w:t xml:space="preserve"> updated SPP fo</w:t>
      </w:r>
      <w:r>
        <w:t>r the period 2023-2032, in which</w:t>
      </w:r>
      <w:r w:rsidR="008A25AD">
        <w:t xml:space="preserve"> DEF would</w:t>
      </w:r>
      <w:r w:rsidR="00182A37" w:rsidRPr="00B33384">
        <w:t xml:space="preserve"> not materially expand the scope of the programs and </w:t>
      </w:r>
      <w:r>
        <w:t>associated expenditures it sought</w:t>
      </w:r>
      <w:r w:rsidR="00182A37" w:rsidRPr="00B33384">
        <w:t xml:space="preserve"> to recover for the years 2020-2022 </w:t>
      </w:r>
      <w:r w:rsidR="008E1FFE">
        <w:t xml:space="preserve">beyond those that </w:t>
      </w:r>
      <w:r w:rsidR="008A25AD">
        <w:t>are included in the estimates provided in specific documents,</w:t>
      </w:r>
      <w:r w:rsidR="008E1FFE">
        <w:t xml:space="preserve"> and as modified in the filing made on July 24, 2020, in the SPPCRC docket.</w:t>
      </w:r>
    </w:p>
    <w:p w14:paraId="4FB11FB1" w14:textId="77777777" w:rsidR="008E1FFE" w:rsidRDefault="008E1FFE" w:rsidP="008E1FFE">
      <w:pPr>
        <w:rPr>
          <w:color w:val="1F497D"/>
        </w:rPr>
      </w:pPr>
    </w:p>
    <w:p w14:paraId="6507706E" w14:textId="0EAFE4B7" w:rsidR="00182A37" w:rsidRPr="00B33384" w:rsidRDefault="009C1F29" w:rsidP="00182A37">
      <w:pPr>
        <w:pStyle w:val="ListParagraph"/>
        <w:numPr>
          <w:ilvl w:val="0"/>
          <w:numId w:val="1"/>
        </w:numPr>
        <w:spacing w:after="240"/>
        <w:contextualSpacing w:val="0"/>
        <w:jc w:val="both"/>
      </w:pPr>
      <w:r>
        <w:t>DEF would</w:t>
      </w:r>
      <w:r w:rsidR="00182A37" w:rsidRPr="00B33384">
        <w:t xml:space="preserve"> base its requests for cost recovery through the SPPCRC for the years 2023, 2024</w:t>
      </w:r>
      <w:r>
        <w:t>,</w:t>
      </w:r>
      <w:r w:rsidR="00182A37" w:rsidRPr="00B33384">
        <w:t xml:space="preserve"> and 2025 on the SPP update to be filed in 2022.</w:t>
      </w:r>
    </w:p>
    <w:p w14:paraId="697129EA" w14:textId="77777777" w:rsidR="00182A37" w:rsidRPr="00B33384" w:rsidRDefault="00182A37" w:rsidP="00801554">
      <w:pPr>
        <w:ind w:firstLine="360"/>
        <w:jc w:val="both"/>
        <w:rPr>
          <w:bCs/>
        </w:rPr>
      </w:pPr>
      <w:r w:rsidRPr="00B33384">
        <w:t xml:space="preserve">On January 1, 2021, DEF filed a petition for limited proceeding to approve another settlement agreement which included general base rate increases (2021 Settlement Agreement). </w:t>
      </w:r>
      <w:r w:rsidR="00CE1C57">
        <w:t xml:space="preserve"> </w:t>
      </w:r>
      <w:r w:rsidRPr="00B33384">
        <w:t xml:space="preserve">On </w:t>
      </w:r>
      <w:r w:rsidRPr="00B33384">
        <w:rPr>
          <w:bCs/>
        </w:rPr>
        <w:t>June 4, 2021</w:t>
      </w:r>
      <w:r w:rsidRPr="00B33384">
        <w:t xml:space="preserve">, by Order No. </w:t>
      </w:r>
      <w:r w:rsidRPr="00B33384">
        <w:rPr>
          <w:bCs/>
        </w:rPr>
        <w:t>PSC</w:t>
      </w:r>
      <w:r w:rsidR="002765C0">
        <w:rPr>
          <w:bCs/>
        </w:rPr>
        <w:t>-2021-0202-AS-EI, we</w:t>
      </w:r>
      <w:r w:rsidRPr="00B33384">
        <w:rPr>
          <w:bCs/>
        </w:rPr>
        <w:t xml:space="preserve"> approved the 2021 Settlement Agreement between DEF, OPC, FIPUG, PCS Phosphate, and Nucor Steel Florida, Inc.</w:t>
      </w:r>
      <w:r w:rsidR="00CE1C57">
        <w:rPr>
          <w:bCs/>
        </w:rPr>
        <w:t xml:space="preserve"> </w:t>
      </w:r>
      <w:r w:rsidRPr="00B33384">
        <w:rPr>
          <w:bCs/>
        </w:rPr>
        <w:t xml:space="preserve"> Two scrivener’s errors were corrected by an amendatory order, Order No. PSC-2021-0202A-AS-EI, issued on June 28, 2021. Paragraph 4 of the 2021 Settlement Agreement states:</w:t>
      </w:r>
    </w:p>
    <w:p w14:paraId="3561DCCF" w14:textId="77777777" w:rsidR="00182A37" w:rsidRPr="00B33384" w:rsidRDefault="00182A37" w:rsidP="00182A37">
      <w:pPr>
        <w:rPr>
          <w:bCs/>
        </w:rPr>
      </w:pPr>
    </w:p>
    <w:p w14:paraId="0660D322" w14:textId="77777777" w:rsidR="00182A37" w:rsidRPr="00B33384" w:rsidRDefault="00182A37" w:rsidP="00182A37">
      <w:pPr>
        <w:spacing w:after="240"/>
        <w:ind w:left="720" w:right="720"/>
        <w:jc w:val="both"/>
        <w:rPr>
          <w:bCs/>
        </w:rPr>
      </w:pPr>
      <w:r w:rsidRPr="00B33384">
        <w:rPr>
          <w:bCs/>
        </w:rPr>
        <w:t>The Parties agree that DEF properly removed all costs associated with the Storm Protection Plan (“SPP”) from the costs included in DEF’s MFRs, as all such costs spent on approved SPP programs are properly recoverable through</w:t>
      </w:r>
      <w:r w:rsidR="001D4904">
        <w:rPr>
          <w:bCs/>
        </w:rPr>
        <w:t xml:space="preserve"> the SPP Cost Recovery Clause </w:t>
      </w:r>
      <w:r w:rsidRPr="00B33384">
        <w:rPr>
          <w:bCs/>
        </w:rPr>
        <w:t xml:space="preserve">“SPPCRC.” </w:t>
      </w:r>
    </w:p>
    <w:p w14:paraId="4B908256" w14:textId="5B7C1B44" w:rsidR="00256CE9" w:rsidRDefault="00182A37" w:rsidP="00801554">
      <w:pPr>
        <w:spacing w:after="240"/>
        <w:ind w:firstLine="720"/>
        <w:jc w:val="both"/>
        <w:outlineLvl w:val="2"/>
      </w:pPr>
      <w:r w:rsidRPr="00B33384">
        <w:t>On April 11, 2022, DEF filed</w:t>
      </w:r>
      <w:r w:rsidR="002765C0">
        <w:t xml:space="preserve"> its proposed SPP for our</w:t>
      </w:r>
      <w:r w:rsidR="00695E35" w:rsidRPr="00B33384">
        <w:t xml:space="preserve"> approval for</w:t>
      </w:r>
      <w:r w:rsidRPr="00B33384">
        <w:t xml:space="preserve"> the period of 2023-2032</w:t>
      </w:r>
      <w:r w:rsidR="00695E35" w:rsidRPr="00B33384">
        <w:t>,</w:t>
      </w:r>
      <w:r w:rsidRPr="00B33384">
        <w:t xml:space="preserve"> </w:t>
      </w:r>
      <w:r w:rsidR="00695E35" w:rsidRPr="00B33384">
        <w:t xml:space="preserve">which </w:t>
      </w:r>
      <w:r w:rsidRPr="00B33384">
        <w:t>included the sam</w:t>
      </w:r>
      <w:r w:rsidR="009C1F29">
        <w:t>e ten programs proposed in</w:t>
      </w:r>
      <w:r w:rsidR="00256CE9">
        <w:t xml:space="preserve"> its 2020 SPP:</w:t>
      </w:r>
    </w:p>
    <w:p w14:paraId="01E505EC"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 xml:space="preserve">Distribution Feeder Hardening </w:t>
      </w:r>
    </w:p>
    <w:p w14:paraId="4A20D8B2"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 xml:space="preserve">Distribution Lateral Hardening </w:t>
      </w:r>
    </w:p>
    <w:p w14:paraId="6925F3B7"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Distribution Self-Optimizing Grid</w:t>
      </w:r>
    </w:p>
    <w:p w14:paraId="70039629"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Distribution Underground Flood Mitigation</w:t>
      </w:r>
    </w:p>
    <w:p w14:paraId="54A48533"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Transmission Structure Hardening</w:t>
      </w:r>
    </w:p>
    <w:p w14:paraId="4696DB5B"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Transmission Substation Flood Mitigation</w:t>
      </w:r>
    </w:p>
    <w:p w14:paraId="246A0621"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Transmission Loop Radially Fed Substations</w:t>
      </w:r>
    </w:p>
    <w:p w14:paraId="1279F230"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 xml:space="preserve">Transmission Substation Hardening </w:t>
      </w:r>
    </w:p>
    <w:p w14:paraId="6B4CD8E0" w14:textId="77777777" w:rsidR="00256CE9" w:rsidRPr="00B33384" w:rsidRDefault="00256CE9" w:rsidP="00256CE9">
      <w:pPr>
        <w:pStyle w:val="ListParagraph"/>
        <w:numPr>
          <w:ilvl w:val="0"/>
          <w:numId w:val="6"/>
        </w:numPr>
        <w:jc w:val="both"/>
        <w:outlineLvl w:val="2"/>
        <w:rPr>
          <w:rFonts w:eastAsiaTheme="minorHAnsi"/>
        </w:rPr>
      </w:pPr>
      <w:r w:rsidRPr="00B33384">
        <w:rPr>
          <w:rFonts w:eastAsiaTheme="minorHAnsi"/>
        </w:rPr>
        <w:t>Distribution Vegetation Management</w:t>
      </w:r>
    </w:p>
    <w:p w14:paraId="7E29077A" w14:textId="77777777" w:rsidR="00256CE9" w:rsidRPr="00256CE9" w:rsidRDefault="00256CE9" w:rsidP="00256CE9">
      <w:pPr>
        <w:pStyle w:val="ListParagraph"/>
        <w:numPr>
          <w:ilvl w:val="0"/>
          <w:numId w:val="6"/>
        </w:numPr>
        <w:spacing w:after="240"/>
        <w:jc w:val="both"/>
        <w:outlineLvl w:val="2"/>
        <w:rPr>
          <w:rFonts w:eastAsiaTheme="minorHAnsi"/>
        </w:rPr>
      </w:pPr>
      <w:r w:rsidRPr="00B33384">
        <w:rPr>
          <w:rFonts w:eastAsiaTheme="minorHAnsi"/>
        </w:rPr>
        <w:t>Tr</w:t>
      </w:r>
      <w:r>
        <w:rPr>
          <w:rFonts w:eastAsiaTheme="minorHAnsi"/>
        </w:rPr>
        <w:t>ansmission Vegetation Management</w:t>
      </w:r>
    </w:p>
    <w:p w14:paraId="29DAA116" w14:textId="4A23FCF9" w:rsidR="00256CE9" w:rsidRPr="009C1F29" w:rsidRDefault="00182A37" w:rsidP="009C1F29">
      <w:pPr>
        <w:spacing w:after="240"/>
        <w:jc w:val="both"/>
        <w:outlineLvl w:val="2"/>
        <w:rPr>
          <w:bCs/>
        </w:rPr>
      </w:pPr>
      <w:r w:rsidRPr="00B33384">
        <w:t xml:space="preserve">A </w:t>
      </w:r>
      <w:r w:rsidR="00256CE9">
        <w:t xml:space="preserve">more detailed </w:t>
      </w:r>
      <w:r w:rsidRPr="00B33384">
        <w:t xml:space="preserve">description of the ten programs is provided in Attachment A. </w:t>
      </w:r>
      <w:r w:rsidR="00CE1C57">
        <w:t xml:space="preserve"> </w:t>
      </w:r>
      <w:r w:rsidRPr="00B33384">
        <w:t xml:space="preserve">FIPUG, Nucor, OPC, PCS </w:t>
      </w:r>
      <w:r w:rsidRPr="00B33384">
        <w:rPr>
          <w:bCs/>
        </w:rPr>
        <w:t xml:space="preserve">Phosphate, and Walmart were granted intervention in this docket. An administrative </w:t>
      </w:r>
      <w:r w:rsidRPr="00B33384">
        <w:rPr>
          <w:bCs/>
        </w:rPr>
        <w:lastRenderedPageBreak/>
        <w:t>hearing was held on August 2-4, 2022.</w:t>
      </w:r>
      <w:r w:rsidRPr="00B33384">
        <w:rPr>
          <w:rStyle w:val="FootnoteReference"/>
        </w:rPr>
        <w:footnoteReference w:id="3"/>
      </w:r>
      <w:r w:rsidRPr="00B33384">
        <w:rPr>
          <w:bCs/>
        </w:rPr>
        <w:t xml:space="preserve"> </w:t>
      </w:r>
      <w:r w:rsidR="00CE1C57">
        <w:rPr>
          <w:bCs/>
        </w:rPr>
        <w:t xml:space="preserve"> </w:t>
      </w:r>
      <w:r w:rsidRPr="00B33384">
        <w:rPr>
          <w:bCs/>
        </w:rPr>
        <w:t>Post hearing briefs were filed on September 6, 2022. OPC, FIPUG, Nucor, and PCS (Joint Pa</w:t>
      </w:r>
      <w:r w:rsidR="008A25AD">
        <w:rPr>
          <w:bCs/>
        </w:rPr>
        <w:t>rties) filed a joint brief that</w:t>
      </w:r>
      <w:r w:rsidRPr="00B33384">
        <w:rPr>
          <w:bCs/>
        </w:rPr>
        <w:t xml:space="preserve"> included a procedural matter</w:t>
      </w:r>
      <w:r w:rsidR="00861D86">
        <w:rPr>
          <w:bCs/>
        </w:rPr>
        <w:t>,</w:t>
      </w:r>
      <w:r w:rsidRPr="00B33384">
        <w:rPr>
          <w:bCs/>
        </w:rPr>
        <w:t xml:space="preserve"> which is addressed below.</w:t>
      </w:r>
    </w:p>
    <w:p w14:paraId="43628F93" w14:textId="77777777" w:rsidR="00182A37" w:rsidRPr="00855C8E" w:rsidRDefault="00182A37" w:rsidP="00182A37">
      <w:pPr>
        <w:autoSpaceDE w:val="0"/>
        <w:autoSpaceDN w:val="0"/>
        <w:adjustRightInd w:val="0"/>
        <w:jc w:val="both"/>
        <w:rPr>
          <w:bCs/>
        </w:rPr>
      </w:pPr>
      <w:r w:rsidRPr="00855C8E">
        <w:rPr>
          <w:bCs/>
        </w:rPr>
        <w:t>Procedural Matter</w:t>
      </w:r>
    </w:p>
    <w:p w14:paraId="372AD84A" w14:textId="77777777" w:rsidR="00801554" w:rsidRPr="00B33384" w:rsidRDefault="00801554" w:rsidP="00182A37">
      <w:pPr>
        <w:autoSpaceDE w:val="0"/>
        <w:autoSpaceDN w:val="0"/>
        <w:adjustRightInd w:val="0"/>
        <w:jc w:val="both"/>
        <w:rPr>
          <w:bCs/>
          <w:u w:val="single"/>
        </w:rPr>
      </w:pPr>
    </w:p>
    <w:p w14:paraId="01B85937" w14:textId="00B5237F" w:rsidR="00182A37" w:rsidRPr="00B33384" w:rsidRDefault="00182A37" w:rsidP="00801554">
      <w:pPr>
        <w:ind w:firstLine="720"/>
        <w:jc w:val="both"/>
      </w:pPr>
      <w:r w:rsidRPr="00B33384">
        <w:t>On pages 28-37 of their post-hearing brief, the Joint Parties unilaterally inserted a “post-hearing legal issue” that was not listed in the Prehearing Order.</w:t>
      </w:r>
      <w:r w:rsidRPr="00B33384">
        <w:rPr>
          <w:vertAlign w:val="superscript"/>
        </w:rPr>
        <w:footnoteReference w:id="4"/>
      </w:r>
      <w:r w:rsidRPr="00B33384">
        <w:t xml:space="preserve"> </w:t>
      </w:r>
      <w:r w:rsidR="00CE1C57">
        <w:t xml:space="preserve"> </w:t>
      </w:r>
      <w:r w:rsidRPr="00B33384">
        <w:t>The Joint Parties argue</w:t>
      </w:r>
      <w:r w:rsidR="00695E35" w:rsidRPr="00B33384">
        <w:t>d</w:t>
      </w:r>
      <w:r w:rsidRPr="00B33384">
        <w:t xml:space="preserve"> that </w:t>
      </w:r>
      <w:r w:rsidR="00695E35" w:rsidRPr="00B33384">
        <w:t xml:space="preserve">we </w:t>
      </w:r>
      <w:r w:rsidR="00855C8E">
        <w:t>should reverse the</w:t>
      </w:r>
      <w:r w:rsidRPr="00B33384">
        <w:t xml:space="preserve"> prehearing ruling, set forth in Order No. PSC-2022-0292-PCO-EI, where</w:t>
      </w:r>
      <w:r w:rsidR="00695E35" w:rsidRPr="00B33384">
        <w:t>in</w:t>
      </w:r>
      <w:r w:rsidRPr="00B33384">
        <w:t xml:space="preserve"> the Prehearing Officer granted motions to strike portions of the prefiled testimony </w:t>
      </w:r>
      <w:r w:rsidR="00695E35" w:rsidRPr="00B33384">
        <w:t xml:space="preserve">of OPC witness Lane Kollen. </w:t>
      </w:r>
      <w:r w:rsidR="00CE1C57">
        <w:t xml:space="preserve"> </w:t>
      </w:r>
      <w:r w:rsidR="00695E35" w:rsidRPr="00B33384">
        <w:t xml:space="preserve">In our </w:t>
      </w:r>
      <w:r w:rsidRPr="00B33384">
        <w:t>opinion this legal argument does not raise a new substantive issue.</w:t>
      </w:r>
      <w:r w:rsidRPr="00B33384" w:rsidDel="005222BD">
        <w:t xml:space="preserve"> </w:t>
      </w:r>
      <w:r w:rsidRPr="00B33384">
        <w:t>The lack of legal relevance of witness Kollen’s testimony was addressed in detail by the Prehearing Officer in Order No. PSC-2022-0292-PCO-EI.</w:t>
      </w:r>
      <w:r w:rsidR="00D460A1">
        <w:t xml:space="preserve"> </w:t>
      </w:r>
      <w:r w:rsidRPr="00B33384">
        <w:t xml:space="preserve"> OPC requested reconsideration of that Order, which w</w:t>
      </w:r>
      <w:r w:rsidR="00695E35" w:rsidRPr="00B33384">
        <w:t>e denied</w:t>
      </w:r>
      <w:r w:rsidRPr="00B33384">
        <w:t xml:space="preserve">. </w:t>
      </w:r>
      <w:r w:rsidR="00CE1C57">
        <w:t xml:space="preserve"> </w:t>
      </w:r>
      <w:r w:rsidRPr="00B33384">
        <w:t xml:space="preserve">Because </w:t>
      </w:r>
      <w:r w:rsidR="00695E35" w:rsidRPr="00B33384">
        <w:t xml:space="preserve">we have fully addressed </w:t>
      </w:r>
      <w:r w:rsidRPr="00B33384">
        <w:t xml:space="preserve">the evidentiary concerns relating to the testimony of witness Kollen </w:t>
      </w:r>
      <w:r w:rsidR="00695E35" w:rsidRPr="00B33384">
        <w:t>on the merits on two previous occasions</w:t>
      </w:r>
      <w:r w:rsidR="00855C8E">
        <w:t>,</w:t>
      </w:r>
      <w:r w:rsidR="00695E35" w:rsidRPr="00B33384">
        <w:t xml:space="preserve"> we find</w:t>
      </w:r>
      <w:r w:rsidRPr="00B33384">
        <w:t xml:space="preserve"> it is appropriate to discuss the Joint Parties’ “pos</w:t>
      </w:r>
      <w:r w:rsidR="00695E35" w:rsidRPr="00B33384">
        <w:t>t-hearing legal issue” here</w:t>
      </w:r>
      <w:r w:rsidR="00855C8E">
        <w:t xml:space="preserve"> only to the extent</w:t>
      </w:r>
      <w:r w:rsidRPr="00B33384">
        <w:t xml:space="preserve"> it raises procedural concerns. </w:t>
      </w:r>
      <w:r w:rsidR="00CE1C57">
        <w:t xml:space="preserve"> </w:t>
      </w:r>
      <w:r w:rsidRPr="00B33384">
        <w:t>For the reas</w:t>
      </w:r>
      <w:r w:rsidR="00695E35" w:rsidRPr="00B33384">
        <w:t>ons set forth below, we find</w:t>
      </w:r>
      <w:r w:rsidRPr="00B33384">
        <w:t xml:space="preserve"> there is no proce</w:t>
      </w:r>
      <w:r w:rsidR="00695E35" w:rsidRPr="00B33384">
        <w:t>dural error</w:t>
      </w:r>
      <w:r w:rsidR="00855C8E">
        <w:t>.</w:t>
      </w:r>
    </w:p>
    <w:p w14:paraId="18434DA7" w14:textId="77777777" w:rsidR="00182A37" w:rsidRPr="00B33384" w:rsidRDefault="00182A37" w:rsidP="00182A37">
      <w:pPr>
        <w:jc w:val="both"/>
      </w:pPr>
    </w:p>
    <w:p w14:paraId="2D088FA6" w14:textId="7AF3ACDD" w:rsidR="00182A37" w:rsidRPr="00B33384" w:rsidRDefault="00182A37" w:rsidP="00E62EDD">
      <w:pPr>
        <w:autoSpaceDE w:val="0"/>
        <w:autoSpaceDN w:val="0"/>
        <w:adjustRightInd w:val="0"/>
        <w:ind w:firstLine="720"/>
        <w:jc w:val="both"/>
      </w:pPr>
      <w:r w:rsidRPr="00B33384">
        <w:t xml:space="preserve">“The fundamental requirements of due process are satisfied by reasonable notice and a reasonable opportunity to be heard.” </w:t>
      </w:r>
      <w:r w:rsidRPr="00B33384">
        <w:rPr>
          <w:i/>
          <w:iCs/>
        </w:rPr>
        <w:t xml:space="preserve">Florida Public Service Commission v. Triple “A” Enterprises, Inc., </w:t>
      </w:r>
      <w:r w:rsidRPr="00B33384">
        <w:t xml:space="preserve">387 So. 2d 940, 943 (Fla. 1980). </w:t>
      </w:r>
      <w:r w:rsidR="00CE1C57">
        <w:t xml:space="preserve"> </w:t>
      </w:r>
      <w:r w:rsidRPr="00B33384">
        <w:t>At the administrative hearing held on August 2-4, 2022, in accordance with sections 120.569 and 120.57, F.S., all parties, including the Joint Parties, were given full opportunity to present argument on all relevant issues and to conduct cross-examination of all witnesses</w:t>
      </w:r>
      <w:r w:rsidR="00855C8E">
        <w:t>.</w:t>
      </w:r>
      <w:r w:rsidR="00E62EDD">
        <w:t xml:space="preserve">  </w:t>
      </w:r>
      <w:r w:rsidRPr="00B33384">
        <w:t xml:space="preserve">Neither OPC nor any other party to this proceeding was precluded from making any legal arguments regarding rule interpretation by the exclusion of the testimony. </w:t>
      </w:r>
      <w:r w:rsidR="00CE1C57">
        <w:t xml:space="preserve"> </w:t>
      </w:r>
      <w:r w:rsidRPr="00B33384">
        <w:t>Th</w:t>
      </w:r>
      <w:r w:rsidR="002765C0">
        <w:t>e only effect of our</w:t>
      </w:r>
      <w:r w:rsidRPr="00B33384">
        <w:t xml:space="preserve"> action in striking the testimony was to exclude expert testimony on the ultimate legal issues, which are the sole province of the tribunal.</w:t>
      </w:r>
    </w:p>
    <w:p w14:paraId="3C7BA713" w14:textId="77777777" w:rsidR="00182A37" w:rsidRPr="00B33384" w:rsidRDefault="00182A37" w:rsidP="00182A37">
      <w:pPr>
        <w:autoSpaceDE w:val="0"/>
        <w:autoSpaceDN w:val="0"/>
        <w:adjustRightInd w:val="0"/>
        <w:jc w:val="both"/>
      </w:pPr>
    </w:p>
    <w:p w14:paraId="25174EC8" w14:textId="7150D4B9" w:rsidR="00FE4129" w:rsidRDefault="00182A37" w:rsidP="00E87A65">
      <w:pPr>
        <w:autoSpaceDE w:val="0"/>
        <w:autoSpaceDN w:val="0"/>
        <w:adjustRightInd w:val="0"/>
        <w:ind w:firstLine="720"/>
        <w:jc w:val="both"/>
        <w:rPr>
          <w:iCs/>
        </w:rPr>
      </w:pPr>
      <w:r w:rsidRPr="00B33384">
        <w:t xml:space="preserve">Many portions of Witness Kollen’s </w:t>
      </w:r>
      <w:r w:rsidR="009C1F29">
        <w:t xml:space="preserve">prefiled </w:t>
      </w:r>
      <w:r w:rsidRPr="00B33384">
        <w:t xml:space="preserve">testimony were not stricken. </w:t>
      </w:r>
      <w:r w:rsidR="00CE1C57">
        <w:t xml:space="preserve"> </w:t>
      </w:r>
      <w:r w:rsidRPr="00B33384">
        <w:t xml:space="preserve">Those portions were moved into the record </w:t>
      </w:r>
      <w:r w:rsidR="001D4904">
        <w:t>as though read, and exhibits LK-1 through LK-</w:t>
      </w:r>
      <w:r w:rsidRPr="00B33384">
        <w:t>3 were admit</w:t>
      </w:r>
      <w:r w:rsidR="00FA3904">
        <w:t>ted into evidence.</w:t>
      </w:r>
      <w:r w:rsidRPr="00B33384">
        <w:t xml:space="preserve"> </w:t>
      </w:r>
      <w:r w:rsidR="00CE1C57">
        <w:t xml:space="preserve"> </w:t>
      </w:r>
      <w:r w:rsidRPr="00B33384">
        <w:t>OPC separately proffered the portions of Witness Kollen’s testimony subject to the order granting the motion to strike</w:t>
      </w:r>
      <w:r w:rsidR="00D460A1">
        <w:t>,</w:t>
      </w:r>
      <w:r w:rsidRPr="00B33384">
        <w:t xml:space="preserve"> and the proffered testimony was also moved into the reco</w:t>
      </w:r>
      <w:r w:rsidR="00FA3904">
        <w:t>rd as though read.</w:t>
      </w:r>
      <w:r w:rsidR="00CE1C57">
        <w:t xml:space="preserve"> </w:t>
      </w:r>
      <w:r w:rsidRPr="00B33384">
        <w:t xml:space="preserve"> On August 3, 2022, Witness Kollen provided a summary and was subject to cross-examination on both the testimony that was not stricken and the proffered testimony that had been stricken.</w:t>
      </w:r>
      <w:r w:rsidR="00CE1C57">
        <w:t xml:space="preserve"> </w:t>
      </w:r>
      <w:r w:rsidRPr="00B33384">
        <w:t xml:space="preserve"> Counsel for OPC also made its legal arguments about the rule interpreta</w:t>
      </w:r>
      <w:r w:rsidR="00FA3904">
        <w:t>tion at that time.</w:t>
      </w:r>
      <w:r w:rsidR="002765C0">
        <w:t xml:space="preserve"> </w:t>
      </w:r>
      <w:r w:rsidR="00D460A1">
        <w:t xml:space="preserve"> </w:t>
      </w:r>
      <w:r w:rsidR="002765C0">
        <w:t>Although we</w:t>
      </w:r>
      <w:r w:rsidRPr="00B33384">
        <w:t xml:space="preserve"> ultimately decided to strike </w:t>
      </w:r>
      <w:r w:rsidR="00F74488" w:rsidRPr="00B33384">
        <w:t xml:space="preserve">portions of </w:t>
      </w:r>
      <w:r w:rsidRPr="00B33384">
        <w:t xml:space="preserve">OPC Witness </w:t>
      </w:r>
      <w:r w:rsidR="00F74488" w:rsidRPr="00B33384">
        <w:t xml:space="preserve">Kollen’s </w:t>
      </w:r>
      <w:r w:rsidRPr="00B33384">
        <w:t>testimony, OPC was provided an opportunity to make its legal argument at the adm</w:t>
      </w:r>
      <w:r w:rsidR="00FA3904">
        <w:t>inistrative hearing</w:t>
      </w:r>
      <w:r w:rsidRPr="00B33384">
        <w:t xml:space="preserve">, and in its motion for reconsideration. </w:t>
      </w:r>
      <w:r w:rsidR="00D460A1">
        <w:t xml:space="preserve"> </w:t>
      </w:r>
      <w:r w:rsidRPr="00B33384">
        <w:t>OPC made its arguments again in its post-hearing brief.</w:t>
      </w:r>
      <w:r w:rsidRPr="00B33384">
        <w:rPr>
          <w:iCs/>
        </w:rPr>
        <w:t xml:space="preserve"> </w:t>
      </w:r>
    </w:p>
    <w:p w14:paraId="72EED11A" w14:textId="77777777" w:rsidR="00886731" w:rsidRPr="00B33384" w:rsidRDefault="00886731" w:rsidP="00E87A65">
      <w:pPr>
        <w:autoSpaceDE w:val="0"/>
        <w:autoSpaceDN w:val="0"/>
        <w:adjustRightInd w:val="0"/>
        <w:ind w:firstLine="720"/>
        <w:jc w:val="both"/>
        <w:rPr>
          <w:iCs/>
        </w:rPr>
      </w:pPr>
    </w:p>
    <w:p w14:paraId="0A3624E7" w14:textId="1B079912" w:rsidR="00182A37" w:rsidRPr="00B33384" w:rsidRDefault="00182A37" w:rsidP="00801554">
      <w:pPr>
        <w:autoSpaceDE w:val="0"/>
        <w:autoSpaceDN w:val="0"/>
        <w:adjustRightInd w:val="0"/>
        <w:ind w:firstLine="720"/>
        <w:jc w:val="both"/>
      </w:pPr>
      <w:r w:rsidRPr="00B33384">
        <w:rPr>
          <w:iCs/>
        </w:rPr>
        <w:t>The Joint Parties also argue</w:t>
      </w:r>
      <w:r w:rsidR="00FE4129" w:rsidRPr="00B33384">
        <w:rPr>
          <w:iCs/>
        </w:rPr>
        <w:t>d</w:t>
      </w:r>
      <w:r w:rsidRPr="00B33384">
        <w:rPr>
          <w:iCs/>
        </w:rPr>
        <w:t xml:space="preserve"> that a Commission Final Order applying Rule 25-6.030, </w:t>
      </w:r>
      <w:r w:rsidR="001D4904">
        <w:rPr>
          <w:iCs/>
        </w:rPr>
        <w:t>Florida Administrative Code (</w:t>
      </w:r>
      <w:r w:rsidRPr="00B33384">
        <w:rPr>
          <w:iCs/>
        </w:rPr>
        <w:t>F.A.C.</w:t>
      </w:r>
      <w:r w:rsidR="001D4904">
        <w:rPr>
          <w:iCs/>
        </w:rPr>
        <w:t>)</w:t>
      </w:r>
      <w:r w:rsidRPr="00B33384">
        <w:rPr>
          <w:iCs/>
        </w:rPr>
        <w:t>, in a manner not consistent with their argument “</w:t>
      </w:r>
      <w:r w:rsidRPr="00B33384">
        <w:t xml:space="preserve">could be </w:t>
      </w:r>
      <w:r w:rsidRPr="00B33384">
        <w:lastRenderedPageBreak/>
        <w:t>seen as the agency interpreting its [statutory] mandate without an effective or complete delegation of authority.”</w:t>
      </w:r>
      <w:r w:rsidR="00CE1C57">
        <w:t xml:space="preserve">  </w:t>
      </w:r>
      <w:r w:rsidRPr="00B33384">
        <w:t xml:space="preserve"> The cases cited by</w:t>
      </w:r>
      <w:r w:rsidR="009C1F29">
        <w:t xml:space="preserve"> the Joint Parties in support of this argument</w:t>
      </w:r>
      <w:r w:rsidRPr="00B33384">
        <w:t xml:space="preserve"> address judicial review of the constitutionality of statutes.</w:t>
      </w:r>
      <w:r w:rsidRPr="00B33384">
        <w:rPr>
          <w:vertAlign w:val="superscript"/>
        </w:rPr>
        <w:footnoteReference w:id="5"/>
      </w:r>
      <w:r w:rsidR="00CE1C57">
        <w:t xml:space="preserve"> </w:t>
      </w:r>
      <w:r w:rsidR="00FE4129" w:rsidRPr="00B33384">
        <w:t xml:space="preserve"> As an agency, we have</w:t>
      </w:r>
      <w:r w:rsidRPr="00B33384">
        <w:t xml:space="preserve"> no jurisdiction to decl</w:t>
      </w:r>
      <w:r w:rsidR="00E62EDD">
        <w:t>are a statute unconstitutional.</w:t>
      </w:r>
    </w:p>
    <w:p w14:paraId="5A326804" w14:textId="77777777" w:rsidR="00182A37" w:rsidRPr="00B33384" w:rsidRDefault="00182A37" w:rsidP="00182A37">
      <w:pPr>
        <w:autoSpaceDE w:val="0"/>
        <w:autoSpaceDN w:val="0"/>
        <w:adjustRightInd w:val="0"/>
        <w:jc w:val="both"/>
      </w:pPr>
    </w:p>
    <w:p w14:paraId="5ACD40D6" w14:textId="77777777" w:rsidR="00182A37" w:rsidRPr="00B33384" w:rsidRDefault="00246093" w:rsidP="00801554">
      <w:pPr>
        <w:autoSpaceDE w:val="0"/>
        <w:autoSpaceDN w:val="0"/>
        <w:adjustRightInd w:val="0"/>
        <w:spacing w:after="240"/>
        <w:ind w:firstLine="720"/>
        <w:jc w:val="both"/>
        <w:rPr>
          <w:iCs/>
        </w:rPr>
      </w:pPr>
      <w:r w:rsidRPr="00B33384">
        <w:t>For these reasons, we do</w:t>
      </w:r>
      <w:r w:rsidR="00182A37" w:rsidRPr="00B33384">
        <w:t xml:space="preserve"> not agree with the Joint Parties’ arguments that the actions taken with respect to witness Kollen’s testimony were procedurally infirmed or negatively impacted the fairness of the proceeding.</w:t>
      </w:r>
    </w:p>
    <w:p w14:paraId="0F3D345A" w14:textId="229DF36F" w:rsidR="00C01991" w:rsidRDefault="00FE4129" w:rsidP="00406D1F">
      <w:pPr>
        <w:ind w:firstLine="720"/>
        <w:jc w:val="both"/>
      </w:pPr>
      <w:r w:rsidRPr="00B33384">
        <w:t>We have</w:t>
      </w:r>
      <w:r w:rsidR="00182A37" w:rsidRPr="00B33384">
        <w:t xml:space="preserve"> j</w:t>
      </w:r>
      <w:r w:rsidR="009C1F29">
        <w:t>urisdiction over</w:t>
      </w:r>
      <w:r w:rsidR="00182A37" w:rsidRPr="00B33384">
        <w:t xml:space="preserve"> th</w:t>
      </w:r>
      <w:r w:rsidR="009C1F29">
        <w:t>e issues</w:t>
      </w:r>
      <w:r w:rsidR="00182A37" w:rsidRPr="00B33384">
        <w:t xml:space="preserve"> </w:t>
      </w:r>
      <w:r w:rsidR="009C1F29">
        <w:t>set out below</w:t>
      </w:r>
      <w:r w:rsidR="008A25AD">
        <w:t xml:space="preserve"> pursuant to Section 366.96</w:t>
      </w:r>
      <w:r w:rsidR="00182A37" w:rsidRPr="00B33384">
        <w:t xml:space="preserve"> and Chapter 120, F.S</w:t>
      </w:r>
      <w:r w:rsidR="00E73E63">
        <w:t>.</w:t>
      </w:r>
    </w:p>
    <w:p w14:paraId="3A0E15AC" w14:textId="77777777" w:rsidR="00C01991" w:rsidRDefault="00C01991" w:rsidP="00B33384">
      <w:pPr>
        <w:ind w:firstLine="720"/>
        <w:jc w:val="both"/>
      </w:pPr>
    </w:p>
    <w:p w14:paraId="49622B12" w14:textId="601BAC08" w:rsidR="00B33384" w:rsidRDefault="00B33384" w:rsidP="00256CE9">
      <w:pPr>
        <w:ind w:firstLine="720"/>
        <w:jc w:val="center"/>
        <w:rPr>
          <w:bCs/>
          <w:kern w:val="32"/>
          <w:szCs w:val="32"/>
          <w:u w:val="single"/>
        </w:rPr>
      </w:pPr>
      <w:bookmarkStart w:id="6" w:name="DiscussionOfIssues"/>
      <w:r w:rsidRPr="00B33384">
        <w:rPr>
          <w:bCs/>
          <w:kern w:val="32"/>
          <w:szCs w:val="32"/>
          <w:u w:val="single"/>
        </w:rPr>
        <w:t>Decision</w:t>
      </w:r>
      <w:bookmarkEnd w:id="6"/>
    </w:p>
    <w:p w14:paraId="20A395A3" w14:textId="77777777" w:rsidR="009C1F29" w:rsidRPr="00C01991" w:rsidRDefault="009C1F29" w:rsidP="00256CE9">
      <w:pPr>
        <w:ind w:firstLine="720"/>
        <w:jc w:val="center"/>
      </w:pPr>
    </w:p>
    <w:p w14:paraId="561B253C" w14:textId="28D81901" w:rsidR="00182A37" w:rsidRPr="00256CE9" w:rsidRDefault="00256CE9" w:rsidP="00B33384">
      <w:pPr>
        <w:pStyle w:val="ListParagraph"/>
        <w:numPr>
          <w:ilvl w:val="0"/>
          <w:numId w:val="7"/>
        </w:numPr>
        <w:spacing w:after="240"/>
        <w:ind w:left="720"/>
        <w:jc w:val="both"/>
        <w:rPr>
          <w:b/>
        </w:rPr>
      </w:pPr>
      <w:r>
        <w:rPr>
          <w:b/>
          <w:bCs/>
        </w:rPr>
        <w:t xml:space="preserve">Does DEF’s SPP </w:t>
      </w:r>
      <w:r w:rsidR="009C1F29" w:rsidRPr="00E04710">
        <w:rPr>
          <w:b/>
          <w:bCs/>
        </w:rPr>
        <w:t xml:space="preserve">contain all of the required elements of </w:t>
      </w:r>
      <w:r w:rsidR="009C1F29">
        <w:rPr>
          <w:b/>
          <w:bCs/>
        </w:rPr>
        <w:t xml:space="preserve">Section </w:t>
      </w:r>
      <w:r w:rsidR="009C1F29" w:rsidRPr="00E04710">
        <w:rPr>
          <w:b/>
          <w:bCs/>
        </w:rPr>
        <w:t>366.96, F.S.</w:t>
      </w:r>
      <w:r w:rsidR="00B727E3">
        <w:rPr>
          <w:b/>
          <w:bCs/>
        </w:rPr>
        <w:t xml:space="preserve">, </w:t>
      </w:r>
      <w:r w:rsidR="009C1F29" w:rsidRPr="00E04710">
        <w:rPr>
          <w:b/>
          <w:bCs/>
        </w:rPr>
        <w:t xml:space="preserve"> and Rule 25-6.030, F.A.C.?</w:t>
      </w:r>
    </w:p>
    <w:p w14:paraId="6A704483" w14:textId="77777777" w:rsidR="00B33384" w:rsidRPr="00B33384" w:rsidRDefault="00B33384" w:rsidP="00B33384">
      <w:pPr>
        <w:pStyle w:val="ListParagraph"/>
        <w:spacing w:after="240"/>
        <w:jc w:val="both"/>
      </w:pPr>
    </w:p>
    <w:p w14:paraId="70014DFF" w14:textId="77777777" w:rsidR="00182A37" w:rsidRDefault="00B33384" w:rsidP="00691AF1">
      <w:pPr>
        <w:pStyle w:val="ListParagraph"/>
        <w:numPr>
          <w:ilvl w:val="0"/>
          <w:numId w:val="8"/>
        </w:numPr>
        <w:jc w:val="both"/>
      </w:pPr>
      <w:r>
        <w:t>Parties’ Arguments</w:t>
      </w:r>
    </w:p>
    <w:p w14:paraId="7D1A2BDD" w14:textId="77777777" w:rsidR="00691AF1" w:rsidRPr="00691AF1" w:rsidRDefault="00691AF1" w:rsidP="00691AF1">
      <w:pPr>
        <w:pStyle w:val="ListParagraph"/>
        <w:ind w:left="1080"/>
        <w:jc w:val="both"/>
      </w:pPr>
    </w:p>
    <w:p w14:paraId="7011C3C7" w14:textId="77777777" w:rsidR="00182A37" w:rsidRPr="00B33384" w:rsidRDefault="00182A37" w:rsidP="00691AF1">
      <w:pPr>
        <w:ind w:firstLine="720"/>
        <w:jc w:val="both"/>
        <w:outlineLvl w:val="1"/>
      </w:pPr>
      <w:r w:rsidRPr="00B33384">
        <w:t>DEF argued its proposed 2023 SPP meets all filing requirements of Rule 25-6.030, F.A.C.</w:t>
      </w:r>
      <w:r w:rsidR="001B55E3">
        <w:t>,</w:t>
      </w:r>
      <w:r w:rsidRPr="00B33384">
        <w:t xml:space="preserve"> because the SPP meets the Legislature’s intended goals of reducing restoration costs and outag</w:t>
      </w:r>
      <w:r w:rsidR="000F1F31">
        <w:t>e times to customers.</w:t>
      </w:r>
      <w:r w:rsidRPr="00B33384">
        <w:t xml:space="preserve"> </w:t>
      </w:r>
      <w:r w:rsidR="00CE1C57">
        <w:t xml:space="preserve"> </w:t>
      </w:r>
      <w:r w:rsidRPr="00B33384">
        <w:t>DEF stated that its proposed Plan is expected to reduce average annual storm restoration costs by over $50 million, while reducing average annual customer minutes of interruption by close to 400 millio</w:t>
      </w:r>
      <w:r w:rsidR="000F1F31">
        <w:t>n minutes.</w:t>
      </w:r>
      <w:r w:rsidR="00CE1C57">
        <w:t xml:space="preserve"> </w:t>
      </w:r>
      <w:r w:rsidRPr="00B33384">
        <w:t xml:space="preserve"> DEF argued that all of its SPP programs reduce restoration costs and outage times and should be approved w</w:t>
      </w:r>
      <w:r w:rsidR="000F1F31">
        <w:t>ithout modification.</w:t>
      </w:r>
    </w:p>
    <w:p w14:paraId="7490AB4A" w14:textId="77777777" w:rsidR="00182A37" w:rsidRPr="00B33384" w:rsidRDefault="00182A37" w:rsidP="00182A37">
      <w:pPr>
        <w:jc w:val="both"/>
        <w:outlineLvl w:val="1"/>
        <w:rPr>
          <w:b/>
          <w:bCs/>
          <w:iCs/>
          <w:szCs w:val="28"/>
        </w:rPr>
      </w:pPr>
    </w:p>
    <w:p w14:paraId="42EC105D" w14:textId="2F60CA8B" w:rsidR="00521315" w:rsidRPr="00855C8E" w:rsidRDefault="001B55E3" w:rsidP="00855C8E">
      <w:pPr>
        <w:spacing w:after="240"/>
        <w:ind w:firstLine="720"/>
        <w:jc w:val="both"/>
        <w:rPr>
          <w:bCs/>
          <w:iCs/>
          <w:szCs w:val="28"/>
        </w:rPr>
      </w:pPr>
      <w:r>
        <w:rPr>
          <w:bCs/>
        </w:rPr>
        <w:t>The Joint Parties stated that</w:t>
      </w:r>
      <w:r w:rsidR="00691AF1">
        <w:rPr>
          <w:bCs/>
        </w:rPr>
        <w:t xml:space="preserve"> </w:t>
      </w:r>
      <w:r w:rsidR="00691AF1" w:rsidRPr="00B33384">
        <w:rPr>
          <w:bCs/>
        </w:rPr>
        <w:t xml:space="preserve">DEF provided verifiable program costs; however, </w:t>
      </w:r>
      <w:r>
        <w:rPr>
          <w:bCs/>
        </w:rPr>
        <w:t xml:space="preserve">they argued that DEF’s </w:t>
      </w:r>
      <w:r w:rsidR="00691AF1" w:rsidRPr="00B33384">
        <w:rPr>
          <w:bCs/>
        </w:rPr>
        <w:t xml:space="preserve">claimed benefits information was not properly presented </w:t>
      </w:r>
      <w:r>
        <w:rPr>
          <w:bCs/>
        </w:rPr>
        <w:t>because s</w:t>
      </w:r>
      <w:r w:rsidR="00691AF1" w:rsidRPr="00B33384">
        <w:rPr>
          <w:bCs/>
        </w:rPr>
        <w:t xml:space="preserve">ocietal benefits in the form of restoration cost avoidance are highly subjective </w:t>
      </w:r>
      <w:r w:rsidR="00691AF1" w:rsidRPr="00B33384">
        <w:rPr>
          <w:color w:val="000000"/>
        </w:rPr>
        <w:t xml:space="preserve">estimates of </w:t>
      </w:r>
      <w:r w:rsidR="00521315">
        <w:rPr>
          <w:color w:val="000000"/>
        </w:rPr>
        <w:t xml:space="preserve">the </w:t>
      </w:r>
      <w:r w:rsidR="00691AF1" w:rsidRPr="00B33384">
        <w:rPr>
          <w:color w:val="000000"/>
        </w:rPr>
        <w:t>customer value of avoided outages</w:t>
      </w:r>
      <w:r w:rsidR="00691AF1" w:rsidRPr="00B33384">
        <w:rPr>
          <w:bCs/>
        </w:rPr>
        <w:t xml:space="preserve"> and should not be used for plan approval determinations.</w:t>
      </w:r>
      <w:r w:rsidR="00256CE9">
        <w:rPr>
          <w:bCs/>
        </w:rPr>
        <w:t xml:space="preserve"> </w:t>
      </w:r>
      <w:r w:rsidR="00CE1C57">
        <w:rPr>
          <w:bCs/>
        </w:rPr>
        <w:t xml:space="preserve"> </w:t>
      </w:r>
      <w:r w:rsidR="00256CE9">
        <w:rPr>
          <w:bCs/>
          <w:iCs/>
          <w:szCs w:val="28"/>
        </w:rPr>
        <w:t>T</w:t>
      </w:r>
      <w:r w:rsidR="00256CE9" w:rsidRPr="00B33384">
        <w:rPr>
          <w:bCs/>
          <w:iCs/>
          <w:szCs w:val="28"/>
        </w:rPr>
        <w:t>he Joint Parties argue</w:t>
      </w:r>
      <w:r>
        <w:rPr>
          <w:bCs/>
          <w:iCs/>
          <w:szCs w:val="28"/>
        </w:rPr>
        <w:t>d</w:t>
      </w:r>
      <w:r w:rsidR="00256CE9" w:rsidRPr="00B33384">
        <w:rPr>
          <w:bCs/>
          <w:iCs/>
          <w:szCs w:val="28"/>
        </w:rPr>
        <w:t xml:space="preserve"> that DEF “superficially addressed” the key elements for program’s costs and benefits</w:t>
      </w:r>
      <w:r>
        <w:rPr>
          <w:bCs/>
          <w:iCs/>
          <w:szCs w:val="28"/>
        </w:rPr>
        <w:t xml:space="preserve"> by presenting</w:t>
      </w:r>
      <w:r w:rsidR="00691AF1" w:rsidRPr="00B33384">
        <w:rPr>
          <w:bCs/>
        </w:rPr>
        <w:t xml:space="preserve"> fictitious “capital cost savings” in its cost-effectiveness analysis. </w:t>
      </w:r>
      <w:r w:rsidR="00CE1C57">
        <w:rPr>
          <w:bCs/>
        </w:rPr>
        <w:t xml:space="preserve"> </w:t>
      </w:r>
      <w:r w:rsidR="00256CE9" w:rsidRPr="00256CE9">
        <w:rPr>
          <w:bCs/>
          <w:iCs/>
          <w:szCs w:val="28"/>
        </w:rPr>
        <w:t xml:space="preserve"> </w:t>
      </w:r>
      <w:r w:rsidR="00CE1C57">
        <w:rPr>
          <w:bCs/>
          <w:iCs/>
          <w:szCs w:val="28"/>
        </w:rPr>
        <w:t xml:space="preserve"> </w:t>
      </w:r>
      <w:r w:rsidR="00256CE9">
        <w:rPr>
          <w:bCs/>
          <w:iCs/>
          <w:szCs w:val="28"/>
        </w:rPr>
        <w:t>Walmart adopted the position of OPC.</w:t>
      </w:r>
    </w:p>
    <w:p w14:paraId="6FEA31E8" w14:textId="77777777" w:rsidR="00B33384" w:rsidRPr="00B33384" w:rsidRDefault="00B33384" w:rsidP="00B33384">
      <w:pPr>
        <w:pStyle w:val="ListParagraph"/>
        <w:numPr>
          <w:ilvl w:val="0"/>
          <w:numId w:val="8"/>
        </w:numPr>
        <w:jc w:val="both"/>
        <w:rPr>
          <w:bCs/>
        </w:rPr>
      </w:pPr>
      <w:r>
        <w:rPr>
          <w:bCs/>
        </w:rPr>
        <w:t>Analysis</w:t>
      </w:r>
    </w:p>
    <w:p w14:paraId="068991C9" w14:textId="77777777" w:rsidR="00182A37" w:rsidRPr="00B33384" w:rsidRDefault="00182A37" w:rsidP="00182A37">
      <w:pPr>
        <w:jc w:val="both"/>
        <w:rPr>
          <w:bCs/>
          <w:u w:val="single"/>
        </w:rPr>
      </w:pPr>
    </w:p>
    <w:p w14:paraId="66AA9346" w14:textId="72186150" w:rsidR="00182A37" w:rsidRPr="00B33384" w:rsidRDefault="00182A37" w:rsidP="00B33384">
      <w:pPr>
        <w:ind w:firstLine="720"/>
        <w:jc w:val="both"/>
        <w:rPr>
          <w:bCs/>
        </w:rPr>
      </w:pPr>
      <w:r w:rsidRPr="00B33384">
        <w:rPr>
          <w:bCs/>
        </w:rPr>
        <w:t>The first utility storm hardening pr</w:t>
      </w:r>
      <w:r w:rsidR="002765C0">
        <w:rPr>
          <w:bCs/>
        </w:rPr>
        <w:t>ograms were filed for our</w:t>
      </w:r>
      <w:r w:rsidRPr="00B33384">
        <w:rPr>
          <w:bCs/>
        </w:rPr>
        <w:t xml:space="preserve"> approval in 2007 and</w:t>
      </w:r>
      <w:r w:rsidR="002765C0">
        <w:rPr>
          <w:bCs/>
        </w:rPr>
        <w:t xml:space="preserve"> were reviewed by us</w:t>
      </w:r>
      <w:r w:rsidRPr="00B33384">
        <w:rPr>
          <w:bCs/>
        </w:rPr>
        <w:t xml:space="preserve"> at least every three years thereafter. </w:t>
      </w:r>
      <w:r w:rsidR="00CE1C57">
        <w:rPr>
          <w:bCs/>
        </w:rPr>
        <w:t xml:space="preserve"> </w:t>
      </w:r>
      <w:r w:rsidRPr="00B33384">
        <w:rPr>
          <w:bCs/>
        </w:rPr>
        <w:t>In 2019, the Florida Legislature emphasized the importance of storm hardening when it enacted Section 366.96, F.S., entitled “Storm Protection Plan Cost Recovery.”</w:t>
      </w:r>
      <w:r w:rsidRPr="00B33384">
        <w:rPr>
          <w:bCs/>
          <w:vertAlign w:val="superscript"/>
        </w:rPr>
        <w:footnoteReference w:id="6"/>
      </w:r>
      <w:r w:rsidRPr="00B33384">
        <w:rPr>
          <w:bCs/>
        </w:rPr>
        <w:t xml:space="preserve"> </w:t>
      </w:r>
      <w:r w:rsidR="00CE1C57">
        <w:rPr>
          <w:bCs/>
        </w:rPr>
        <w:t xml:space="preserve"> </w:t>
      </w:r>
      <w:r w:rsidRPr="00B33384">
        <w:t>Subsection 366.96(3), F.S.,</w:t>
      </w:r>
      <w:r w:rsidRPr="00B33384">
        <w:rPr>
          <w:bCs/>
        </w:rPr>
        <w:t xml:space="preserve"> requires each IOU to file a </w:t>
      </w:r>
      <w:r w:rsidRPr="00B33384">
        <w:rPr>
          <w:bCs/>
        </w:rPr>
        <w:lastRenderedPageBreak/>
        <w:t>transmission and distr</w:t>
      </w:r>
      <w:r w:rsidR="002765C0">
        <w:rPr>
          <w:bCs/>
        </w:rPr>
        <w:t>ibution SPP for our</w:t>
      </w:r>
      <w:r w:rsidRPr="00B33384">
        <w:rPr>
          <w:bCs/>
        </w:rPr>
        <w:t xml:space="preserve"> review and di</w:t>
      </w:r>
      <w:r w:rsidR="002765C0">
        <w:rPr>
          <w:bCs/>
        </w:rPr>
        <w:t>rects us</w:t>
      </w:r>
      <w:r w:rsidRPr="00B33384">
        <w:rPr>
          <w:bCs/>
        </w:rPr>
        <w:t xml:space="preserve"> to hold an annual p</w:t>
      </w:r>
      <w:r w:rsidR="00D460A1">
        <w:rPr>
          <w:bCs/>
        </w:rPr>
        <w:t>roceeding to determine the IOU’s</w:t>
      </w:r>
      <w:r w:rsidRPr="00B33384">
        <w:rPr>
          <w:bCs/>
        </w:rPr>
        <w:t xml:space="preserve"> prudently incurred costs to implement the plan and allow recovery of those costs through the SPPCRC. </w:t>
      </w:r>
    </w:p>
    <w:p w14:paraId="38E0DAAB" w14:textId="77777777" w:rsidR="00182A37" w:rsidRPr="00B33384" w:rsidRDefault="00182A37" w:rsidP="00182A37">
      <w:pPr>
        <w:jc w:val="both"/>
        <w:rPr>
          <w:bCs/>
        </w:rPr>
      </w:pPr>
    </w:p>
    <w:p w14:paraId="25319DBA" w14:textId="547E1996" w:rsidR="00182A37" w:rsidRPr="00B33384" w:rsidRDefault="002765C0" w:rsidP="00B33384">
      <w:pPr>
        <w:spacing w:after="240"/>
        <w:ind w:firstLine="720"/>
        <w:jc w:val="both"/>
        <w:rPr>
          <w:bCs/>
        </w:rPr>
      </w:pPr>
      <w:r>
        <w:rPr>
          <w:bCs/>
        </w:rPr>
        <w:t>We</w:t>
      </w:r>
      <w:r w:rsidR="00521315">
        <w:rPr>
          <w:bCs/>
        </w:rPr>
        <w:t xml:space="preserve"> promulgated two r</w:t>
      </w:r>
      <w:r w:rsidR="00182A37" w:rsidRPr="00B33384">
        <w:rPr>
          <w:bCs/>
        </w:rPr>
        <w:t xml:space="preserve">ules, </w:t>
      </w:r>
      <w:r w:rsidR="00521315">
        <w:rPr>
          <w:bCs/>
        </w:rPr>
        <w:t xml:space="preserve">Rule </w:t>
      </w:r>
      <w:r w:rsidR="00182A37" w:rsidRPr="00B33384">
        <w:rPr>
          <w:bCs/>
        </w:rPr>
        <w:t xml:space="preserve">25-6.030, F.A.C., Storm Protection Plan, and </w:t>
      </w:r>
      <w:r w:rsidR="00521315">
        <w:rPr>
          <w:bCs/>
        </w:rPr>
        <w:t xml:space="preserve">Rule </w:t>
      </w:r>
      <w:r w:rsidR="00182A37" w:rsidRPr="00B33384">
        <w:rPr>
          <w:bCs/>
        </w:rPr>
        <w:t xml:space="preserve">25-6.031, F.A.C., Storm Protection Cost Recovery, to implement and administer Section 366.96, F.S. </w:t>
      </w:r>
      <w:r w:rsidR="00CE1C57">
        <w:rPr>
          <w:bCs/>
        </w:rPr>
        <w:t xml:space="preserve"> </w:t>
      </w:r>
    </w:p>
    <w:p w14:paraId="7B7CA69C" w14:textId="5CEF8386" w:rsidR="00182A37" w:rsidRDefault="00406D1F" w:rsidP="00691AF1">
      <w:pPr>
        <w:ind w:firstLine="720"/>
        <w:jc w:val="both"/>
      </w:pPr>
      <w:r>
        <w:t>The Joint Parties argued</w:t>
      </w:r>
      <w:r w:rsidR="00182A37" w:rsidRPr="00B33384">
        <w:t xml:space="preserve"> that the</w:t>
      </w:r>
      <w:r w:rsidR="00182A37" w:rsidRPr="00B33384">
        <w:rPr>
          <w:bCs/>
        </w:rPr>
        <w:t xml:space="preserve"> </w:t>
      </w:r>
      <w:r w:rsidR="00256CE9">
        <w:rPr>
          <w:bCs/>
        </w:rPr>
        <w:t>methodology</w:t>
      </w:r>
      <w:r w:rsidR="00182A37" w:rsidRPr="00B33384">
        <w:rPr>
          <w:bCs/>
        </w:rPr>
        <w:t xml:space="preserve"> that DEF</w:t>
      </w:r>
      <w:r w:rsidR="00182A37" w:rsidRPr="00B33384">
        <w:t xml:space="preserve"> </w:t>
      </w:r>
      <w:r w:rsidR="00256CE9">
        <w:t>used</w:t>
      </w:r>
      <w:r w:rsidR="00182A37" w:rsidRPr="00B33384">
        <w:t xml:space="preserve"> to demonstrate its comparison of costs and benefits was flawed. </w:t>
      </w:r>
      <w:r w:rsidR="00D460A1">
        <w:t xml:space="preserve"> </w:t>
      </w:r>
      <w:r w:rsidR="00182A37" w:rsidRPr="00B33384">
        <w:t>For the reasons</w:t>
      </w:r>
      <w:r w:rsidR="00A50662">
        <w:t xml:space="preserve"> set forth below, we find</w:t>
      </w:r>
      <w:r w:rsidR="00182A37" w:rsidRPr="00B33384">
        <w:t xml:space="preserve"> DEF provided adequat</w:t>
      </w:r>
      <w:r w:rsidR="002765C0">
        <w:t>e information for us</w:t>
      </w:r>
      <w:r w:rsidR="00182A37" w:rsidRPr="00B33384">
        <w:t xml:space="preserve"> to evaluate DEF’s SPP.</w:t>
      </w:r>
    </w:p>
    <w:p w14:paraId="781097CB" w14:textId="77777777" w:rsidR="002765C0" w:rsidRPr="00691AF1" w:rsidRDefault="002765C0" w:rsidP="00691AF1">
      <w:pPr>
        <w:ind w:firstLine="720"/>
        <w:jc w:val="both"/>
      </w:pPr>
    </w:p>
    <w:p w14:paraId="2F9C40F5" w14:textId="77777777" w:rsidR="00182A37" w:rsidRDefault="00182A37" w:rsidP="00691AF1">
      <w:pPr>
        <w:ind w:firstLine="720"/>
        <w:jc w:val="both"/>
      </w:pPr>
      <w:r w:rsidRPr="00B33384">
        <w:t>S</w:t>
      </w:r>
      <w:r w:rsidR="0002059E">
        <w:t>ubs</w:t>
      </w:r>
      <w:r w:rsidRPr="00B33384">
        <w:t>ection 366.96(4), F.S., provides:</w:t>
      </w:r>
    </w:p>
    <w:p w14:paraId="1874B45F" w14:textId="77777777" w:rsidR="00691AF1" w:rsidRPr="00B33384" w:rsidRDefault="00691AF1" w:rsidP="00691AF1">
      <w:pPr>
        <w:ind w:firstLine="720"/>
        <w:jc w:val="both"/>
      </w:pPr>
    </w:p>
    <w:p w14:paraId="50387149" w14:textId="6107EE21" w:rsidR="00182A37" w:rsidRPr="00B33384" w:rsidRDefault="00521315" w:rsidP="00182A37">
      <w:pPr>
        <w:ind w:left="720" w:right="720"/>
        <w:jc w:val="both"/>
      </w:pPr>
      <w:r>
        <w:t xml:space="preserve">(4) </w:t>
      </w:r>
      <w:r w:rsidR="00182A37" w:rsidRPr="00B33384">
        <w:t>In its review of each transmission and distribution storm protection plan filed pursuant to this section, the commission shall consider:</w:t>
      </w:r>
    </w:p>
    <w:p w14:paraId="205ED005" w14:textId="77777777" w:rsidR="00182A37" w:rsidRPr="00B33384" w:rsidRDefault="00182A37" w:rsidP="00182A37">
      <w:pPr>
        <w:ind w:left="720" w:right="720"/>
        <w:jc w:val="both"/>
      </w:pPr>
      <w:r w:rsidRPr="00B33384">
        <w:t>(a) The extent to which the plan is expected to reduce restoration costs and outage times associated with extreme weather events and enhance reliability, including whether the plan prioritizes areas of lower reliability performance.</w:t>
      </w:r>
    </w:p>
    <w:p w14:paraId="705F02C4" w14:textId="77777777" w:rsidR="00182A37" w:rsidRPr="00B33384" w:rsidRDefault="00182A37" w:rsidP="00182A37">
      <w:pPr>
        <w:ind w:left="720" w:right="720"/>
        <w:jc w:val="both"/>
      </w:pPr>
      <w:r w:rsidRPr="00B33384">
        <w:t>(b) The extent to which storm protection of transmission and distribution infrastructure is feasible, reasonable, or practical in certain areas of the utility’s service territory, including, but not limited to, flood zones and rural areas.</w:t>
      </w:r>
    </w:p>
    <w:p w14:paraId="07FA06D4" w14:textId="77777777" w:rsidR="00182A37" w:rsidRPr="00B33384" w:rsidRDefault="00182A37" w:rsidP="0075211C">
      <w:pPr>
        <w:ind w:left="720" w:right="720"/>
        <w:jc w:val="both"/>
      </w:pPr>
      <w:r w:rsidRPr="00B33384">
        <w:t>(c) The estimated costs and benefits to the utility and its customers of making the improvements proposed in the plan.</w:t>
      </w:r>
    </w:p>
    <w:p w14:paraId="1DE49C9A" w14:textId="77777777" w:rsidR="00182A37" w:rsidRPr="00B33384" w:rsidRDefault="00182A37" w:rsidP="0075211C">
      <w:pPr>
        <w:ind w:left="720" w:right="720"/>
        <w:jc w:val="both"/>
      </w:pPr>
      <w:r w:rsidRPr="00B33384">
        <w:t>(d) The estimated annual rate impact resulting from implementation of the plan during the first 3 years addressed in the plan.</w:t>
      </w:r>
    </w:p>
    <w:p w14:paraId="66589284" w14:textId="77777777" w:rsidR="00182A37" w:rsidRPr="00B33384" w:rsidRDefault="00182A37" w:rsidP="00182A37">
      <w:pPr>
        <w:jc w:val="both"/>
      </w:pPr>
    </w:p>
    <w:p w14:paraId="73F8F20F" w14:textId="370DF0A1" w:rsidR="00E62EDD" w:rsidRPr="00E62EDD" w:rsidRDefault="00E62EDD" w:rsidP="00DB6A02">
      <w:pPr>
        <w:spacing w:after="200"/>
        <w:jc w:val="both"/>
        <w:rPr>
          <w:rFonts w:eastAsiaTheme="minorHAnsi" w:cstheme="minorBidi"/>
          <w:szCs w:val="22"/>
        </w:rPr>
      </w:pPr>
      <w:r w:rsidRPr="00E62EDD">
        <w:rPr>
          <w:rFonts w:eastAsiaTheme="minorHAnsi" w:cstheme="minorBidi"/>
          <w:szCs w:val="22"/>
        </w:rPr>
        <w:t xml:space="preserve">The rule implementing this statute identifies the types of information a utility is to submit for us to consider as part of our SPP review. </w:t>
      </w:r>
      <w:r w:rsidR="00D460A1">
        <w:rPr>
          <w:rFonts w:eastAsiaTheme="minorHAnsi" w:cstheme="minorBidi"/>
          <w:szCs w:val="22"/>
        </w:rPr>
        <w:t xml:space="preserve"> </w:t>
      </w:r>
      <w:r w:rsidRPr="00E62EDD">
        <w:rPr>
          <w:rFonts w:eastAsiaTheme="minorHAnsi" w:cstheme="minorBidi"/>
          <w:i/>
          <w:szCs w:val="22"/>
        </w:rPr>
        <w:t>See</w:t>
      </w:r>
      <w:r w:rsidRPr="00E62EDD">
        <w:rPr>
          <w:rFonts w:eastAsiaTheme="minorHAnsi" w:cstheme="minorBidi"/>
          <w:szCs w:val="22"/>
        </w:rPr>
        <w:t xml:space="preserve"> Rule 25-6.030(3), F.A.C. (“For each Storm Protection Plan, the following information must be provided . . . .”).</w:t>
      </w:r>
      <w:r w:rsidR="00D460A1">
        <w:rPr>
          <w:rFonts w:eastAsiaTheme="minorHAnsi" w:cstheme="minorBidi"/>
          <w:szCs w:val="22"/>
        </w:rPr>
        <w:t xml:space="preserve"> </w:t>
      </w:r>
      <w:r w:rsidRPr="00E62EDD">
        <w:rPr>
          <w:rFonts w:eastAsiaTheme="minorHAnsi" w:cstheme="minorBidi"/>
          <w:szCs w:val="22"/>
        </w:rPr>
        <w:t xml:space="preserve"> By its plain language, this rule specifies only the informational content of the SPP filing. </w:t>
      </w:r>
      <w:r w:rsidR="00D460A1">
        <w:rPr>
          <w:rFonts w:eastAsiaTheme="minorHAnsi" w:cstheme="minorBidi"/>
          <w:szCs w:val="22"/>
        </w:rPr>
        <w:t xml:space="preserve"> </w:t>
      </w:r>
      <w:r w:rsidRPr="00E62EDD">
        <w:rPr>
          <w:rFonts w:eastAsiaTheme="minorHAnsi" w:cstheme="minorBidi"/>
          <w:szCs w:val="22"/>
        </w:rPr>
        <w:t>It does not establish a substantive standard for our decision on the SPP.</w:t>
      </w:r>
      <w:r w:rsidR="00D460A1">
        <w:rPr>
          <w:rFonts w:eastAsiaTheme="minorHAnsi" w:cstheme="minorBidi"/>
          <w:szCs w:val="22"/>
        </w:rPr>
        <w:t xml:space="preserve"> </w:t>
      </w:r>
      <w:r w:rsidRPr="00E62EDD">
        <w:rPr>
          <w:rFonts w:eastAsiaTheme="minorHAnsi" w:cstheme="minorBidi"/>
          <w:szCs w:val="22"/>
        </w:rPr>
        <w:t xml:space="preserve"> </w:t>
      </w:r>
      <w:r w:rsidR="00DB6A02">
        <w:rPr>
          <w:rFonts w:eastAsiaTheme="minorHAnsi" w:cstheme="minorBidi"/>
          <w:szCs w:val="22"/>
        </w:rPr>
        <w:t>We are to apply the considerations specified in Subsection 366.94(4), F.S., in making the ultimate determination whether it is in the public interest to approve, approve with modifications, or deny the SPP</w:t>
      </w:r>
      <w:r w:rsidRPr="00E62EDD">
        <w:rPr>
          <w:rFonts w:eastAsiaTheme="minorHAnsi" w:cstheme="minorBidi"/>
          <w:szCs w:val="22"/>
        </w:rPr>
        <w:t xml:space="preserve">. </w:t>
      </w:r>
    </w:p>
    <w:p w14:paraId="47382014" w14:textId="1453E9E4" w:rsidR="00035BC1" w:rsidRPr="00E62EDD" w:rsidRDefault="00E62EDD" w:rsidP="00DB6A02">
      <w:pPr>
        <w:spacing w:after="200"/>
        <w:jc w:val="both"/>
        <w:rPr>
          <w:rFonts w:eastAsiaTheme="minorHAnsi" w:cstheme="minorBidi"/>
          <w:szCs w:val="22"/>
        </w:rPr>
      </w:pPr>
      <w:r w:rsidRPr="00E62EDD">
        <w:rPr>
          <w:rFonts w:eastAsiaTheme="minorHAnsi" w:cstheme="minorBidi"/>
          <w:szCs w:val="22"/>
        </w:rPr>
        <w:tab/>
        <w:t>Under the rule, a utility must provide an estimate and comparison of the costs and ben</w:t>
      </w:r>
      <w:r w:rsidR="00D2222A">
        <w:rPr>
          <w:rFonts w:eastAsiaTheme="minorHAnsi" w:cstheme="minorBidi"/>
          <w:szCs w:val="22"/>
        </w:rPr>
        <w:t>efits of each SPP program.</w:t>
      </w:r>
      <w:r w:rsidR="00D2222A">
        <w:rPr>
          <w:rStyle w:val="FootnoteReference"/>
          <w:rFonts w:eastAsiaTheme="minorHAnsi" w:cstheme="minorBidi"/>
          <w:szCs w:val="22"/>
        </w:rPr>
        <w:footnoteReference w:id="7"/>
      </w:r>
      <w:r w:rsidRPr="00E62EDD">
        <w:rPr>
          <w:rFonts w:eastAsiaTheme="minorHAnsi" w:cstheme="minorBidi"/>
          <w:szCs w:val="22"/>
        </w:rPr>
        <w:t xml:space="preserve">  Specifically, Rule 25-6.0303(d), F.A.C., provides as follows:</w:t>
      </w:r>
    </w:p>
    <w:p w14:paraId="4F33761B" w14:textId="459A9759" w:rsidR="005C7547" w:rsidRPr="00B33384" w:rsidRDefault="008A25AD" w:rsidP="008A25AD">
      <w:pPr>
        <w:widowControl w:val="0"/>
        <w:tabs>
          <w:tab w:val="left" w:pos="360"/>
        </w:tabs>
        <w:spacing w:line="260" w:lineRule="atLeast"/>
        <w:ind w:left="720" w:right="720"/>
        <w:jc w:val="both"/>
        <w:rPr>
          <w:rFonts w:eastAsia="SimSun"/>
        </w:rPr>
      </w:pPr>
      <w:r>
        <w:rPr>
          <w:rFonts w:eastAsia="SimSun"/>
        </w:rPr>
        <w:t>(3)</w:t>
      </w:r>
      <w:r w:rsidR="00521315">
        <w:rPr>
          <w:rFonts w:eastAsia="SimSun"/>
        </w:rPr>
        <w:t xml:space="preserve">(d) </w:t>
      </w:r>
      <w:r w:rsidR="00182A37" w:rsidRPr="00B33384">
        <w:rPr>
          <w:rFonts w:eastAsia="SimSun"/>
        </w:rPr>
        <w:t>A description of each proposed storm protection program that includes:</w:t>
      </w:r>
    </w:p>
    <w:p w14:paraId="0446D7A8" w14:textId="77777777" w:rsidR="00182A37" w:rsidRPr="00B33384" w:rsidRDefault="00182A37" w:rsidP="008A25AD">
      <w:pPr>
        <w:widowControl w:val="0"/>
        <w:tabs>
          <w:tab w:val="left" w:pos="360"/>
        </w:tabs>
        <w:spacing w:line="260" w:lineRule="atLeast"/>
        <w:ind w:left="720" w:right="720"/>
        <w:jc w:val="both"/>
        <w:rPr>
          <w:rFonts w:eastAsia="SimSun"/>
        </w:rPr>
      </w:pPr>
      <w:r w:rsidRPr="00B33384">
        <w:rPr>
          <w:rFonts w:eastAsia="SimSun"/>
        </w:rPr>
        <w:t xml:space="preserve">1. A description of how each proposed storm protection program is designed to enhance the utility’s existing transmission and distribution facilities including an </w:t>
      </w:r>
      <w:r w:rsidRPr="00B33384">
        <w:rPr>
          <w:rFonts w:eastAsia="SimSun"/>
        </w:rPr>
        <w:lastRenderedPageBreak/>
        <w:t>estimate of the resulting reduction in outage times and restoration costs due to extreme weather conditions;</w:t>
      </w:r>
    </w:p>
    <w:p w14:paraId="2CCC0673" w14:textId="77777777" w:rsidR="00182A37" w:rsidRPr="00B33384" w:rsidRDefault="00182A37" w:rsidP="008A25AD">
      <w:pPr>
        <w:widowControl w:val="0"/>
        <w:tabs>
          <w:tab w:val="left" w:pos="360"/>
        </w:tabs>
        <w:spacing w:line="260" w:lineRule="atLeast"/>
        <w:ind w:left="720" w:right="720"/>
        <w:jc w:val="both"/>
        <w:rPr>
          <w:rFonts w:eastAsia="SimSun"/>
        </w:rPr>
      </w:pPr>
      <w:r w:rsidRPr="00B33384">
        <w:rPr>
          <w:rFonts w:eastAsia="SimSun"/>
        </w:rPr>
        <w:t>2. If applicable, the actual or estimated start and completion dates of the program;</w:t>
      </w:r>
    </w:p>
    <w:p w14:paraId="2A202905" w14:textId="77777777" w:rsidR="00182A37" w:rsidRPr="00B33384" w:rsidRDefault="00182A37" w:rsidP="008A25AD">
      <w:pPr>
        <w:widowControl w:val="0"/>
        <w:tabs>
          <w:tab w:val="left" w:pos="360"/>
        </w:tabs>
        <w:spacing w:line="260" w:lineRule="atLeast"/>
        <w:ind w:left="720" w:right="720"/>
        <w:jc w:val="both"/>
        <w:rPr>
          <w:rFonts w:eastAsia="SimSun"/>
        </w:rPr>
      </w:pPr>
      <w:r w:rsidRPr="00B33384">
        <w:rPr>
          <w:rFonts w:eastAsia="SimSun"/>
        </w:rPr>
        <w:t>3. A cost estimate including capital and operating expenses;</w:t>
      </w:r>
    </w:p>
    <w:p w14:paraId="2ED263FB" w14:textId="77777777" w:rsidR="00182A37" w:rsidRPr="00B33384" w:rsidRDefault="00182A37" w:rsidP="008A25AD">
      <w:pPr>
        <w:widowControl w:val="0"/>
        <w:tabs>
          <w:tab w:val="left" w:pos="360"/>
        </w:tabs>
        <w:spacing w:line="260" w:lineRule="atLeast"/>
        <w:ind w:left="720" w:right="720"/>
        <w:jc w:val="both"/>
        <w:rPr>
          <w:rFonts w:eastAsia="SimSun"/>
        </w:rPr>
      </w:pPr>
      <w:r w:rsidRPr="00B33384">
        <w:rPr>
          <w:rFonts w:eastAsia="SimSun"/>
        </w:rPr>
        <w:t>4. A comparison of the costs identified in subparagraph (3)(d)3. and the benefits identified in subparagraph (3)(d)1.</w:t>
      </w:r>
      <w:r w:rsidRPr="00B33384">
        <w:rPr>
          <w:bCs/>
        </w:rPr>
        <w:t xml:space="preserve"> </w:t>
      </w:r>
    </w:p>
    <w:p w14:paraId="585272BE" w14:textId="77777777" w:rsidR="00182A37" w:rsidRPr="00B33384" w:rsidRDefault="00182A37" w:rsidP="00182A37">
      <w:pPr>
        <w:ind w:right="720"/>
        <w:rPr>
          <w:bCs/>
        </w:rPr>
      </w:pPr>
    </w:p>
    <w:p w14:paraId="6E08C5B4" w14:textId="2C3B59E2" w:rsidR="00182A37" w:rsidRPr="00B33384" w:rsidRDefault="00182A37" w:rsidP="00E30D94">
      <w:pPr>
        <w:ind w:firstLine="720"/>
        <w:jc w:val="both"/>
        <w:rPr>
          <w:bCs/>
        </w:rPr>
      </w:pPr>
      <w:r w:rsidRPr="00B33384">
        <w:rPr>
          <w:bCs/>
        </w:rPr>
        <w:t>Neither Section 366.96, F.S., nor Rule 25-6030, F.A.C., explicitly require a cost-effectiveness evaluation or quantitative cost-benefit analysis.</w:t>
      </w:r>
      <w:r w:rsidR="00E30D94">
        <w:rPr>
          <w:bCs/>
        </w:rPr>
        <w:t xml:space="preserve"> </w:t>
      </w:r>
      <w:r w:rsidRPr="00B33384">
        <w:rPr>
          <w:bCs/>
        </w:rPr>
        <w:t xml:space="preserve"> Rule 25-6.030(3)(d)</w:t>
      </w:r>
      <w:r w:rsidR="00521315">
        <w:rPr>
          <w:bCs/>
        </w:rPr>
        <w:t>4.</w:t>
      </w:r>
      <w:r w:rsidRPr="00B33384">
        <w:rPr>
          <w:bCs/>
        </w:rPr>
        <w:t>, F.A.C.,</w:t>
      </w:r>
      <w:r w:rsidRPr="00B33384">
        <w:rPr>
          <w:rFonts w:eastAsia="SimSun"/>
        </w:rPr>
        <w:t xml:space="preserve"> requires “…a comparison of the costs identified in subparagraph (3)(d)3. and the benefits identified in </w:t>
      </w:r>
      <w:r w:rsidR="00521315">
        <w:rPr>
          <w:rFonts w:eastAsia="SimSun"/>
        </w:rPr>
        <w:t xml:space="preserve">subparagraph </w:t>
      </w:r>
      <w:r w:rsidRPr="00B33384">
        <w:rPr>
          <w:rFonts w:eastAsia="SimSun"/>
        </w:rPr>
        <w:t xml:space="preserve">3(d)1.” </w:t>
      </w:r>
      <w:r w:rsidR="001C4867">
        <w:rPr>
          <w:rFonts w:eastAsia="SimSun"/>
        </w:rPr>
        <w:t xml:space="preserve"> </w:t>
      </w:r>
      <w:r w:rsidRPr="00B33384">
        <w:rPr>
          <w:bCs/>
        </w:rPr>
        <w:t>The Joint Parties argued that DEF’s data was</w:t>
      </w:r>
      <w:r w:rsidR="002765C0">
        <w:rPr>
          <w:bCs/>
        </w:rPr>
        <w:t xml:space="preserve"> insufficient for us</w:t>
      </w:r>
      <w:r w:rsidRPr="00B33384">
        <w:rPr>
          <w:bCs/>
        </w:rPr>
        <w:t xml:space="preserve"> to make a determination on outage times and reduction of costs.</w:t>
      </w:r>
      <w:r w:rsidR="0036334A">
        <w:rPr>
          <w:bCs/>
        </w:rPr>
        <w:t xml:space="preserve"> </w:t>
      </w:r>
      <w:r w:rsidR="002765C0">
        <w:rPr>
          <w:bCs/>
        </w:rPr>
        <w:t xml:space="preserve"> W</w:t>
      </w:r>
      <w:r w:rsidR="00A50662">
        <w:rPr>
          <w:bCs/>
        </w:rPr>
        <w:t>e disagree</w:t>
      </w:r>
      <w:r w:rsidRPr="00B33384">
        <w:rPr>
          <w:bCs/>
        </w:rPr>
        <w:t>.</w:t>
      </w:r>
    </w:p>
    <w:p w14:paraId="61956CB2" w14:textId="77777777" w:rsidR="00182A37" w:rsidRPr="00B33384" w:rsidRDefault="00182A37" w:rsidP="00182A37">
      <w:pPr>
        <w:jc w:val="both"/>
        <w:rPr>
          <w:bCs/>
        </w:rPr>
      </w:pPr>
      <w:r w:rsidRPr="00B33384">
        <w:rPr>
          <w:bCs/>
        </w:rPr>
        <w:t xml:space="preserve"> </w:t>
      </w:r>
    </w:p>
    <w:p w14:paraId="3C77CE7E" w14:textId="7EBA440E" w:rsidR="00182A37" w:rsidRPr="00B33384" w:rsidRDefault="00182A37" w:rsidP="00B33384">
      <w:pPr>
        <w:ind w:firstLine="720"/>
        <w:jc w:val="both"/>
      </w:pPr>
      <w:r w:rsidRPr="00B33384">
        <w:t xml:space="preserve">While the nature of cost data is objective, benefits in the context </w:t>
      </w:r>
      <w:r w:rsidR="00824825">
        <w:t>of storm hardening specifically</w:t>
      </w:r>
      <w:r w:rsidRPr="00B33384">
        <w:t xml:space="preserve"> may require various forms</w:t>
      </w:r>
      <w:r w:rsidR="001D4904">
        <w:t xml:space="preserve"> of</w:t>
      </w:r>
      <w:r w:rsidRPr="00B33384">
        <w:t xml:space="preserve"> description </w:t>
      </w:r>
      <w:r w:rsidR="00A50662">
        <w:t xml:space="preserve">and analysis to ascertain. </w:t>
      </w:r>
      <w:r w:rsidR="001C4867">
        <w:t xml:space="preserve"> </w:t>
      </w:r>
      <w:r w:rsidR="00B266D5">
        <w:t>U</w:t>
      </w:r>
      <w:r w:rsidR="00733928">
        <w:t>tilit</w:t>
      </w:r>
      <w:r w:rsidR="00B266D5">
        <w:t>ies</w:t>
      </w:r>
      <w:r w:rsidR="00733928">
        <w:t xml:space="preserve"> ha</w:t>
      </w:r>
      <w:r w:rsidR="00B266D5">
        <w:t>ve</w:t>
      </w:r>
      <w:r w:rsidRPr="00B33384">
        <w:t xml:space="preserve"> the flexibil</w:t>
      </w:r>
      <w:r w:rsidR="00521315">
        <w:t>ity to use a methodology that they</w:t>
      </w:r>
      <w:r w:rsidRPr="00B33384">
        <w:t xml:space="preserve"> </w:t>
      </w:r>
      <w:r w:rsidR="00521315">
        <w:t>find</w:t>
      </w:r>
      <w:r w:rsidRPr="00B33384">
        <w:t xml:space="preserve"> most clearl</w:t>
      </w:r>
      <w:r w:rsidR="008A25AD">
        <w:t>y demonstrates the benefits of their</w:t>
      </w:r>
      <w:r w:rsidRPr="00B33384">
        <w:t xml:space="preserve"> SPP</w:t>
      </w:r>
      <w:r w:rsidR="00E62EDD">
        <w:t xml:space="preserve"> and</w:t>
      </w:r>
      <w:r w:rsidRPr="00B33384">
        <w:t xml:space="preserve"> take</w:t>
      </w:r>
      <w:r w:rsidR="00E62EDD">
        <w:t>s</w:t>
      </w:r>
      <w:r w:rsidRPr="00B33384">
        <w:t xml:space="preserve"> into account the real</w:t>
      </w:r>
      <w:r w:rsidR="00E62EDD">
        <w:t xml:space="preserve"> world nature of storm protection</w:t>
      </w:r>
      <w:r w:rsidRPr="00B33384">
        <w:t>.</w:t>
      </w:r>
      <w:r w:rsidR="001C4867">
        <w:t xml:space="preserve"> </w:t>
      </w:r>
      <w:r w:rsidRPr="00B33384">
        <w:t xml:space="preserve"> </w:t>
      </w:r>
      <w:r w:rsidR="00E62EDD">
        <w:t>Creating a SPP</w:t>
      </w:r>
      <w:r w:rsidRPr="00B33384">
        <w:rPr>
          <w:bCs/>
        </w:rPr>
        <w:t xml:space="preserve"> is not a traditional utility function required for day-to-day service. </w:t>
      </w:r>
      <w:r w:rsidR="001C4867">
        <w:rPr>
          <w:bCs/>
        </w:rPr>
        <w:t xml:space="preserve"> </w:t>
      </w:r>
      <w:r w:rsidRPr="00B33384">
        <w:rPr>
          <w:bCs/>
        </w:rPr>
        <w:t xml:space="preserve">Rather, </w:t>
      </w:r>
      <w:r w:rsidR="001123B0">
        <w:rPr>
          <w:bCs/>
        </w:rPr>
        <w:t>it</w:t>
      </w:r>
      <w:r w:rsidRPr="00B33384">
        <w:rPr>
          <w:bCs/>
        </w:rPr>
        <w:t xml:space="preserve"> is </w:t>
      </w:r>
      <w:r w:rsidRPr="00B33384">
        <w:t xml:space="preserve">an activity that goes above and beyond the basic “sufficient, adequate, and efficient” standard of service to strengthen existing utility infrastructure to withstand potential extreme weather conditions. </w:t>
      </w:r>
      <w:r w:rsidR="00EA4E24" w:rsidRPr="00307351">
        <w:rPr>
          <w:i/>
        </w:rPr>
        <w:t>See</w:t>
      </w:r>
      <w:r w:rsidR="00EA4E24">
        <w:rPr>
          <w:i/>
        </w:rPr>
        <w:t xml:space="preserve"> </w:t>
      </w:r>
      <w:r w:rsidRPr="00B33384">
        <w:t>Section 366.03, F.S.</w:t>
      </w:r>
      <w:r w:rsidR="001C4867">
        <w:t xml:space="preserve"> </w:t>
      </w:r>
      <w:r w:rsidR="00E62EDD">
        <w:t xml:space="preserve"> Accordingly,</w:t>
      </w:r>
      <w:r w:rsidRPr="00B33384">
        <w:t xml:space="preserve"> s</w:t>
      </w:r>
      <w:r w:rsidRPr="00B33384">
        <w:rPr>
          <w:bCs/>
        </w:rPr>
        <w:t>torm hardening costs may or may not produce actual</w:t>
      </w:r>
      <w:r w:rsidR="00521315">
        <w:rPr>
          <w:bCs/>
        </w:rPr>
        <w:t xml:space="preserve"> financial benefits that exceed</w:t>
      </w:r>
      <w:r w:rsidRPr="00B33384">
        <w:rPr>
          <w:bCs/>
        </w:rPr>
        <w:t xml:space="preserve"> costs during a given time</w:t>
      </w:r>
      <w:r w:rsidRPr="00B33384">
        <w:t>, depending on a particular utility’s circumstances.</w:t>
      </w:r>
      <w:r w:rsidRPr="00B33384">
        <w:rPr>
          <w:vertAlign w:val="superscript"/>
        </w:rPr>
        <w:footnoteReference w:id="8"/>
      </w:r>
    </w:p>
    <w:p w14:paraId="5B398BD7" w14:textId="77777777" w:rsidR="00182A37" w:rsidRPr="00B33384" w:rsidRDefault="00182A37" w:rsidP="00182A37">
      <w:pPr>
        <w:jc w:val="both"/>
      </w:pPr>
    </w:p>
    <w:p w14:paraId="49B6AFAA" w14:textId="4549A795" w:rsidR="00182A37" w:rsidRPr="00B33384" w:rsidRDefault="00182A37" w:rsidP="00B33384">
      <w:pPr>
        <w:ind w:firstLine="720"/>
        <w:jc w:val="both"/>
      </w:pPr>
      <w:r w:rsidRPr="00B33384">
        <w:t>This is why S</w:t>
      </w:r>
      <w:r w:rsidR="0002059E">
        <w:t>ubs</w:t>
      </w:r>
      <w:r w:rsidRPr="00B33384">
        <w:t>ection 366.96(4)(a), F.S., provides the</w:t>
      </w:r>
      <w:r w:rsidR="00E62EDD">
        <w:t xml:space="preserve"> flexibility for IOUs to submit</w:t>
      </w:r>
      <w:r w:rsidR="00EA4E24">
        <w:t xml:space="preserve"> their SPPs</w:t>
      </w:r>
      <w:r w:rsidRPr="00B33384">
        <w:t xml:space="preserve"> so long as the plans include projects that </w:t>
      </w:r>
      <w:r w:rsidRPr="00B33384">
        <w:rPr>
          <w:bCs/>
        </w:rPr>
        <w:t>effectively “reduce restoration costs and outage times associated with extreme weather events and enhance reliability” for customers.</w:t>
      </w:r>
      <w:r w:rsidR="00A50662">
        <w:t xml:space="preserve"> </w:t>
      </w:r>
      <w:r w:rsidR="001C4867">
        <w:t xml:space="preserve"> </w:t>
      </w:r>
      <w:r w:rsidR="00A50662">
        <w:t>For these reasons, we find</w:t>
      </w:r>
      <w:r w:rsidR="00733928">
        <w:t xml:space="preserve"> that a utility has</w:t>
      </w:r>
      <w:r w:rsidRPr="00B33384">
        <w:t xml:space="preserve"> the option to submit what it deems is its most accurate data or analysis of costs </w:t>
      </w:r>
      <w:r w:rsidR="002765C0">
        <w:t>or benefits for our</w:t>
      </w:r>
      <w:r w:rsidRPr="00B33384">
        <w:t xml:space="preserve"> consideration. </w:t>
      </w:r>
    </w:p>
    <w:p w14:paraId="007DF091" w14:textId="77777777" w:rsidR="00182A37" w:rsidRPr="00B33384" w:rsidRDefault="00182A37" w:rsidP="00182A37">
      <w:pPr>
        <w:jc w:val="both"/>
        <w:rPr>
          <w:rFonts w:eastAsia="SimSun"/>
        </w:rPr>
      </w:pPr>
    </w:p>
    <w:p w14:paraId="7A829C0D" w14:textId="223CDF8A" w:rsidR="002765C0" w:rsidRPr="00B33384" w:rsidRDefault="00182A37" w:rsidP="00B33384">
      <w:pPr>
        <w:ind w:firstLine="720"/>
        <w:jc w:val="both"/>
        <w:rPr>
          <w:bCs/>
        </w:rPr>
      </w:pPr>
      <w:r w:rsidRPr="00B33384">
        <w:t xml:space="preserve">In this case, DEF’s SPP met the filing requirements </w:t>
      </w:r>
      <w:r w:rsidR="00E735FF">
        <w:t xml:space="preserve">of </w:t>
      </w:r>
      <w:r w:rsidRPr="00B33384">
        <w:rPr>
          <w:bCs/>
        </w:rPr>
        <w:t xml:space="preserve">Rule 25-6.030, F.A.C., because DEF provided </w:t>
      </w:r>
      <w:r w:rsidR="006A18AA">
        <w:rPr>
          <w:bCs/>
        </w:rPr>
        <w:t>sufficient</w:t>
      </w:r>
      <w:r w:rsidRPr="00B33384">
        <w:rPr>
          <w:bCs/>
        </w:rPr>
        <w:t xml:space="preserve"> information to analyze the costs and benefits of its SPP. </w:t>
      </w:r>
      <w:r w:rsidR="001C4867">
        <w:rPr>
          <w:bCs/>
        </w:rPr>
        <w:t xml:space="preserve"> </w:t>
      </w:r>
      <w:r w:rsidRPr="00B33384">
        <w:rPr>
          <w:bCs/>
        </w:rPr>
        <w:t>DEF</w:t>
      </w:r>
      <w:r w:rsidR="00EA4E24">
        <w:rPr>
          <w:bCs/>
        </w:rPr>
        <w:t xml:space="preserve"> provided sufficient program</w:t>
      </w:r>
      <w:r w:rsidR="002765C0">
        <w:rPr>
          <w:bCs/>
        </w:rPr>
        <w:t xml:space="preserve"> information for us</w:t>
      </w:r>
      <w:r w:rsidRPr="00B33384">
        <w:rPr>
          <w:bCs/>
        </w:rPr>
        <w:t xml:space="preserve"> to make a determination concerning </w:t>
      </w:r>
      <w:r w:rsidR="006A18AA">
        <w:rPr>
          <w:bCs/>
        </w:rPr>
        <w:t xml:space="preserve">the </w:t>
      </w:r>
      <w:r w:rsidRPr="00B33384">
        <w:rPr>
          <w:bCs/>
        </w:rPr>
        <w:t>po</w:t>
      </w:r>
      <w:r w:rsidRPr="00B33384">
        <w:t xml:space="preserve">tential </w:t>
      </w:r>
      <w:r w:rsidR="00B40CE8">
        <w:t xml:space="preserve">of the </w:t>
      </w:r>
      <w:r w:rsidR="00B40CE8">
        <w:rPr>
          <w:bCs/>
        </w:rPr>
        <w:t>SPP</w:t>
      </w:r>
      <w:r w:rsidR="00B40CE8" w:rsidRPr="00B33384">
        <w:t xml:space="preserve"> </w:t>
      </w:r>
      <w:r w:rsidRPr="00B33384">
        <w:t xml:space="preserve">to reduce outages or restoration time, as well as to </w:t>
      </w:r>
      <w:r w:rsidRPr="00B33384">
        <w:rPr>
          <w:bCs/>
        </w:rPr>
        <w:t xml:space="preserve">effectively evaluate the resulting rate impact from the SPP. </w:t>
      </w:r>
      <w:r w:rsidR="001C4867">
        <w:rPr>
          <w:bCs/>
        </w:rPr>
        <w:t xml:space="preserve"> </w:t>
      </w:r>
      <w:r w:rsidRPr="00B33384">
        <w:rPr>
          <w:bCs/>
        </w:rPr>
        <w:t>DEF’s SPP is anticipated to reduce storm restoration costs by over $50 million on average per year and reduce customer minutes of interruption by close to 400 million minutes</w:t>
      </w:r>
      <w:r w:rsidR="00FA3904">
        <w:rPr>
          <w:bCs/>
        </w:rPr>
        <w:t xml:space="preserve"> on average per year.</w:t>
      </w:r>
      <w:r w:rsidRPr="00B33384">
        <w:rPr>
          <w:bCs/>
        </w:rPr>
        <w:t xml:space="preserve"> </w:t>
      </w:r>
      <w:r w:rsidR="001C4867">
        <w:rPr>
          <w:bCs/>
        </w:rPr>
        <w:t xml:space="preserve"> </w:t>
      </w:r>
      <w:r w:rsidRPr="00B33384">
        <w:rPr>
          <w:bCs/>
        </w:rPr>
        <w:t xml:space="preserve">Additionally, the reduction in restoration costs and outage times for each proposed program was provided in DEF’s SPP. </w:t>
      </w:r>
      <w:r w:rsidR="001C4867">
        <w:rPr>
          <w:bCs/>
        </w:rPr>
        <w:t xml:space="preserve"> </w:t>
      </w:r>
      <w:r w:rsidRPr="00B33384">
        <w:rPr>
          <w:bCs/>
        </w:rPr>
        <w:t xml:space="preserve">For example, DEF’s Feeder Hardening Program is expected to reduce restoration costs by $15 to $18 million annually and reduce customer minutes of interruption by approximately 111 to 139 million minutes annually once the </w:t>
      </w:r>
      <w:r w:rsidRPr="00B33384">
        <w:rPr>
          <w:bCs/>
        </w:rPr>
        <w:lastRenderedPageBreak/>
        <w:t>p</w:t>
      </w:r>
      <w:r w:rsidR="00FA3904">
        <w:rPr>
          <w:bCs/>
        </w:rPr>
        <w:t>rogram is complete.</w:t>
      </w:r>
      <w:r w:rsidRPr="00B33384">
        <w:rPr>
          <w:bCs/>
        </w:rPr>
        <w:t xml:space="preserve"> </w:t>
      </w:r>
      <w:r w:rsidR="001C4867">
        <w:rPr>
          <w:bCs/>
        </w:rPr>
        <w:t xml:space="preserve"> </w:t>
      </w:r>
      <w:r w:rsidRPr="00B33384">
        <w:rPr>
          <w:bCs/>
        </w:rPr>
        <w:t>This i</w:t>
      </w:r>
      <w:r w:rsidR="002765C0">
        <w:rPr>
          <w:bCs/>
        </w:rPr>
        <w:t>nformation allows us</w:t>
      </w:r>
      <w:r w:rsidRPr="00B33384">
        <w:rPr>
          <w:bCs/>
        </w:rPr>
        <w:t xml:space="preserve"> to evaluate the potential of the SPP to mitigate outages and reduce restoration costs</w:t>
      </w:r>
      <w:r w:rsidRPr="003C46D9">
        <w:rPr>
          <w:bCs/>
        </w:rPr>
        <w:t>.</w:t>
      </w:r>
      <w:r w:rsidRPr="00B33384">
        <w:rPr>
          <w:bCs/>
        </w:rPr>
        <w:t xml:space="preserve"> </w:t>
      </w:r>
    </w:p>
    <w:p w14:paraId="7FA99375" w14:textId="77777777" w:rsidR="00B33384" w:rsidRDefault="00B33384" w:rsidP="00B33384">
      <w:pPr>
        <w:jc w:val="both"/>
      </w:pPr>
    </w:p>
    <w:p w14:paraId="278AFB19" w14:textId="77777777" w:rsidR="00B33384" w:rsidRDefault="00B33384" w:rsidP="00B33384">
      <w:pPr>
        <w:pStyle w:val="ListParagraph"/>
        <w:numPr>
          <w:ilvl w:val="0"/>
          <w:numId w:val="8"/>
        </w:numPr>
        <w:jc w:val="both"/>
      </w:pPr>
      <w:r>
        <w:t>Conclusion</w:t>
      </w:r>
    </w:p>
    <w:p w14:paraId="19CFB0D9" w14:textId="77777777" w:rsidR="00B33384" w:rsidRPr="00B33384" w:rsidRDefault="00B33384" w:rsidP="00B33384">
      <w:pPr>
        <w:jc w:val="both"/>
      </w:pPr>
    </w:p>
    <w:p w14:paraId="4FC0223D" w14:textId="4D1769FA" w:rsidR="00035BC1" w:rsidRDefault="00E62EDD" w:rsidP="00035BC1">
      <w:pPr>
        <w:ind w:firstLine="720"/>
        <w:jc w:val="both"/>
      </w:pPr>
      <w:r>
        <w:t>DEF satisfied</w:t>
      </w:r>
      <w:r w:rsidR="00535ED3" w:rsidRPr="006A18AA">
        <w:t xml:space="preserve"> the SPP Rule with its filing</w:t>
      </w:r>
      <w:r w:rsidR="00FD1BA4">
        <w:t>,</w:t>
      </w:r>
      <w:r w:rsidR="00535ED3" w:rsidRPr="006A18AA">
        <w:t xml:space="preserve"> and </w:t>
      </w:r>
      <w:r w:rsidR="00535ED3">
        <w:t xml:space="preserve">we </w:t>
      </w:r>
      <w:r w:rsidR="00535ED3" w:rsidRPr="006A18AA">
        <w:t>ha</w:t>
      </w:r>
      <w:r w:rsidR="00535ED3">
        <w:t>ve sufficient</w:t>
      </w:r>
      <w:r w:rsidR="00535ED3" w:rsidRPr="006A18AA">
        <w:t xml:space="preserve"> information </w:t>
      </w:r>
      <w:r w:rsidR="00535ED3" w:rsidRPr="00B33384">
        <w:t>necessary to make a public interest determination</w:t>
      </w:r>
      <w:r w:rsidR="00B40CE8">
        <w:t xml:space="preserve"> on its SPP.</w:t>
      </w:r>
    </w:p>
    <w:p w14:paraId="18EE5AD9" w14:textId="77777777" w:rsidR="00035BC1" w:rsidRDefault="00035BC1" w:rsidP="00035BC1">
      <w:pPr>
        <w:ind w:firstLine="720"/>
        <w:jc w:val="both"/>
      </w:pPr>
    </w:p>
    <w:p w14:paraId="0B2004C3" w14:textId="77777777" w:rsidR="00ED1ADD" w:rsidRDefault="000E0273" w:rsidP="00742173">
      <w:pPr>
        <w:ind w:left="720" w:hanging="720"/>
        <w:jc w:val="both"/>
        <w:rPr>
          <w:b/>
        </w:rPr>
      </w:pPr>
      <w:r>
        <w:rPr>
          <w:b/>
        </w:rPr>
        <w:t>II.</w:t>
      </w:r>
      <w:r>
        <w:rPr>
          <w:b/>
        </w:rPr>
        <w:tab/>
      </w:r>
      <w:r w:rsidR="00567038" w:rsidRPr="000E0273">
        <w:rPr>
          <w:b/>
        </w:rPr>
        <w:t>Is DEF’s SPP expected to reduce restoration costs and outage times associated with extreme weather events and enhance reliability?</w:t>
      </w:r>
    </w:p>
    <w:p w14:paraId="66635CB8" w14:textId="77777777" w:rsidR="00035BC1" w:rsidRPr="00ED1ADD" w:rsidRDefault="00035BC1" w:rsidP="00035BC1">
      <w:pPr>
        <w:ind w:firstLine="720"/>
        <w:jc w:val="both"/>
      </w:pPr>
    </w:p>
    <w:p w14:paraId="0CE8DB4F" w14:textId="77777777" w:rsidR="00ED1ADD" w:rsidRPr="00ED1ADD" w:rsidRDefault="00ED1ADD" w:rsidP="00ED1ADD">
      <w:pPr>
        <w:pStyle w:val="ListParagraph"/>
        <w:numPr>
          <w:ilvl w:val="0"/>
          <w:numId w:val="9"/>
        </w:numPr>
        <w:spacing w:after="240"/>
        <w:jc w:val="both"/>
      </w:pPr>
      <w:r>
        <w:t>Parties’ Arguments</w:t>
      </w:r>
    </w:p>
    <w:p w14:paraId="5C321EB8" w14:textId="3BDD04DD" w:rsidR="00F3755E" w:rsidRDefault="00691AF1" w:rsidP="00F3755E">
      <w:pPr>
        <w:spacing w:after="240"/>
        <w:ind w:firstLine="720"/>
        <w:jc w:val="both"/>
      </w:pPr>
      <w:r w:rsidRPr="00B33384">
        <w:t> </w:t>
      </w:r>
      <w:r w:rsidR="00567038">
        <w:rPr>
          <w:bCs/>
          <w:lang w:bidi="en-US"/>
        </w:rPr>
        <w:t>A</w:t>
      </w:r>
      <w:r w:rsidR="00C01991">
        <w:rPr>
          <w:bCs/>
          <w:lang w:bidi="en-US"/>
        </w:rPr>
        <w:t xml:space="preserve">fter full deployment </w:t>
      </w:r>
      <w:r w:rsidR="001D4904">
        <w:rPr>
          <w:bCs/>
          <w:lang w:bidi="en-US"/>
        </w:rPr>
        <w:t xml:space="preserve">of </w:t>
      </w:r>
      <w:r w:rsidR="00C01991">
        <w:rPr>
          <w:bCs/>
          <w:lang w:bidi="en-US"/>
        </w:rPr>
        <w:t>its</w:t>
      </w:r>
      <w:r w:rsidRPr="00B33384">
        <w:rPr>
          <w:bCs/>
          <w:lang w:bidi="en-US"/>
        </w:rPr>
        <w:t xml:space="preserve"> 2023 SPP, DEF project</w:t>
      </w:r>
      <w:r w:rsidR="00FC0248">
        <w:rPr>
          <w:bCs/>
          <w:lang w:bidi="en-US"/>
        </w:rPr>
        <w:t>ed</w:t>
      </w:r>
      <w:r w:rsidR="00521315">
        <w:rPr>
          <w:bCs/>
          <w:lang w:bidi="en-US"/>
        </w:rPr>
        <w:t xml:space="preserve"> an average</w:t>
      </w:r>
      <w:r w:rsidRPr="00B33384">
        <w:rPr>
          <w:bCs/>
          <w:lang w:bidi="en-US"/>
        </w:rPr>
        <w:t xml:space="preserve"> annual reduction in outage times of approximately 399.4 million customer minutes of interruption, as well as </w:t>
      </w:r>
      <w:r w:rsidR="00FC0248">
        <w:rPr>
          <w:bCs/>
          <w:lang w:bidi="en-US"/>
        </w:rPr>
        <w:t>an average</w:t>
      </w:r>
      <w:r w:rsidRPr="00B33384">
        <w:rPr>
          <w:bCs/>
          <w:lang w:bidi="en-US"/>
        </w:rPr>
        <w:t xml:space="preserve"> annual reduction in restoration costs of approximately $56.5 million. </w:t>
      </w:r>
      <w:r w:rsidR="00D460A1">
        <w:rPr>
          <w:bCs/>
          <w:lang w:bidi="en-US"/>
        </w:rPr>
        <w:t xml:space="preserve"> </w:t>
      </w:r>
      <w:r w:rsidR="00182A37" w:rsidRPr="00002880">
        <w:t xml:space="preserve">DEF </w:t>
      </w:r>
      <w:r w:rsidR="00332DED">
        <w:t xml:space="preserve">stated that there was evidence to support </w:t>
      </w:r>
      <w:r w:rsidR="00567038" w:rsidRPr="00002880">
        <w:t>th</w:t>
      </w:r>
      <w:r w:rsidR="00332DED">
        <w:t xml:space="preserve">e expectation that </w:t>
      </w:r>
      <w:r w:rsidR="00567038" w:rsidRPr="00002880">
        <w:t xml:space="preserve">all of its proposed </w:t>
      </w:r>
      <w:r w:rsidR="00002880" w:rsidRPr="00002880">
        <w:t xml:space="preserve">SPP </w:t>
      </w:r>
      <w:r w:rsidR="00521315">
        <w:t>programs would</w:t>
      </w:r>
      <w:r w:rsidR="00567038" w:rsidRPr="00002880">
        <w:t xml:space="preserve"> reduce storm-related outage times, as well as restoration costs.</w:t>
      </w:r>
      <w:r w:rsidR="001C4867">
        <w:t xml:space="preserve"> </w:t>
      </w:r>
      <w:r w:rsidR="00567038" w:rsidRPr="00002880">
        <w:t xml:space="preserve"> </w:t>
      </w:r>
    </w:p>
    <w:p w14:paraId="09D15B74" w14:textId="75207BD3" w:rsidR="00256426" w:rsidRDefault="00332DED" w:rsidP="00E82A48">
      <w:pPr>
        <w:spacing w:after="240"/>
        <w:ind w:firstLine="720"/>
        <w:jc w:val="both"/>
      </w:pPr>
      <w:r>
        <w:t xml:space="preserve">The </w:t>
      </w:r>
      <w:r w:rsidR="00DD4BCE">
        <w:t>Joint Parties</w:t>
      </w:r>
      <w:r>
        <w:t xml:space="preserve"> argued that</w:t>
      </w:r>
      <w:r w:rsidR="00F3755E">
        <w:t xml:space="preserve"> the following</w:t>
      </w:r>
      <w:r>
        <w:t xml:space="preserve"> </w:t>
      </w:r>
      <w:r w:rsidR="00F3755E">
        <w:t xml:space="preserve">programs in </w:t>
      </w:r>
      <w:r>
        <w:t>DEF</w:t>
      </w:r>
      <w:r w:rsidR="00F3755E">
        <w:t>’s SPP do not reduce restoration costs and outage times:</w:t>
      </w:r>
      <w:r>
        <w:t xml:space="preserve"> </w:t>
      </w:r>
      <w:r w:rsidR="00182A37" w:rsidRPr="00002880">
        <w:t>the U</w:t>
      </w:r>
      <w:r w:rsidR="00B567CA">
        <w:t>nderground</w:t>
      </w:r>
      <w:r w:rsidR="00182A37" w:rsidRPr="00002880">
        <w:t xml:space="preserve"> Flood Mitigation Program</w:t>
      </w:r>
      <w:r>
        <w:t>, which provided for the</w:t>
      </w:r>
      <w:r w:rsidR="00182A37" w:rsidRPr="00002880">
        <w:t xml:space="preserve"> replacement of aging infrastructure</w:t>
      </w:r>
      <w:r w:rsidR="00307351">
        <w:t>;</w:t>
      </w:r>
      <w:r w:rsidR="00F3755E">
        <w:t xml:space="preserve"> the </w:t>
      </w:r>
      <w:r w:rsidR="00F3755E" w:rsidRPr="00B33384">
        <w:t>Transmission Structure Hardening Program</w:t>
      </w:r>
      <w:r w:rsidR="00F3755E">
        <w:t xml:space="preserve"> and its </w:t>
      </w:r>
      <w:r w:rsidR="00F3755E" w:rsidRPr="00B33384">
        <w:t>sub-programs</w:t>
      </w:r>
      <w:r w:rsidR="00307351">
        <w:t>;</w:t>
      </w:r>
      <w:r w:rsidR="001D4904">
        <w:t xml:space="preserve"> and</w:t>
      </w:r>
      <w:r w:rsidR="00F3755E">
        <w:t xml:space="preserve"> the </w:t>
      </w:r>
      <w:r w:rsidR="00F3755E" w:rsidRPr="00B33384">
        <w:t xml:space="preserve">Transmission Loop Radial-Fed Substation </w:t>
      </w:r>
      <w:r w:rsidR="00F3755E">
        <w:t>(</w:t>
      </w:r>
      <w:r w:rsidR="00F3755E" w:rsidRPr="00B33384">
        <w:t>LRFS</w:t>
      </w:r>
      <w:r w:rsidR="00F3755E">
        <w:t>)</w:t>
      </w:r>
      <w:r w:rsidR="00F3755E" w:rsidRPr="00B33384">
        <w:t xml:space="preserve"> </w:t>
      </w:r>
      <w:r w:rsidR="00464F6F" w:rsidRPr="00217BBE">
        <w:t xml:space="preserve">Program. </w:t>
      </w:r>
    </w:p>
    <w:p w14:paraId="16F9107D" w14:textId="07832EC6" w:rsidR="00217BBE" w:rsidRDefault="00256426" w:rsidP="00E82A48">
      <w:pPr>
        <w:spacing w:after="240"/>
        <w:ind w:firstLine="720"/>
        <w:jc w:val="both"/>
      </w:pPr>
      <w:r w:rsidRPr="00BF642A">
        <w:rPr>
          <w:bCs/>
        </w:rPr>
        <w:t xml:space="preserve">The Joint Parties argued that </w:t>
      </w:r>
      <w:r>
        <w:rPr>
          <w:bCs/>
        </w:rPr>
        <w:t xml:space="preserve">the language within Rule </w:t>
      </w:r>
      <w:r w:rsidRPr="00BF642A">
        <w:rPr>
          <w:bCs/>
        </w:rPr>
        <w:t>25-6.030(3)(d), F.A.C., c</w:t>
      </w:r>
      <w:r>
        <w:rPr>
          <w:bCs/>
        </w:rPr>
        <w:t>reates</w:t>
      </w:r>
      <w:r w:rsidRPr="00BF642A">
        <w:rPr>
          <w:bCs/>
        </w:rPr>
        <w:t xml:space="preserve"> a “Two-Prong” test</w:t>
      </w:r>
      <w:r>
        <w:rPr>
          <w:bCs/>
        </w:rPr>
        <w:t>.</w:t>
      </w:r>
      <w:r w:rsidRPr="00BF642A">
        <w:rPr>
          <w:bCs/>
        </w:rPr>
        <w:t xml:space="preserve"> </w:t>
      </w:r>
      <w:r>
        <w:rPr>
          <w:bCs/>
        </w:rPr>
        <w:t xml:space="preserve"> This “test” does not explicitly exist in the SPP Rule or Statute.  The Joint Parties interpret the statute to</w:t>
      </w:r>
      <w:r w:rsidRPr="00BF642A">
        <w:rPr>
          <w:bCs/>
        </w:rPr>
        <w:t xml:space="preserve"> requir</w:t>
      </w:r>
      <w:r>
        <w:rPr>
          <w:bCs/>
        </w:rPr>
        <w:t>e an IOU to use quantitative data to demonstrate that</w:t>
      </w:r>
      <w:r w:rsidRPr="00BF642A">
        <w:rPr>
          <w:bCs/>
        </w:rPr>
        <w:t xml:space="preserve"> each program </w:t>
      </w:r>
      <w:r w:rsidR="004C1076">
        <w:rPr>
          <w:bCs/>
        </w:rPr>
        <w:t>wou</w:t>
      </w:r>
      <w:r>
        <w:rPr>
          <w:bCs/>
        </w:rPr>
        <w:t>l</w:t>
      </w:r>
      <w:r w:rsidR="004C1076">
        <w:rPr>
          <w:bCs/>
        </w:rPr>
        <w:t>d</w:t>
      </w:r>
      <w:r>
        <w:rPr>
          <w:bCs/>
        </w:rPr>
        <w:t xml:space="preserve"> result </w:t>
      </w:r>
      <w:r w:rsidRPr="008D6E46">
        <w:rPr>
          <w:bCs/>
        </w:rPr>
        <w:t>in a reduction in outage times and restoration costs.  As</w:t>
      </w:r>
      <w:r w:rsidRPr="00BF642A">
        <w:rPr>
          <w:bCs/>
        </w:rPr>
        <w:t xml:space="preserve"> part of its argument, the Joint Parties voiced concern that the </w:t>
      </w:r>
      <w:r>
        <w:rPr>
          <w:bCs/>
        </w:rPr>
        <w:t>U</w:t>
      </w:r>
      <w:r w:rsidRPr="00BF642A">
        <w:rPr>
          <w:bCs/>
        </w:rPr>
        <w:t>tility included general infrastructure work as part of its SPP, which instead should be recovered through base rates as part of normal routine maintenance.</w:t>
      </w:r>
      <w:r w:rsidR="00C7624E">
        <w:rPr>
          <w:bCs/>
        </w:rPr>
        <w:t xml:space="preserve">  </w:t>
      </w:r>
      <w:r w:rsidR="009B2DF9" w:rsidRPr="00217BBE">
        <w:t xml:space="preserve">Walmart adopted </w:t>
      </w:r>
      <w:r w:rsidR="00521315">
        <w:t>OPC</w:t>
      </w:r>
      <w:r w:rsidR="009B2DF9">
        <w:t>’</w:t>
      </w:r>
      <w:r w:rsidR="00521315">
        <w:t>s</w:t>
      </w:r>
      <w:r w:rsidR="009B2DF9" w:rsidRPr="00217BBE">
        <w:t xml:space="preserve"> position</w:t>
      </w:r>
      <w:r w:rsidR="009B2DF9">
        <w:t>.</w:t>
      </w:r>
    </w:p>
    <w:p w14:paraId="795FA6BD" w14:textId="77777777" w:rsidR="00182A37" w:rsidRPr="00ED1ADD" w:rsidRDefault="00ED1ADD" w:rsidP="00ED1ADD">
      <w:pPr>
        <w:pStyle w:val="ListParagraph"/>
        <w:numPr>
          <w:ilvl w:val="0"/>
          <w:numId w:val="9"/>
        </w:numPr>
        <w:spacing w:after="240"/>
        <w:outlineLvl w:val="2"/>
      </w:pPr>
      <w:r>
        <w:t>Analysis</w:t>
      </w:r>
    </w:p>
    <w:p w14:paraId="658C9911" w14:textId="24BB48B7" w:rsidR="00182A37" w:rsidRPr="00B33384" w:rsidRDefault="00182A37" w:rsidP="00691AF1">
      <w:pPr>
        <w:spacing w:after="240"/>
        <w:ind w:firstLine="720"/>
        <w:jc w:val="both"/>
        <w:outlineLvl w:val="2"/>
      </w:pPr>
      <w:r w:rsidRPr="00B33384">
        <w:t>S</w:t>
      </w:r>
      <w:r w:rsidR="0002059E">
        <w:t>ubs</w:t>
      </w:r>
      <w:r w:rsidRPr="00B33384">
        <w:t>ection 366.96(4)(a), F.S., states that when reviewing a utility’s transmission and distribution storm</w:t>
      </w:r>
      <w:r w:rsidR="00733928">
        <w:t xml:space="preserve"> protection plan, we</w:t>
      </w:r>
      <w:r w:rsidRPr="00B33384">
        <w:t xml:space="preserve"> shall consider the extent to which the plan is expected to reduce restoration costs and outage times associated with extreme weather events and enhance reliability, including whether the plan prioritizes areas of lower reliability performance.</w:t>
      </w:r>
      <w:r w:rsidR="001C4867">
        <w:t xml:space="preserve"> </w:t>
      </w:r>
      <w:r w:rsidRPr="00B33384">
        <w:t xml:space="preserve"> </w:t>
      </w:r>
      <w:r w:rsidR="00521315">
        <w:t>Rule 25-6.030(3)(d)</w:t>
      </w:r>
      <w:r w:rsidRPr="00B33384">
        <w:t>1</w:t>
      </w:r>
      <w:r w:rsidR="00521315">
        <w:t>.</w:t>
      </w:r>
      <w:r w:rsidRPr="00B33384">
        <w:t>, F.A.C, requires a utility to provide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14:paraId="5DD91D7B" w14:textId="4F85F29A" w:rsidR="00182A37" w:rsidRPr="00B33384" w:rsidRDefault="00182A37" w:rsidP="001230E1">
      <w:pPr>
        <w:spacing w:after="240"/>
        <w:ind w:firstLine="720"/>
        <w:jc w:val="both"/>
        <w:outlineLvl w:val="2"/>
      </w:pPr>
      <w:r w:rsidRPr="00B33384">
        <w:t xml:space="preserve">DEF </w:t>
      </w:r>
      <w:r w:rsidR="00C87964">
        <w:t>presented testimony</w:t>
      </w:r>
      <w:r w:rsidR="002B4316">
        <w:t xml:space="preserve"> </w:t>
      </w:r>
      <w:r w:rsidR="001D4904">
        <w:t xml:space="preserve">similar to </w:t>
      </w:r>
      <w:r w:rsidR="002B4316">
        <w:t>its</w:t>
      </w:r>
      <w:r w:rsidR="001D4904">
        <w:t xml:space="preserve"> 2020 SPP,</w:t>
      </w:r>
      <w:r w:rsidR="002B4316">
        <w:t xml:space="preserve"> </w:t>
      </w:r>
      <w:r w:rsidR="00C87964">
        <w:t xml:space="preserve">where </w:t>
      </w:r>
      <w:r w:rsidR="002B4316">
        <w:t>modeling and analysis was also</w:t>
      </w:r>
      <w:r w:rsidRPr="00B33384">
        <w:t xml:space="preserve"> utilized to support its 2023 SPP program evaluation</w:t>
      </w:r>
      <w:r w:rsidR="00A50662">
        <w:t xml:space="preserve"> and prioritization.</w:t>
      </w:r>
      <w:r w:rsidRPr="00B33384">
        <w:t xml:space="preserve"> </w:t>
      </w:r>
      <w:r w:rsidR="001C4867">
        <w:t xml:space="preserve"> </w:t>
      </w:r>
      <w:r w:rsidRPr="00B33384">
        <w:t xml:space="preserve">The </w:t>
      </w:r>
      <w:r w:rsidR="004C1076">
        <w:t>DEF</w:t>
      </w:r>
      <w:r w:rsidRPr="00B33384">
        <w:t xml:space="preserve"> model</w:t>
      </w:r>
      <w:r w:rsidR="004C1076">
        <w:t xml:space="preserve">, </w:t>
      </w:r>
      <w:r w:rsidR="004C1076">
        <w:lastRenderedPageBreak/>
        <w:t>developed by Guidehouse,</w:t>
      </w:r>
      <w:r w:rsidRPr="00B33384">
        <w:t xml:space="preserve"> applied a three-tiered</w:t>
      </w:r>
      <w:r w:rsidR="002B4316">
        <w:t xml:space="preserve"> modeling and analysis approach which is</w:t>
      </w:r>
      <w:r w:rsidRPr="00B33384">
        <w:t xml:space="preserve"> comprised of:</w:t>
      </w:r>
    </w:p>
    <w:p w14:paraId="6D4CDEA2" w14:textId="77777777" w:rsidR="00182A37" w:rsidRPr="00B33384" w:rsidRDefault="00182A37" w:rsidP="00182A37">
      <w:pPr>
        <w:pStyle w:val="ListParagraph"/>
        <w:numPr>
          <w:ilvl w:val="0"/>
          <w:numId w:val="2"/>
        </w:numPr>
        <w:jc w:val="both"/>
        <w:outlineLvl w:val="2"/>
      </w:pPr>
      <w:r w:rsidRPr="00B33384">
        <w:t>Risk Model</w:t>
      </w:r>
    </w:p>
    <w:p w14:paraId="3905DCB8" w14:textId="77777777" w:rsidR="00182A37" w:rsidRPr="00B33384" w:rsidRDefault="00182A37" w:rsidP="00182A37">
      <w:pPr>
        <w:pStyle w:val="ListParagraph"/>
        <w:numPr>
          <w:ilvl w:val="0"/>
          <w:numId w:val="2"/>
        </w:numPr>
        <w:jc w:val="both"/>
        <w:outlineLvl w:val="2"/>
      </w:pPr>
      <w:r w:rsidRPr="00B33384">
        <w:t>Prioritization / Benefit-Cost Analysis (BCA) Model</w:t>
      </w:r>
    </w:p>
    <w:p w14:paraId="30F16007" w14:textId="77777777" w:rsidR="00182A37" w:rsidRPr="00B33384" w:rsidRDefault="00182A37" w:rsidP="00A50662">
      <w:pPr>
        <w:pStyle w:val="ListParagraph"/>
        <w:numPr>
          <w:ilvl w:val="0"/>
          <w:numId w:val="2"/>
        </w:numPr>
        <w:spacing w:after="120"/>
        <w:jc w:val="both"/>
        <w:outlineLvl w:val="2"/>
      </w:pPr>
      <w:r w:rsidRPr="00B33384">
        <w:t>Decision Analysis</w:t>
      </w:r>
    </w:p>
    <w:p w14:paraId="36FDB693" w14:textId="43E40163" w:rsidR="00182A37" w:rsidRDefault="00182A37" w:rsidP="004C1076">
      <w:pPr>
        <w:spacing w:after="240"/>
        <w:jc w:val="both"/>
        <w:outlineLvl w:val="2"/>
      </w:pPr>
      <w:r w:rsidRPr="00B33384">
        <w:t xml:space="preserve">The inputs to the model incorporated locational risk probabilities, outage data, asset data, and detailed program definitions. </w:t>
      </w:r>
      <w:r w:rsidR="001C4867">
        <w:t xml:space="preserve"> </w:t>
      </w:r>
      <w:r w:rsidR="00521315">
        <w:t>This information was</w:t>
      </w:r>
      <w:r w:rsidRPr="00B33384">
        <w:t xml:space="preserve"> used to model the locational impacts of extreme weather conditions and the anticipated reduction in restoration cost</w:t>
      </w:r>
      <w:r w:rsidR="00A50662">
        <w:t>s and outage times.</w:t>
      </w:r>
      <w:r w:rsidRPr="00B33384">
        <w:t xml:space="preserve"> </w:t>
      </w:r>
      <w:r w:rsidR="001C4867">
        <w:t xml:space="preserve"> </w:t>
      </w:r>
      <w:r w:rsidRPr="00B33384">
        <w:t>The estimated reductions in outage times and restoration costs were provided in DEF’s SPP on</w:t>
      </w:r>
      <w:r w:rsidR="00A50662">
        <w:t xml:space="preserve"> a program-level basis.</w:t>
      </w:r>
      <w:r w:rsidR="00D460A1">
        <w:t xml:space="preserve"> </w:t>
      </w:r>
      <w:r w:rsidRPr="00B33384">
        <w:t xml:space="preserve"> For the outage times, </w:t>
      </w:r>
      <w:r w:rsidR="001D4904">
        <w:t xml:space="preserve">DEF </w:t>
      </w:r>
      <w:r w:rsidRPr="00B33384">
        <w:t>witness Lloyd testified that customer minutes of interruption (CMI) were used as</w:t>
      </w:r>
      <w:r w:rsidR="00A50662">
        <w:t xml:space="preserve"> a proxy for duration.</w:t>
      </w:r>
      <w:r w:rsidRPr="00B33384">
        <w:t xml:space="preserve"> </w:t>
      </w:r>
      <w:r w:rsidR="001C4867">
        <w:t xml:space="preserve"> </w:t>
      </w:r>
      <w:r w:rsidRPr="00B33384">
        <w:t>DEF estimated that once a program is complete, the reduction in CMI for each program will range between approximately 900,000 to 439 million minutes annually, de</w:t>
      </w:r>
      <w:r w:rsidR="00A50662">
        <w:t>pending on the program.</w:t>
      </w:r>
    </w:p>
    <w:p w14:paraId="3E51EA90" w14:textId="6BD74D2D" w:rsidR="00945623" w:rsidRDefault="00945623" w:rsidP="00945623">
      <w:pPr>
        <w:spacing w:after="240"/>
        <w:ind w:firstLine="720"/>
        <w:jc w:val="both"/>
        <w:outlineLvl w:val="2"/>
      </w:pPr>
      <w:r>
        <w:t xml:space="preserve">DEF presented evidence that its </w:t>
      </w:r>
      <w:r w:rsidR="00464F6F">
        <w:t xml:space="preserve">SPP </w:t>
      </w:r>
      <w:r w:rsidR="004C1076">
        <w:t>wou</w:t>
      </w:r>
      <w:r w:rsidR="00464F6F" w:rsidRPr="00B33384">
        <w:t>l</w:t>
      </w:r>
      <w:r w:rsidR="004C1076">
        <w:t>d</w:t>
      </w:r>
      <w:r w:rsidRPr="00B33384">
        <w:t xml:space="preserve"> mitigate the risk of flood damage to vulnerable substations</w:t>
      </w:r>
      <w:r>
        <w:t xml:space="preserve"> to </w:t>
      </w:r>
      <w:r w:rsidRPr="00B33384">
        <w:t xml:space="preserve">reduce both restoration costs and outages. </w:t>
      </w:r>
      <w:r>
        <w:t xml:space="preserve"> </w:t>
      </w:r>
      <w:r w:rsidRPr="00B33384">
        <w:t xml:space="preserve">Further, DEF </w:t>
      </w:r>
      <w:r>
        <w:t>presented testimony</w:t>
      </w:r>
      <w:r w:rsidRPr="00B33384">
        <w:t xml:space="preserve"> that its system was built to existing standa</w:t>
      </w:r>
      <w:r w:rsidR="00307351">
        <w:t>rds at the time of construction</w:t>
      </w:r>
      <w:r w:rsidRPr="00B33384">
        <w:t xml:space="preserve"> and </w:t>
      </w:r>
      <w:r w:rsidR="00E62EDD">
        <w:t xml:space="preserve">that it </w:t>
      </w:r>
      <w:r w:rsidRPr="00B33384">
        <w:t>continues to assess vulnerable areas by utilizing updated F</w:t>
      </w:r>
      <w:r w:rsidR="00EA4E24">
        <w:t xml:space="preserve">ederal </w:t>
      </w:r>
      <w:r w:rsidRPr="00B33384">
        <w:t>E</w:t>
      </w:r>
      <w:r w:rsidR="00EA4E24">
        <w:t xml:space="preserve">mergency </w:t>
      </w:r>
      <w:r w:rsidRPr="00B33384">
        <w:t>M</w:t>
      </w:r>
      <w:r w:rsidR="00EA4E24">
        <w:t xml:space="preserve">anagement </w:t>
      </w:r>
      <w:r w:rsidRPr="00B33384">
        <w:t>A</w:t>
      </w:r>
      <w:r w:rsidR="00EA4E24">
        <w:t>gency (FEMA)</w:t>
      </w:r>
      <w:r w:rsidRPr="00B33384">
        <w:t xml:space="preserve"> flood plains and ove</w:t>
      </w:r>
      <w:r>
        <w:t>r 200 years of storm data.</w:t>
      </w:r>
      <w:r w:rsidRPr="00F3755E">
        <w:t xml:space="preserve"> </w:t>
      </w:r>
    </w:p>
    <w:p w14:paraId="67A062E3" w14:textId="06181870" w:rsidR="00E907E0" w:rsidRDefault="00945623" w:rsidP="00E82A48">
      <w:pPr>
        <w:spacing w:after="240"/>
        <w:ind w:firstLine="720"/>
        <w:jc w:val="both"/>
      </w:pPr>
      <w:r w:rsidRPr="00B33384">
        <w:t xml:space="preserve">DEF </w:t>
      </w:r>
      <w:r>
        <w:t>also presented evidence</w:t>
      </w:r>
      <w:r w:rsidRPr="00B33384">
        <w:t xml:space="preserve"> </w:t>
      </w:r>
      <w:r>
        <w:t>in support of its</w:t>
      </w:r>
      <w:r w:rsidRPr="00B33384">
        <w:t xml:space="preserve"> Transmission Structure Hardening Program,</w:t>
      </w:r>
      <w:r>
        <w:t xml:space="preserve"> which showed</w:t>
      </w:r>
      <w:r w:rsidRPr="00B33384">
        <w:t xml:space="preserve"> that </w:t>
      </w:r>
      <w:r w:rsidR="00E62EDD">
        <w:t>the Program</w:t>
      </w:r>
      <w:r>
        <w:t xml:space="preserve"> </w:t>
      </w:r>
      <w:r w:rsidRPr="00B33384">
        <w:t>provide</w:t>
      </w:r>
      <w:r>
        <w:t>d</w:t>
      </w:r>
      <w:r w:rsidRPr="00B33384">
        <w:t xml:space="preserve"> quantifiable reductions in restoration costs and outage times</w:t>
      </w:r>
      <w:r>
        <w:t>.</w:t>
      </w:r>
      <w:r w:rsidR="00D460A1">
        <w:t xml:space="preserve"> </w:t>
      </w:r>
      <w:r>
        <w:t xml:space="preserve"> DEF presented evidence that each sub-program of the </w:t>
      </w:r>
      <w:r w:rsidRPr="00B33384">
        <w:t>Transmission Structure Hardening Program</w:t>
      </w:r>
      <w:r w:rsidR="00521315">
        <w:t xml:space="preserve"> provided</w:t>
      </w:r>
      <w:r>
        <w:t xml:space="preserve"> similar benefits. </w:t>
      </w:r>
      <w:r w:rsidR="00D460A1">
        <w:t xml:space="preserve"> </w:t>
      </w:r>
      <w:r>
        <w:t xml:space="preserve">In response to arguments made by the Joint Parties, </w:t>
      </w:r>
      <w:r w:rsidRPr="00B33384">
        <w:t xml:space="preserve">DEF </w:t>
      </w:r>
      <w:r>
        <w:t>also presented evidence</w:t>
      </w:r>
      <w:r w:rsidRPr="00B33384">
        <w:t xml:space="preserve"> that the Transmission LRFS Program creates a more networked, resilient system that will reduce customer outages and </w:t>
      </w:r>
      <w:r>
        <w:t xml:space="preserve">restoration costs. </w:t>
      </w:r>
      <w:r w:rsidRPr="00B33384">
        <w:t xml:space="preserve"> </w:t>
      </w:r>
      <w:r w:rsidR="00EA4E24">
        <w:t xml:space="preserve">We discuss the Transmission LRFS Program in further detail in Section VII below.  </w:t>
      </w:r>
      <w:r w:rsidRPr="00B33384">
        <w:t xml:space="preserve">DEF </w:t>
      </w:r>
      <w:r>
        <w:t xml:space="preserve">offered </w:t>
      </w:r>
      <w:r w:rsidR="00464F6F">
        <w:t>testimony</w:t>
      </w:r>
      <w:r>
        <w:t xml:space="preserve"> that </w:t>
      </w:r>
      <w:r w:rsidRPr="00B33384">
        <w:t>its Transmission Substation Hardening Program targets assets that ar</w:t>
      </w:r>
      <w:r w:rsidR="00521315">
        <w:t>e more vulnerable to failure</w:t>
      </w:r>
      <w:r w:rsidRPr="00B33384">
        <w:t xml:space="preserve"> by speeding up restoration times</w:t>
      </w:r>
      <w:r w:rsidR="00824825">
        <w:t xml:space="preserve"> </w:t>
      </w:r>
      <w:r>
        <w:t>and will</w:t>
      </w:r>
      <w:r w:rsidR="00824825">
        <w:t>,</w:t>
      </w:r>
      <w:r>
        <w:t xml:space="preserve"> </w:t>
      </w:r>
      <w:r w:rsidR="00464F6F">
        <w:t>therefore</w:t>
      </w:r>
      <w:r w:rsidR="00824825">
        <w:t>,</w:t>
      </w:r>
      <w:r w:rsidR="00464F6F">
        <w:t xml:space="preserve"> </w:t>
      </w:r>
      <w:r w:rsidR="00464F6F" w:rsidRPr="00B33384">
        <w:t>reduce</w:t>
      </w:r>
      <w:r w:rsidRPr="00B33384">
        <w:t xml:space="preserve"> restoration costs in the form of reduced co</w:t>
      </w:r>
      <w:r>
        <w:t xml:space="preserve">ntractor payments. </w:t>
      </w:r>
    </w:p>
    <w:p w14:paraId="5098CE5E" w14:textId="04B68813" w:rsidR="00D94775" w:rsidRDefault="00256426" w:rsidP="005C0680">
      <w:pPr>
        <w:spacing w:after="240"/>
        <w:ind w:firstLine="720"/>
        <w:jc w:val="both"/>
      </w:pPr>
      <w:r>
        <w:rPr>
          <w:bCs/>
        </w:rPr>
        <w:t>We do not find support for th</w:t>
      </w:r>
      <w:r w:rsidR="00DB6A02">
        <w:rPr>
          <w:bCs/>
        </w:rPr>
        <w:t>e imposition of OPC’s “Two-P</w:t>
      </w:r>
      <w:r>
        <w:rPr>
          <w:bCs/>
        </w:rPr>
        <w:t xml:space="preserve">rong” test that would require that </w:t>
      </w:r>
      <w:r w:rsidR="00B33EC9">
        <w:rPr>
          <w:bCs/>
        </w:rPr>
        <w:t xml:space="preserve">an SPP or </w:t>
      </w:r>
      <w:r>
        <w:rPr>
          <w:bCs/>
        </w:rPr>
        <w:t xml:space="preserve">each program </w:t>
      </w:r>
      <w:r w:rsidR="00B33EC9">
        <w:rPr>
          <w:bCs/>
        </w:rPr>
        <w:t xml:space="preserve">in a SPP </w:t>
      </w:r>
      <w:r w:rsidR="001361F5">
        <w:rPr>
          <w:bCs/>
        </w:rPr>
        <w:t>provide a quantified showing to</w:t>
      </w:r>
      <w:r>
        <w:rPr>
          <w:bCs/>
        </w:rPr>
        <w:t xml:space="preserve"> reduce </w:t>
      </w:r>
      <w:r w:rsidRPr="0095575C">
        <w:rPr>
          <w:bCs/>
        </w:rPr>
        <w:t>both</w:t>
      </w:r>
      <w:r>
        <w:rPr>
          <w:bCs/>
        </w:rPr>
        <w:t xml:space="preserve"> restoration costs </w:t>
      </w:r>
      <w:r w:rsidRPr="0095575C">
        <w:rPr>
          <w:bCs/>
        </w:rPr>
        <w:t>and</w:t>
      </w:r>
      <w:r>
        <w:rPr>
          <w:bCs/>
        </w:rPr>
        <w:t xml:space="preserve"> outage time</w:t>
      </w:r>
      <w:r w:rsidR="0048599B">
        <w:rPr>
          <w:bCs/>
        </w:rPr>
        <w:t>s.</w:t>
      </w:r>
      <w:r w:rsidR="00DA2932">
        <w:rPr>
          <w:bCs/>
        </w:rPr>
        <w:t xml:space="preserve">  </w:t>
      </w:r>
      <w:r w:rsidR="00ED6F32">
        <w:t>By utilizing</w:t>
      </w:r>
      <w:r w:rsidR="00182A37" w:rsidRPr="00B33384">
        <w:t xml:space="preserve"> the Guidehouse model to incorporate data </w:t>
      </w:r>
      <w:r w:rsidR="00521315">
        <w:t>specific information about</w:t>
      </w:r>
      <w:r w:rsidR="00182A37" w:rsidRPr="00B33384">
        <w:t xml:space="preserve"> its transmission and distribution facilities, </w:t>
      </w:r>
      <w:r w:rsidR="00B33EC9">
        <w:t xml:space="preserve">DEF was able to provide estimates of both </w:t>
      </w:r>
      <w:r w:rsidR="00182A37" w:rsidRPr="00B33384">
        <w:t>the reduction in outage times and restoration costs that would result from the implementation of its proposed SPP programs.</w:t>
      </w:r>
      <w:r w:rsidR="001C4867">
        <w:t xml:space="preserve"> </w:t>
      </w:r>
      <w:r w:rsidR="00182A37" w:rsidRPr="00B33384">
        <w:t xml:space="preserve"> Based on the results of the model, DEF demonstrated that its proposed programs </w:t>
      </w:r>
      <w:r w:rsidR="00867525" w:rsidRPr="00B33384">
        <w:t xml:space="preserve">are projected to </w:t>
      </w:r>
      <w:r w:rsidR="00182A37" w:rsidRPr="00B33384">
        <w:t>reduce restoration costs and outage times associated with extreme weather events and enhance reliability.</w:t>
      </w:r>
    </w:p>
    <w:p w14:paraId="527D51C1" w14:textId="77777777" w:rsidR="00D94775" w:rsidRDefault="00ED1ADD" w:rsidP="00D94775">
      <w:pPr>
        <w:pStyle w:val="ListParagraph"/>
        <w:numPr>
          <w:ilvl w:val="0"/>
          <w:numId w:val="9"/>
        </w:numPr>
        <w:spacing w:after="240"/>
      </w:pPr>
      <w:r w:rsidRPr="008728AD">
        <w:t>Conclusion</w:t>
      </w:r>
    </w:p>
    <w:p w14:paraId="320E2AAC" w14:textId="0041A3CB" w:rsidR="00950059" w:rsidRDefault="00E30D94" w:rsidP="00D94775">
      <w:pPr>
        <w:spacing w:after="240"/>
        <w:ind w:firstLine="720"/>
      </w:pPr>
      <w:r>
        <w:t>DEF’s</w:t>
      </w:r>
      <w:r w:rsidR="00D850F7">
        <w:t xml:space="preserve"> SPP is projected to reduce restoration costs an</w:t>
      </w:r>
      <w:r w:rsidR="00521315">
        <w:t>d</w:t>
      </w:r>
      <w:r w:rsidR="00D850F7">
        <w:t xml:space="preserve"> outage time</w:t>
      </w:r>
      <w:r w:rsidR="001361F5">
        <w:t>s</w:t>
      </w:r>
      <w:r w:rsidR="00D94775">
        <w:t xml:space="preserve"> associated with </w:t>
      </w:r>
      <w:r w:rsidR="00D850F7">
        <w:t>extreme weather events and enhance reliability.</w:t>
      </w:r>
    </w:p>
    <w:p w14:paraId="6487D0CA" w14:textId="77777777" w:rsidR="00256426" w:rsidRDefault="00256426" w:rsidP="00262669">
      <w:pPr>
        <w:ind w:firstLine="720"/>
        <w:jc w:val="both"/>
      </w:pPr>
    </w:p>
    <w:p w14:paraId="4961BA16" w14:textId="77777777" w:rsidR="00ED1ADD" w:rsidRPr="00B33384" w:rsidRDefault="000E0273" w:rsidP="00B567CA">
      <w:pPr>
        <w:spacing w:after="240"/>
        <w:ind w:left="720" w:hanging="720"/>
        <w:jc w:val="both"/>
      </w:pPr>
      <w:r>
        <w:rPr>
          <w:b/>
          <w:bCs/>
        </w:rPr>
        <w:t>III.</w:t>
      </w:r>
      <w:r>
        <w:rPr>
          <w:b/>
          <w:bCs/>
        </w:rPr>
        <w:tab/>
      </w:r>
      <w:r w:rsidR="009209F0">
        <w:rPr>
          <w:b/>
          <w:bCs/>
        </w:rPr>
        <w:t xml:space="preserve">Does </w:t>
      </w:r>
      <w:r w:rsidRPr="000E0273">
        <w:rPr>
          <w:b/>
          <w:bCs/>
        </w:rPr>
        <w:t>DEF’s SPP prioritize areas of lower reliability performance?</w:t>
      </w:r>
    </w:p>
    <w:p w14:paraId="452CBCA0" w14:textId="77777777" w:rsidR="00ED1ADD" w:rsidRPr="00ED1ADD" w:rsidRDefault="00ED1ADD" w:rsidP="00ED1ADD">
      <w:pPr>
        <w:pStyle w:val="ListParagraph"/>
        <w:numPr>
          <w:ilvl w:val="0"/>
          <w:numId w:val="10"/>
        </w:numPr>
        <w:spacing w:after="240"/>
        <w:jc w:val="both"/>
        <w:outlineLvl w:val="1"/>
        <w:rPr>
          <w:bCs/>
          <w:iCs/>
          <w:szCs w:val="28"/>
        </w:rPr>
      </w:pPr>
      <w:r>
        <w:rPr>
          <w:bCs/>
          <w:iCs/>
          <w:szCs w:val="28"/>
        </w:rPr>
        <w:t>Parties’ Arguments</w:t>
      </w:r>
    </w:p>
    <w:p w14:paraId="604D2FC6" w14:textId="77777777" w:rsidR="00093AD4" w:rsidRDefault="00C01991" w:rsidP="00190292">
      <w:pPr>
        <w:autoSpaceDE w:val="0"/>
        <w:autoSpaceDN w:val="0"/>
        <w:adjustRightInd w:val="0"/>
        <w:ind w:firstLine="720"/>
        <w:jc w:val="both"/>
        <w:rPr>
          <w:bCs/>
          <w:lang w:bidi="en-US"/>
        </w:rPr>
      </w:pPr>
      <w:r>
        <w:rPr>
          <w:bCs/>
          <w:lang w:bidi="en-US"/>
        </w:rPr>
        <w:t>DEF noted that t</w:t>
      </w:r>
      <w:r w:rsidR="003B733B" w:rsidRPr="00B33384">
        <w:rPr>
          <w:bCs/>
          <w:lang w:bidi="en-US"/>
        </w:rPr>
        <w:t>he prioritization methodology for each SPP Program includes the “Probability of Damage” from extreme weather events for each major asset component. Historical reliability performance of these assets is correlated with simulated future weather exposure conditions.</w:t>
      </w:r>
      <w:r w:rsidR="001C4867">
        <w:rPr>
          <w:bCs/>
          <w:lang w:bidi="en-US"/>
        </w:rPr>
        <w:t xml:space="preserve"> </w:t>
      </w:r>
      <w:r w:rsidR="003B733B" w:rsidRPr="00B33384">
        <w:rPr>
          <w:bCs/>
          <w:lang w:bidi="en-US"/>
        </w:rPr>
        <w:t xml:space="preserve"> This technique prioritizes areas of lower reliability performance. </w:t>
      </w:r>
      <w:r w:rsidR="00190292">
        <w:rPr>
          <w:bCs/>
          <w:lang w:bidi="en-US"/>
        </w:rPr>
        <w:t xml:space="preserve"> </w:t>
      </w:r>
    </w:p>
    <w:p w14:paraId="0C2E9D1E" w14:textId="77777777" w:rsidR="00093AD4" w:rsidRDefault="00093AD4" w:rsidP="00190292">
      <w:pPr>
        <w:autoSpaceDE w:val="0"/>
        <w:autoSpaceDN w:val="0"/>
        <w:adjustRightInd w:val="0"/>
        <w:ind w:firstLine="720"/>
        <w:jc w:val="both"/>
        <w:rPr>
          <w:bCs/>
          <w:lang w:bidi="en-US"/>
        </w:rPr>
      </w:pPr>
    </w:p>
    <w:p w14:paraId="734E47BC" w14:textId="2B00F371" w:rsidR="00093AD4" w:rsidRPr="00B33384" w:rsidRDefault="00521315" w:rsidP="00E82A48">
      <w:pPr>
        <w:spacing w:after="240"/>
        <w:ind w:firstLine="720"/>
        <w:jc w:val="both"/>
        <w:outlineLvl w:val="2"/>
      </w:pPr>
      <w:r>
        <w:t>At the hearing,</w:t>
      </w:r>
      <w:r w:rsidR="00093AD4">
        <w:t xml:space="preserve"> </w:t>
      </w:r>
      <w:r w:rsidR="001D4904">
        <w:t>OPC’s</w:t>
      </w:r>
      <w:r w:rsidR="00093AD4">
        <w:t xml:space="preserve"> </w:t>
      </w:r>
      <w:r w:rsidR="00093AD4" w:rsidRPr="00B33384">
        <w:t>witness Mara testified that a higher priority should be placed on equipment that is most vulnerable to extreme storms, such as feeders, laterals, and poles, which provides greater benefit in the early st</w:t>
      </w:r>
      <w:r w:rsidR="00093AD4">
        <w:t>ages of implementation.</w:t>
      </w:r>
      <w:r w:rsidR="00093AD4" w:rsidRPr="00B33384">
        <w:t xml:space="preserve"> </w:t>
      </w:r>
      <w:r w:rsidR="00093AD4">
        <w:t xml:space="preserve"> </w:t>
      </w:r>
      <w:r w:rsidR="00093AD4" w:rsidRPr="00B33384">
        <w:t xml:space="preserve">Witness Mara </w:t>
      </w:r>
      <w:r w:rsidR="00093AD4">
        <w:t xml:space="preserve">stated that if </w:t>
      </w:r>
      <w:r>
        <w:t>DEF</w:t>
      </w:r>
      <w:r w:rsidR="00093AD4" w:rsidRPr="00B33384">
        <w:t xml:space="preserve"> </w:t>
      </w:r>
      <w:r w:rsidR="00093AD4">
        <w:t xml:space="preserve">placed </w:t>
      </w:r>
      <w:r w:rsidR="00093AD4" w:rsidRPr="00B33384">
        <w:t>a higher priority on strengthening radial taps, the proposed looped transmission lines</w:t>
      </w:r>
      <w:r w:rsidR="00F7375B">
        <w:t xml:space="preserve"> (LFRS)</w:t>
      </w:r>
      <w:r w:rsidR="00093AD4" w:rsidRPr="00B33384">
        <w:t xml:space="preserve"> </w:t>
      </w:r>
      <w:r w:rsidR="00093AD4">
        <w:t>w</w:t>
      </w:r>
      <w:r w:rsidR="003D6FCB">
        <w:t>ere</w:t>
      </w:r>
      <w:r w:rsidR="00093AD4" w:rsidRPr="00B33384">
        <w:t xml:space="preserve"> not necessary to ac</w:t>
      </w:r>
      <w:r w:rsidR="00093AD4">
        <w:t xml:space="preserve">hieve storm hardening. </w:t>
      </w:r>
      <w:r w:rsidR="00D94775">
        <w:t xml:space="preserve"> </w:t>
      </w:r>
      <w:r w:rsidR="00093AD4">
        <w:t>Nonetheless, in their joint brief,</w:t>
      </w:r>
      <w:r w:rsidR="00E82A48">
        <w:t xml:space="preserve"> </w:t>
      </w:r>
      <w:r w:rsidR="00093AD4">
        <w:t>t</w:t>
      </w:r>
      <w:r w:rsidR="00C01991">
        <w:t>he Joint Parties</w:t>
      </w:r>
      <w:r w:rsidR="00190292">
        <w:t xml:space="preserve"> do not take significant issue with DEF’s geographic prioritization efforts.  </w:t>
      </w:r>
      <w:r w:rsidR="00FA3904">
        <w:t>Walmart adopted th</w:t>
      </w:r>
      <w:r w:rsidR="00190292">
        <w:t>is</w:t>
      </w:r>
      <w:r w:rsidR="00FA3904">
        <w:t xml:space="preserve"> position.</w:t>
      </w:r>
      <w:r w:rsidR="00190292">
        <w:t xml:space="preserve"> </w:t>
      </w:r>
    </w:p>
    <w:p w14:paraId="1D22EE36" w14:textId="77777777" w:rsidR="003B733B" w:rsidRPr="00ED1ADD" w:rsidRDefault="00ED1ADD" w:rsidP="00ED1ADD">
      <w:pPr>
        <w:pStyle w:val="ListParagraph"/>
        <w:numPr>
          <w:ilvl w:val="0"/>
          <w:numId w:val="10"/>
        </w:numPr>
        <w:spacing w:after="240"/>
        <w:outlineLvl w:val="2"/>
      </w:pPr>
      <w:r>
        <w:t>Analysis</w:t>
      </w:r>
    </w:p>
    <w:p w14:paraId="60194B48" w14:textId="16B9F573" w:rsidR="003B733B" w:rsidRPr="00B33384" w:rsidRDefault="003B733B" w:rsidP="00FA3904">
      <w:pPr>
        <w:spacing w:after="240"/>
        <w:ind w:firstLine="720"/>
        <w:jc w:val="both"/>
        <w:outlineLvl w:val="2"/>
      </w:pPr>
      <w:r w:rsidRPr="00B33384">
        <w:t>S</w:t>
      </w:r>
      <w:r w:rsidR="0002059E">
        <w:t>ubs</w:t>
      </w:r>
      <w:r w:rsidRPr="00B33384">
        <w:t xml:space="preserve">ection 366.96(4)(a), F.S., </w:t>
      </w:r>
      <w:r w:rsidR="009712BD">
        <w:t>provides</w:t>
      </w:r>
      <w:r w:rsidR="009712BD" w:rsidRPr="00B33384">
        <w:t xml:space="preserve"> </w:t>
      </w:r>
      <w:r w:rsidRPr="00B33384">
        <w:t>that when reviewing a utility’s transmission and distribution storm</w:t>
      </w:r>
      <w:r w:rsidR="00733928">
        <w:t xml:space="preserve"> protection plan, we</w:t>
      </w:r>
      <w:r w:rsidRPr="00B33384">
        <w:t xml:space="preserve"> shall consider whether the </w:t>
      </w:r>
      <w:bookmarkStart w:id="7" w:name="_Hlk112003410"/>
      <w:r w:rsidRPr="00B33384">
        <w:t>plan prioritizes areas of lower reliability performance</w:t>
      </w:r>
      <w:bookmarkEnd w:id="7"/>
      <w:r w:rsidRPr="00B33384">
        <w:t xml:space="preserve">. </w:t>
      </w:r>
      <w:r w:rsidR="001C4867">
        <w:t xml:space="preserve"> </w:t>
      </w:r>
      <w:r w:rsidRPr="00B33384">
        <w:t>Rule 25-6.030(3)(e)1.d</w:t>
      </w:r>
      <w:r w:rsidR="00521315">
        <w:t>.</w:t>
      </w:r>
      <w:r w:rsidRPr="00B33384">
        <w:t>, F.A.C., requires a description of the criteria used to select and prioritize proposed SPP projects be provided.</w:t>
      </w:r>
    </w:p>
    <w:p w14:paraId="67AED877" w14:textId="1738C139" w:rsidR="003B733B" w:rsidRPr="00B33384" w:rsidRDefault="001361F5" w:rsidP="00D94775">
      <w:pPr>
        <w:spacing w:after="240"/>
        <w:ind w:firstLine="720"/>
        <w:jc w:val="both"/>
        <w:outlineLvl w:val="2"/>
      </w:pPr>
      <w:r>
        <w:t>DEF w</w:t>
      </w:r>
      <w:r w:rsidR="003B733B" w:rsidRPr="00B33384">
        <w:t>itness Lloyd testified that</w:t>
      </w:r>
      <w:r w:rsidR="004C1076">
        <w:t xml:space="preserve"> DEF used the Guidehouse Model described in Section II above to evaluate and prioritize the areas of lower reliability performance.  </w:t>
      </w:r>
      <w:r w:rsidR="003B733B" w:rsidRPr="00B33384">
        <w:t xml:space="preserve">For the risk model and prioritization, a range of information at each location was utilized including asset data, historic outage data, risk data, and National Oceanic and Atmospheric Administration (NOAA) weather station data. </w:t>
      </w:r>
      <w:r w:rsidR="001C4867">
        <w:t xml:space="preserve"> </w:t>
      </w:r>
      <w:r w:rsidR="003B733B" w:rsidRPr="00B33384">
        <w:t>Using th</w:t>
      </w:r>
      <w:r w:rsidR="00307351">
        <w:t>is information, the Guidehouse M</w:t>
      </w:r>
      <w:r w:rsidR="003B733B" w:rsidRPr="00B33384">
        <w:t>odel estimated the probabilistic failures before and after the storm hardening programs</w:t>
      </w:r>
      <w:r w:rsidR="00047498">
        <w:t xml:space="preserve"> were implemented.</w:t>
      </w:r>
    </w:p>
    <w:p w14:paraId="39B333CF" w14:textId="7515C824" w:rsidR="003B733B" w:rsidRPr="00B33384" w:rsidRDefault="00307351" w:rsidP="00190292">
      <w:pPr>
        <w:spacing w:after="240"/>
        <w:ind w:firstLine="720"/>
        <w:jc w:val="both"/>
        <w:outlineLvl w:val="2"/>
      </w:pPr>
      <w:r>
        <w:t>The BCA M</w:t>
      </w:r>
      <w:r w:rsidR="003B733B" w:rsidRPr="00B33384">
        <w:t>odel uses outputs from the risk model and other information to analyze the benefits and costs for each combination of pro</w:t>
      </w:r>
      <w:r w:rsidR="00047498">
        <w:t>gram and location.</w:t>
      </w:r>
      <w:r w:rsidR="003B733B" w:rsidRPr="00B33384">
        <w:t xml:space="preserve"> </w:t>
      </w:r>
      <w:r w:rsidR="001C4867">
        <w:t xml:space="preserve"> </w:t>
      </w:r>
      <w:r w:rsidR="003B733B" w:rsidRPr="00B33384">
        <w:t>The BCA results were used for prioritization and for the deployment pla</w:t>
      </w:r>
      <w:r w:rsidR="00047498">
        <w:t>n of the programs.</w:t>
      </w:r>
      <w:r w:rsidR="003B733B" w:rsidRPr="00B33384">
        <w:t xml:space="preserve"> </w:t>
      </w:r>
      <w:r w:rsidR="001C4867">
        <w:t xml:space="preserve"> </w:t>
      </w:r>
      <w:r w:rsidR="003B733B" w:rsidRPr="00B33384">
        <w:t xml:space="preserve">Based on the BCA results, a decision analysis was performed which was a high-level prioritization of projects. </w:t>
      </w:r>
      <w:r w:rsidR="001C4867">
        <w:t xml:space="preserve"> </w:t>
      </w:r>
      <w:r w:rsidR="003B733B" w:rsidRPr="00B33384">
        <w:t>However, this high-level prioritization did not account for constraints like work crew availability, site-specific engineering considerations, and other prior</w:t>
      </w:r>
      <w:r w:rsidR="00047498">
        <w:t>itization factors.</w:t>
      </w:r>
      <w:r w:rsidR="001C4867">
        <w:t xml:space="preserve"> </w:t>
      </w:r>
      <w:r w:rsidR="003B733B" w:rsidRPr="00B33384">
        <w:t xml:space="preserve"> Therefore, utilizing the results of the model, as well as taking into account factors such as multiple projects in the same area, critical customers, operational knowledge, and resource availability, DEF’s subject matter experts were able to optimize the deployment</w:t>
      </w:r>
      <w:r w:rsidR="00047498">
        <w:t xml:space="preserve"> plan.</w:t>
      </w:r>
    </w:p>
    <w:p w14:paraId="46C57B6A" w14:textId="77777777" w:rsidR="00F7375B" w:rsidRDefault="003B733B" w:rsidP="00F7375B">
      <w:pPr>
        <w:ind w:firstLine="720"/>
        <w:jc w:val="both"/>
        <w:outlineLvl w:val="2"/>
      </w:pPr>
      <w:r w:rsidRPr="00B33384">
        <w:t>DEF witness Lloyd testified that DEF first prioritized projects in the most vulnerable ar</w:t>
      </w:r>
      <w:r w:rsidR="000E0273">
        <w:t xml:space="preserve">eas. </w:t>
      </w:r>
      <w:r w:rsidR="001C4867">
        <w:t xml:space="preserve"> </w:t>
      </w:r>
      <w:r w:rsidRPr="00B33384">
        <w:t xml:space="preserve">Nevertheless, customers who are served by circuits that are less vulnerable can still be impacted by extreme weather events. </w:t>
      </w:r>
      <w:r w:rsidR="001C4867">
        <w:t xml:space="preserve"> </w:t>
      </w:r>
      <w:r w:rsidRPr="00B33384">
        <w:t xml:space="preserve">Witness Lloyd asserted that these types of customers “should have the opportunity for their circuits to be hardened even if the benefits to cost ratio is </w:t>
      </w:r>
      <w:r w:rsidRPr="00B33384">
        <w:lastRenderedPageBreak/>
        <w:t xml:space="preserve">lower than higher </w:t>
      </w:r>
      <w:r w:rsidR="00047498">
        <w:t>prioritized projects.”</w:t>
      </w:r>
      <w:r w:rsidRPr="00B33384">
        <w:t xml:space="preserve"> </w:t>
      </w:r>
      <w:r w:rsidR="001C4867">
        <w:t xml:space="preserve"> </w:t>
      </w:r>
      <w:r w:rsidRPr="00B33384">
        <w:t>Additionally, witness Lloyd testified that the appropriate funding level, which includes the acceptable level of customer bill impact, was an explicit limitati</w:t>
      </w:r>
      <w:r w:rsidR="00047498">
        <w:t>on on a program scope.</w:t>
      </w:r>
      <w:r w:rsidRPr="00B33384">
        <w:t xml:space="preserve"> </w:t>
      </w:r>
    </w:p>
    <w:p w14:paraId="730611A9" w14:textId="77777777" w:rsidR="00F7375B" w:rsidRDefault="00F7375B" w:rsidP="00F7375B">
      <w:pPr>
        <w:ind w:firstLine="720"/>
        <w:jc w:val="both"/>
        <w:outlineLvl w:val="2"/>
      </w:pPr>
    </w:p>
    <w:p w14:paraId="6ECF6284" w14:textId="5056F158" w:rsidR="00F7375B" w:rsidRDefault="00F7375B" w:rsidP="00116903">
      <w:pPr>
        <w:ind w:firstLine="720"/>
        <w:jc w:val="both"/>
        <w:outlineLvl w:val="2"/>
      </w:pPr>
      <w:r>
        <w:t>We</w:t>
      </w:r>
      <w:r w:rsidRPr="00B33384">
        <w:t xml:space="preserve"> </w:t>
      </w:r>
      <w:r>
        <w:t>find</w:t>
      </w:r>
      <w:r w:rsidRPr="00B33384">
        <w:t xml:space="preserve"> DEF’s SPP prioritizes areas of lower reliability performance. </w:t>
      </w:r>
      <w:r>
        <w:t xml:space="preserve"> </w:t>
      </w:r>
      <w:r w:rsidRPr="00B33384">
        <w:t xml:space="preserve">DEF described the method and criteria it used to select and prioritize the proposed SPP projects while utilizing its three-tiered modeling and analysis approach. </w:t>
      </w:r>
      <w:r>
        <w:t xml:space="preserve"> </w:t>
      </w:r>
      <w:r w:rsidRPr="00B33384">
        <w:t>In addition to</w:t>
      </w:r>
      <w:r w:rsidR="00307351">
        <w:t xml:space="preserve"> the results of the Guidehouse M</w:t>
      </w:r>
      <w:r w:rsidRPr="00B33384">
        <w:t xml:space="preserve">odel, DEF also relied on its subject matter experts for further analysis and prioritization of the projects. </w:t>
      </w:r>
      <w:r>
        <w:t xml:space="preserve"> T</w:t>
      </w:r>
      <w:r w:rsidRPr="00B33384">
        <w:t xml:space="preserve">he Joint Parties did not dispute that DEF’s proposed projects prioritized areas of lower reliability. </w:t>
      </w:r>
      <w:r w:rsidR="00D94775">
        <w:t xml:space="preserve"> </w:t>
      </w:r>
      <w:r w:rsidRPr="00B33384">
        <w:t>DEF demonstrated its prioritization of SPP projects in areas of lower reliability performance.</w:t>
      </w:r>
    </w:p>
    <w:p w14:paraId="3B0CE3EE" w14:textId="77777777" w:rsidR="00F7375B" w:rsidRDefault="00F7375B" w:rsidP="00F7375B">
      <w:pPr>
        <w:jc w:val="both"/>
        <w:outlineLvl w:val="2"/>
      </w:pPr>
    </w:p>
    <w:p w14:paraId="525E771F" w14:textId="0C249BB6" w:rsidR="003B733B" w:rsidRDefault="003B733B" w:rsidP="00F7375B">
      <w:pPr>
        <w:pStyle w:val="ListParagraph"/>
        <w:numPr>
          <w:ilvl w:val="0"/>
          <w:numId w:val="10"/>
        </w:numPr>
        <w:jc w:val="both"/>
        <w:outlineLvl w:val="2"/>
      </w:pPr>
      <w:r w:rsidRPr="00B33384">
        <w:t>C</w:t>
      </w:r>
      <w:r w:rsidR="00AE210D" w:rsidRPr="00B33384">
        <w:t>onclusion</w:t>
      </w:r>
    </w:p>
    <w:p w14:paraId="5B4B984E" w14:textId="77777777" w:rsidR="00F7375B" w:rsidRPr="00B33384" w:rsidRDefault="00F7375B" w:rsidP="00F7375B">
      <w:pPr>
        <w:pStyle w:val="ListParagraph"/>
        <w:ind w:left="1080"/>
        <w:jc w:val="both"/>
        <w:outlineLvl w:val="2"/>
      </w:pPr>
    </w:p>
    <w:p w14:paraId="0D0CC6C4" w14:textId="77777777" w:rsidR="006A1AEF" w:rsidRDefault="00B9381F" w:rsidP="006A1AEF">
      <w:pPr>
        <w:ind w:firstLine="720"/>
        <w:jc w:val="both"/>
        <w:outlineLvl w:val="2"/>
      </w:pPr>
      <w:r w:rsidRPr="00B33384">
        <w:t xml:space="preserve">DEF’s SPP </w:t>
      </w:r>
      <w:r w:rsidR="007D2E94">
        <w:t>prioritize</w:t>
      </w:r>
      <w:r w:rsidR="003E0B96">
        <w:t>d</w:t>
      </w:r>
      <w:r w:rsidRPr="00B33384">
        <w:t xml:space="preserve"> areas of lower reliability performance.</w:t>
      </w:r>
    </w:p>
    <w:p w14:paraId="3E321343" w14:textId="77777777" w:rsidR="00256426" w:rsidRDefault="00256426" w:rsidP="006A1AEF">
      <w:pPr>
        <w:ind w:firstLine="720"/>
        <w:jc w:val="both"/>
        <w:outlineLvl w:val="2"/>
      </w:pPr>
    </w:p>
    <w:p w14:paraId="2DFD8244" w14:textId="79C68C51" w:rsidR="00047498" w:rsidRDefault="007D2E94" w:rsidP="006A1AEF">
      <w:pPr>
        <w:jc w:val="both"/>
        <w:outlineLvl w:val="2"/>
        <w:rPr>
          <w:b/>
        </w:rPr>
      </w:pPr>
      <w:r>
        <w:rPr>
          <w:b/>
          <w:bCs/>
          <w:szCs w:val="20"/>
        </w:rPr>
        <w:t>IV.</w:t>
      </w:r>
      <w:r>
        <w:rPr>
          <w:b/>
          <w:bCs/>
          <w:szCs w:val="20"/>
        </w:rPr>
        <w:tab/>
      </w:r>
      <w:r w:rsidR="00E430BA">
        <w:rPr>
          <w:b/>
          <w:bCs/>
          <w:szCs w:val="20"/>
        </w:rPr>
        <w:t xml:space="preserve">Is DEF’s </w:t>
      </w:r>
      <w:r w:rsidR="003E0B96">
        <w:rPr>
          <w:b/>
        </w:rPr>
        <w:t xml:space="preserve">SPP feasible, reasonable, or practical in </w:t>
      </w:r>
      <w:r w:rsidR="009712BD">
        <w:rPr>
          <w:b/>
        </w:rPr>
        <w:t xml:space="preserve">DEF’s </w:t>
      </w:r>
      <w:r w:rsidR="003E0B96">
        <w:rPr>
          <w:b/>
        </w:rPr>
        <w:t xml:space="preserve">service territory? </w:t>
      </w:r>
    </w:p>
    <w:p w14:paraId="717B2EE3" w14:textId="77777777" w:rsidR="003E0B96" w:rsidRPr="00B33384" w:rsidRDefault="003E0B96" w:rsidP="006A1AEF">
      <w:pPr>
        <w:jc w:val="both"/>
        <w:outlineLvl w:val="2"/>
      </w:pPr>
    </w:p>
    <w:p w14:paraId="48570381" w14:textId="60C9649D" w:rsidR="00CA3665" w:rsidRDefault="00047498" w:rsidP="004E28A5">
      <w:pPr>
        <w:ind w:firstLine="720"/>
        <w:jc w:val="both"/>
        <w:rPr>
          <w:lang w:bidi="en-US"/>
        </w:rPr>
      </w:pPr>
      <w:r>
        <w:rPr>
          <w:bCs/>
          <w:iCs/>
          <w:szCs w:val="28"/>
        </w:rPr>
        <w:t>Parties’ Arguments</w:t>
      </w:r>
    </w:p>
    <w:p w14:paraId="39EA38FF" w14:textId="77777777" w:rsidR="00CA3665" w:rsidRDefault="00CA3665" w:rsidP="004E28A5">
      <w:pPr>
        <w:ind w:firstLine="720"/>
        <w:jc w:val="both"/>
        <w:rPr>
          <w:lang w:bidi="en-US"/>
        </w:rPr>
      </w:pPr>
    </w:p>
    <w:p w14:paraId="301E796E" w14:textId="74292F13" w:rsidR="003B733B" w:rsidRPr="00B33384" w:rsidRDefault="00CA3665" w:rsidP="004E28A5">
      <w:pPr>
        <w:ind w:firstLine="720"/>
        <w:jc w:val="both"/>
        <w:rPr>
          <w:lang w:bidi="en-US"/>
        </w:rPr>
      </w:pPr>
      <w:r>
        <w:rPr>
          <w:lang w:bidi="en-US"/>
        </w:rPr>
        <w:t>DEF</w:t>
      </w:r>
      <w:r w:rsidR="003B733B" w:rsidRPr="00B33384">
        <w:rPr>
          <w:lang w:bidi="en-US"/>
        </w:rPr>
        <w:t xml:space="preserve"> </w:t>
      </w:r>
      <w:r w:rsidR="00C01991">
        <w:rPr>
          <w:lang w:bidi="en-US"/>
        </w:rPr>
        <w:t xml:space="preserve">argued its </w:t>
      </w:r>
      <w:r w:rsidR="003B733B" w:rsidRPr="00B33384">
        <w:rPr>
          <w:lang w:bidi="en-US"/>
        </w:rPr>
        <w:t xml:space="preserve">SPP is feasible, reasonable, and practical throughout the </w:t>
      </w:r>
      <w:r w:rsidR="008B045F">
        <w:rPr>
          <w:lang w:bidi="en-US"/>
        </w:rPr>
        <w:t>Utility</w:t>
      </w:r>
      <w:r w:rsidR="003B733B" w:rsidRPr="00B33384">
        <w:rPr>
          <w:lang w:bidi="en-US"/>
        </w:rPr>
        <w:t xml:space="preserve">’s service territory. </w:t>
      </w:r>
      <w:r w:rsidR="001C4867">
        <w:rPr>
          <w:lang w:bidi="en-US"/>
        </w:rPr>
        <w:t xml:space="preserve"> </w:t>
      </w:r>
      <w:r w:rsidR="003B733B" w:rsidRPr="00B33384">
        <w:rPr>
          <w:lang w:bidi="en-US"/>
        </w:rPr>
        <w:t xml:space="preserve">The </w:t>
      </w:r>
      <w:r>
        <w:rPr>
          <w:lang w:bidi="en-US"/>
        </w:rPr>
        <w:t>model used to produce DEF’s SPP</w:t>
      </w:r>
      <w:r w:rsidR="003B733B" w:rsidRPr="00B33384">
        <w:rPr>
          <w:lang w:bidi="en-US"/>
        </w:rPr>
        <w:t xml:space="preserve"> considered the geographic location and characteristics of each asset as part of the analysis of the feasibility and reasonableness of implementing the various SPP Programs at each given location.</w:t>
      </w:r>
    </w:p>
    <w:p w14:paraId="1C2545EF" w14:textId="77777777" w:rsidR="003B733B" w:rsidRPr="00B33384" w:rsidRDefault="003B733B" w:rsidP="00C01991">
      <w:pPr>
        <w:jc w:val="both"/>
      </w:pPr>
    </w:p>
    <w:p w14:paraId="4767BDF0" w14:textId="36E518CF" w:rsidR="0014364C" w:rsidRPr="00B33384" w:rsidRDefault="005C0680" w:rsidP="00A554F9">
      <w:pPr>
        <w:spacing w:after="240"/>
        <w:ind w:firstLine="720"/>
        <w:jc w:val="both"/>
        <w:outlineLvl w:val="2"/>
      </w:pPr>
      <w:r>
        <w:t>The Joint Parties</w:t>
      </w:r>
      <w:r w:rsidR="009712BD">
        <w:t xml:space="preserve"> </w:t>
      </w:r>
      <w:r>
        <w:t>noted a number of proposed programs in DEF’s 2023 SPP would absent the 2021 Settlement Agreement,</w:t>
      </w:r>
      <w:r>
        <w:rPr>
          <w:rStyle w:val="FootnoteReference"/>
        </w:rPr>
        <w:footnoteReference w:id="9"/>
      </w:r>
      <w:r>
        <w:t xml:space="preserve"> be more appropriately addressed in a base rate case since the programs do not harden the system from extreme storm events</w:t>
      </w:r>
      <w:r w:rsidR="009712BD">
        <w:t>.</w:t>
      </w:r>
      <w:r w:rsidR="00D94775">
        <w:t xml:space="preserve"> </w:t>
      </w:r>
      <w:r w:rsidR="009712BD">
        <w:t xml:space="preserve"> </w:t>
      </w:r>
      <w:r w:rsidR="00223814">
        <w:t>T</w:t>
      </w:r>
      <w:r w:rsidR="00223814" w:rsidRPr="00B33384">
        <w:t>he 2021 Settlement Agreement</w:t>
      </w:r>
      <w:r w:rsidR="00223814">
        <w:t xml:space="preserve"> included </w:t>
      </w:r>
      <w:r w:rsidR="00223814" w:rsidRPr="00B33384">
        <w:t>provision</w:t>
      </w:r>
      <w:r w:rsidR="00223814">
        <w:t>s</w:t>
      </w:r>
      <w:r w:rsidR="00223814" w:rsidRPr="00B33384">
        <w:t xml:space="preserve"> that the costs incurred within DEF’s SPP are properly recovered through the SPPCRC for cost recovery years 2023-2024, and these costs were removed</w:t>
      </w:r>
      <w:r w:rsidR="00223814">
        <w:t xml:space="preserve"> from base rates.  </w:t>
      </w:r>
      <w:r w:rsidR="00223814" w:rsidRPr="00B33384">
        <w:t>For this reason, witness Mara testified that his recommendations should not be considered for the rate recovery years 2023-2024 where they conflict with the provisions of th</w:t>
      </w:r>
      <w:r w:rsidR="00223814">
        <w:t>e 2021 Settlement Agreement.</w:t>
      </w:r>
      <w:r w:rsidR="00D94775">
        <w:t xml:space="preserve"> </w:t>
      </w:r>
      <w:r w:rsidR="00223814">
        <w:t xml:space="preserve"> Thus, </w:t>
      </w:r>
      <w:r w:rsidR="009712BD">
        <w:t xml:space="preserve">OPC’s </w:t>
      </w:r>
      <w:r w:rsidR="009712BD" w:rsidRPr="00B33384">
        <w:t>witness Mara</w:t>
      </w:r>
      <w:r w:rsidR="009712BD">
        <w:t xml:space="preserve"> </w:t>
      </w:r>
      <w:r w:rsidR="00223814">
        <w:t>provided limited testimony on</w:t>
      </w:r>
      <w:r w:rsidR="009712BD" w:rsidRPr="00B33384">
        <w:t xml:space="preserve"> excluding</w:t>
      </w:r>
      <w:r w:rsidR="009712BD">
        <w:t xml:space="preserve"> from DEF’s SPP</w:t>
      </w:r>
      <w:r w:rsidR="009712BD" w:rsidRPr="00B33384">
        <w:t xml:space="preserve"> any substation where there is an alternate feed to the substation or any substation that has not had a history of flooding or where flooding does not </w:t>
      </w:r>
      <w:r w:rsidR="009712BD">
        <w:t>present a threat.</w:t>
      </w:r>
      <w:r w:rsidR="009712BD" w:rsidRPr="00B33384">
        <w:t xml:space="preserve"> </w:t>
      </w:r>
      <w:r w:rsidR="009712BD">
        <w:t xml:space="preserve"> </w:t>
      </w:r>
      <w:r w:rsidR="00223814">
        <w:t>Fu</w:t>
      </w:r>
      <w:r w:rsidR="00E90D47">
        <w:t>r</w:t>
      </w:r>
      <w:r w:rsidR="00223814">
        <w:t>ther, t</w:t>
      </w:r>
      <w:r w:rsidR="003B733B" w:rsidRPr="00B33384">
        <w:t>he Joint Parties argued that the specific language “feasible, reasonable, or practical” is not a statutory test for determining prudence or public interest of a plan but relates to the “physical viability of plan co</w:t>
      </w:r>
      <w:r w:rsidR="00047498">
        <w:t>mponents.”</w:t>
      </w:r>
      <w:r w:rsidR="00AB2066">
        <w:t xml:space="preserve"> </w:t>
      </w:r>
      <w:r w:rsidR="0057473E">
        <w:t xml:space="preserve"> </w:t>
      </w:r>
      <w:r w:rsidR="00AB2066">
        <w:t>Walmart adopted the position of OPC.</w:t>
      </w:r>
    </w:p>
    <w:p w14:paraId="71EE7C6C" w14:textId="77777777" w:rsidR="00047498" w:rsidRPr="00047498" w:rsidRDefault="00047498" w:rsidP="00047498">
      <w:pPr>
        <w:pStyle w:val="ListParagraph"/>
        <w:numPr>
          <w:ilvl w:val="0"/>
          <w:numId w:val="12"/>
        </w:numPr>
        <w:spacing w:after="240"/>
        <w:jc w:val="both"/>
        <w:outlineLvl w:val="2"/>
      </w:pPr>
      <w:r>
        <w:lastRenderedPageBreak/>
        <w:t>Analysis</w:t>
      </w:r>
    </w:p>
    <w:p w14:paraId="65282C13" w14:textId="431A7D40" w:rsidR="003B733B" w:rsidRPr="00B33384" w:rsidRDefault="003B733B" w:rsidP="00047498">
      <w:pPr>
        <w:spacing w:after="240"/>
        <w:ind w:firstLine="720"/>
        <w:jc w:val="both"/>
        <w:outlineLvl w:val="2"/>
      </w:pPr>
      <w:r w:rsidRPr="00B33384">
        <w:t>S</w:t>
      </w:r>
      <w:r w:rsidR="0002059E">
        <w:t>ubs</w:t>
      </w:r>
      <w:r w:rsidRPr="00B33384">
        <w:t>ection 366.96(4)(b), F.S., states that when reviewing a utility’s transmission and distribution storm</w:t>
      </w:r>
      <w:r w:rsidR="00733928">
        <w:t xml:space="preserve"> protection plan, we</w:t>
      </w:r>
      <w:r w:rsidRPr="00B33384">
        <w:t xml:space="preserve"> shall consider the extent to which storm protection of transmission and distribution infrastructure is feasible, reasonable, or practical in certain areas of the utility’s service territory</w:t>
      </w:r>
      <w:r w:rsidR="004C1076">
        <w:t>, including, but not limited to</w:t>
      </w:r>
      <w:r w:rsidR="00307351">
        <w:t>,</w:t>
      </w:r>
      <w:r w:rsidRPr="00B33384">
        <w:t xml:space="preserve"> flood zones and rural areas.</w:t>
      </w:r>
      <w:r w:rsidR="00D94775">
        <w:t xml:space="preserve"> </w:t>
      </w:r>
      <w:r w:rsidRPr="00B33384">
        <w:t xml:space="preserve"> Rule 25-6.030(3)(c), F.A.C, requires a utility to provide a description of the utility’s service area, including areas prioritized for enhancement and any areas where the utility has determined that enhancement of the utility’s existing transmission and distribution facilities would not be feasible, reasonable, or practical. </w:t>
      </w:r>
      <w:r w:rsidR="001C4867">
        <w:t xml:space="preserve"> </w:t>
      </w:r>
      <w:r w:rsidRPr="00B33384">
        <w:t>Integral to this description, the utility must include a general map, the number of customers served within each area, and its reasoning for prioritizing certain areas for enhanced performance and for designating other areas of the system as not feasible, reasonable, or practical.</w:t>
      </w:r>
    </w:p>
    <w:p w14:paraId="512FC405" w14:textId="75034F73" w:rsidR="003B733B" w:rsidRPr="00B33384" w:rsidRDefault="003B733B" w:rsidP="00047498">
      <w:pPr>
        <w:spacing w:after="240"/>
        <w:ind w:firstLine="720"/>
        <w:jc w:val="both"/>
        <w:outlineLvl w:val="2"/>
      </w:pPr>
      <w:r w:rsidRPr="00B33384">
        <w:t xml:space="preserve">As a part of its SPP, DEF provided a map of its service territory, which included the number of customers </w:t>
      </w:r>
      <w:r w:rsidR="00047498">
        <w:t>served within each area.</w:t>
      </w:r>
      <w:r w:rsidRPr="00B33384">
        <w:t xml:space="preserve"> </w:t>
      </w:r>
      <w:r w:rsidR="001C4867">
        <w:t xml:space="preserve"> </w:t>
      </w:r>
      <w:r w:rsidRPr="00B33384">
        <w:t>W</w:t>
      </w:r>
      <w:r w:rsidR="00307351">
        <w:t>itness Lloyd testified that DEF</w:t>
      </w:r>
      <w:r w:rsidRPr="00B33384">
        <w:t xml:space="preserve"> did not determine any areas of its service territory in which it would not be feasible, reasonable, or practical t</w:t>
      </w:r>
      <w:r w:rsidR="00047498">
        <w:t>o execute SPP projects.</w:t>
      </w:r>
      <w:r w:rsidRPr="00B33384">
        <w:t xml:space="preserve"> </w:t>
      </w:r>
      <w:r w:rsidR="001C4867">
        <w:t xml:space="preserve"> </w:t>
      </w:r>
      <w:r w:rsidRPr="00B33384">
        <w:t xml:space="preserve">Further, witness Lloyd </w:t>
      </w:r>
      <w:r w:rsidR="007D2E94">
        <w:t>testified</w:t>
      </w:r>
      <w:r w:rsidRPr="00B33384">
        <w:t xml:space="preserve"> that DEF utilized a model to estimate the reduction in storm damage and outage duration for potential project locations. </w:t>
      </w:r>
      <w:r w:rsidR="001C4867">
        <w:t xml:space="preserve"> </w:t>
      </w:r>
      <w:r w:rsidRPr="00B33384">
        <w:t xml:space="preserve">The model could then prioritize work by looking at the probability of damage to specific assets and the consequences of that damage, such as the number and/or type of customers served by a particular asset. </w:t>
      </w:r>
      <w:r w:rsidR="001C4867">
        <w:t xml:space="preserve"> </w:t>
      </w:r>
      <w:r w:rsidRPr="00B33384">
        <w:t>The model allowed DEF to prioritize the projects over the life of</w:t>
      </w:r>
      <w:r w:rsidR="00824825">
        <w:t xml:space="preserve"> a program, putting the highest-</w:t>
      </w:r>
      <w:r w:rsidRPr="00B33384">
        <w:t xml:space="preserve">benefit work first. </w:t>
      </w:r>
      <w:r w:rsidR="001C4867">
        <w:t xml:space="preserve"> </w:t>
      </w:r>
      <w:r w:rsidRPr="00B33384">
        <w:t xml:space="preserve">Additionally, the outcome from the model was then evaluated by DEF </w:t>
      </w:r>
      <w:bookmarkStart w:id="8" w:name="_Hlk112227102"/>
      <w:r w:rsidRPr="00B33384">
        <w:t>subject matter experts for further analysis and prioritization</w:t>
      </w:r>
      <w:bookmarkEnd w:id="8"/>
      <w:r w:rsidR="00047498">
        <w:t>.</w:t>
      </w:r>
    </w:p>
    <w:p w14:paraId="34267F01" w14:textId="2ABC4613" w:rsidR="003B733B" w:rsidRPr="00B33384" w:rsidRDefault="003B733B" w:rsidP="00047498">
      <w:pPr>
        <w:spacing w:after="240"/>
        <w:ind w:firstLine="720"/>
        <w:jc w:val="both"/>
        <w:outlineLvl w:val="2"/>
      </w:pPr>
      <w:r w:rsidRPr="00B33384">
        <w:t>DEF witness Lloyd</w:t>
      </w:r>
      <w:r w:rsidR="00D74D83">
        <w:t xml:space="preserve"> provided testimo</w:t>
      </w:r>
      <w:r w:rsidR="00E62EDD">
        <w:t>ny on</w:t>
      </w:r>
      <w:r w:rsidR="00D74D83">
        <w:t xml:space="preserve"> the </w:t>
      </w:r>
      <w:r w:rsidR="00D74D83" w:rsidRPr="00B33384">
        <w:t>Underground Flood Mitigation Program</w:t>
      </w:r>
      <w:r w:rsidR="00D74D83">
        <w:t xml:space="preserve"> and the Substation Flood Mitigation Program, which we find to be examples of programs that satisfy the requirements of </w:t>
      </w:r>
      <w:r w:rsidR="00D74D83" w:rsidRPr="00B33384">
        <w:t>S</w:t>
      </w:r>
      <w:r w:rsidR="00D74D83">
        <w:t>ubs</w:t>
      </w:r>
      <w:r w:rsidR="00D74D83" w:rsidRPr="00B33384">
        <w:t>ection 366.96(4)(b), F.S</w:t>
      </w:r>
      <w:r w:rsidR="00D74D83">
        <w:t xml:space="preserve">. </w:t>
      </w:r>
      <w:r w:rsidR="00E86193">
        <w:t xml:space="preserve"> </w:t>
      </w:r>
      <w:r w:rsidR="00D74D83">
        <w:t>The witness</w:t>
      </w:r>
      <w:r w:rsidRPr="00B33384">
        <w:t xml:space="preserve"> testified that the focus of the Underground Flood Mitigation Program is to target existing underground distribution facilities in areas that are prone to storm surge during extreme weather events. </w:t>
      </w:r>
      <w:r w:rsidR="001C4867">
        <w:t xml:space="preserve"> </w:t>
      </w:r>
      <w:r w:rsidRPr="00B33384">
        <w:t>While the program could include the replacement of aging equipment, that is not the objective of the program</w:t>
      </w:r>
      <w:r w:rsidR="00047498">
        <w:t>.</w:t>
      </w:r>
      <w:r w:rsidRPr="00B33384">
        <w:t xml:space="preserve"> </w:t>
      </w:r>
      <w:r w:rsidR="003E0B96">
        <w:t xml:space="preserve"> </w:t>
      </w:r>
      <w:r w:rsidRPr="00B33384">
        <w:t>The Underground Flood Mitigation Program instead is replacing existing conventional switchgears with submersible switchgears, which are designed to withstand potential storm su</w:t>
      </w:r>
      <w:r w:rsidR="00047498">
        <w:t>rges and flood waters.</w:t>
      </w:r>
      <w:r w:rsidRPr="00B33384">
        <w:t xml:space="preserve"> </w:t>
      </w:r>
      <w:r w:rsidR="001C4867">
        <w:t xml:space="preserve"> </w:t>
      </w:r>
      <w:r w:rsidRPr="00B33384">
        <w:t xml:space="preserve">Minimizing asset damage caused by storm surge will result in reduced customer outages and, according to DEF’s SPP, expedite restoration after the storm </w:t>
      </w:r>
      <w:r w:rsidR="00047498">
        <w:t>surge has receded.</w:t>
      </w:r>
    </w:p>
    <w:p w14:paraId="43E30EE6" w14:textId="5AD92320" w:rsidR="003B733B" w:rsidRPr="00B33384" w:rsidRDefault="007D2E94" w:rsidP="00047498">
      <w:pPr>
        <w:spacing w:after="240"/>
        <w:ind w:firstLine="720"/>
        <w:jc w:val="both"/>
        <w:outlineLvl w:val="2"/>
      </w:pPr>
      <w:r>
        <w:t xml:space="preserve">DEF witness Howe </w:t>
      </w:r>
      <w:r w:rsidR="00D74D83">
        <w:t xml:space="preserve">also </w:t>
      </w:r>
      <w:r>
        <w:t>testified that the Substation Flood Mitigation P</w:t>
      </w:r>
      <w:r w:rsidR="0057473E">
        <w:t>ro</w:t>
      </w:r>
      <w:r>
        <w:t xml:space="preserve">gram included </w:t>
      </w:r>
      <w:r w:rsidR="003B733B" w:rsidRPr="00B33384">
        <w:t xml:space="preserve">all DEF substations built to the existing standards in the year that they were installed. </w:t>
      </w:r>
      <w:r w:rsidR="001C4867">
        <w:t xml:space="preserve"> </w:t>
      </w:r>
      <w:r w:rsidR="003B733B" w:rsidRPr="00B33384">
        <w:t>Additionally, the program targets substations at the highest risk of flooding using the most current 100-Year Federal Emergency Management Agency (FEMA) flood plain</w:t>
      </w:r>
      <w:r w:rsidR="00E62EDD">
        <w:t xml:space="preserve"> map</w:t>
      </w:r>
      <w:r w:rsidR="003B733B" w:rsidRPr="00B33384">
        <w:t>, which is reviewed and updated</w:t>
      </w:r>
      <w:r w:rsidR="00047498">
        <w:t xml:space="preserve"> on a continuous basis.</w:t>
      </w:r>
      <w:r w:rsidR="003B733B" w:rsidRPr="00B33384">
        <w:t xml:space="preserve"> </w:t>
      </w:r>
      <w:r w:rsidR="001C4867">
        <w:t xml:space="preserve"> </w:t>
      </w:r>
      <w:r w:rsidR="003B733B" w:rsidRPr="00B33384">
        <w:t xml:space="preserve">Therefore, a substation built with an approved design at the time of construction could be “reclassified” in the future where the design is no longer sufficient for that location. </w:t>
      </w:r>
      <w:r w:rsidR="001C4867">
        <w:t xml:space="preserve"> </w:t>
      </w:r>
      <w:r w:rsidR="00CA3665">
        <w:t>Regarding</w:t>
      </w:r>
      <w:r w:rsidR="00526A44">
        <w:t xml:space="preserve"> </w:t>
      </w:r>
      <w:r w:rsidR="003D6FCB">
        <w:t xml:space="preserve">OPC’s </w:t>
      </w:r>
      <w:r w:rsidR="003B733B" w:rsidRPr="00B33384">
        <w:t xml:space="preserve">witness Mara’s assertions on substations without a history of flooding, </w:t>
      </w:r>
      <w:r w:rsidR="00526A44">
        <w:t xml:space="preserve">DEF </w:t>
      </w:r>
      <w:r w:rsidR="003B733B" w:rsidRPr="00B33384">
        <w:t>witness Howe testified that w</w:t>
      </w:r>
      <w:r w:rsidR="0038404B">
        <w:t xml:space="preserve">itness Mara only examined </w:t>
      </w:r>
      <w:r w:rsidR="0038404B">
        <w:lastRenderedPageBreak/>
        <w:t xml:space="preserve">three </w:t>
      </w:r>
      <w:r w:rsidR="003B733B" w:rsidRPr="00B33384">
        <w:t>years of flood data, which is not sufficient to prudently plan for the long-term functionality and service of</w:t>
      </w:r>
      <w:r w:rsidR="00047498">
        <w:t xml:space="preserve"> a substation.</w:t>
      </w:r>
    </w:p>
    <w:p w14:paraId="1330A4D2" w14:textId="4201E072" w:rsidR="001C4867" w:rsidRDefault="00A50662" w:rsidP="00AA3FD6">
      <w:pPr>
        <w:spacing w:after="240"/>
        <w:ind w:firstLine="720"/>
        <w:jc w:val="both"/>
        <w:outlineLvl w:val="2"/>
      </w:pPr>
      <w:r>
        <w:t>We</w:t>
      </w:r>
      <w:r w:rsidR="003B733B" w:rsidRPr="00B33384">
        <w:t xml:space="preserve"> </w:t>
      </w:r>
      <w:r>
        <w:t>find</w:t>
      </w:r>
      <w:r w:rsidR="003B733B" w:rsidRPr="00B33384">
        <w:t xml:space="preserve"> DEF</w:t>
      </w:r>
      <w:r w:rsidR="001361F5">
        <w:t>’s</w:t>
      </w:r>
      <w:r w:rsidR="003B733B" w:rsidRPr="00B33384">
        <w:t xml:space="preserve"> </w:t>
      </w:r>
      <w:r w:rsidR="003E0B96">
        <w:rPr>
          <w:bCs/>
        </w:rPr>
        <w:t xml:space="preserve">SPP meets </w:t>
      </w:r>
      <w:r w:rsidR="003E0B96" w:rsidRPr="00BF642A">
        <w:rPr>
          <w:bCs/>
        </w:rPr>
        <w:t>the requirements of</w:t>
      </w:r>
      <w:r w:rsidR="00E90D47">
        <w:rPr>
          <w:bCs/>
        </w:rPr>
        <w:t xml:space="preserve"> </w:t>
      </w:r>
      <w:r w:rsidR="00D74D83">
        <w:rPr>
          <w:bCs/>
        </w:rPr>
        <w:t>the SPP Statute and Rule, because</w:t>
      </w:r>
      <w:r w:rsidR="0002059E">
        <w:rPr>
          <w:bCs/>
        </w:rPr>
        <w:t xml:space="preserve"> </w:t>
      </w:r>
      <w:r w:rsidR="001E794E">
        <w:rPr>
          <w:bCs/>
        </w:rPr>
        <w:t xml:space="preserve">DEF </w:t>
      </w:r>
      <w:r w:rsidR="003B733B" w:rsidRPr="00B33384">
        <w:t>provid</w:t>
      </w:r>
      <w:r w:rsidR="0083491C">
        <w:t>ed</w:t>
      </w:r>
      <w:r w:rsidR="003B733B" w:rsidRPr="00B33384">
        <w:t xml:space="preserve"> a map of its service area</w:t>
      </w:r>
      <w:r w:rsidR="00AA3FD6">
        <w:t>,</w:t>
      </w:r>
      <w:r w:rsidR="003B733B" w:rsidRPr="00B33384">
        <w:t xml:space="preserve"> the number of customers served within each area</w:t>
      </w:r>
      <w:r w:rsidR="00AA3FD6">
        <w:t>,</w:t>
      </w:r>
      <w:r w:rsidR="003B733B" w:rsidRPr="00B33384">
        <w:t xml:space="preserve"> and the methodology of prioritizing projects within its programs. </w:t>
      </w:r>
      <w:r w:rsidR="00AA3FD6">
        <w:t>DEF demonstrated that t</w:t>
      </w:r>
      <w:r w:rsidR="003B733B" w:rsidRPr="00B33384">
        <w:t xml:space="preserve">he implementation of the new assets, which are better equipped to withstand extreme weather events, </w:t>
      </w:r>
      <w:r w:rsidR="00AA3FD6">
        <w:t xml:space="preserve">is expected to </w:t>
      </w:r>
      <w:r w:rsidR="003B733B" w:rsidRPr="00B33384">
        <w:t>mitigate outages and reduce restoration time</w:t>
      </w:r>
      <w:r w:rsidR="00AA3FD6">
        <w:t>s</w:t>
      </w:r>
      <w:r w:rsidR="003B733B" w:rsidRPr="00B33384">
        <w:t xml:space="preserve">. </w:t>
      </w:r>
      <w:r w:rsidR="00D94775">
        <w:t xml:space="preserve"> </w:t>
      </w:r>
      <w:r w:rsidR="00AA3FD6">
        <w:t>W</w:t>
      </w:r>
      <w:r w:rsidR="00D74D83" w:rsidRPr="00B33384">
        <w:t xml:space="preserve">itness Lloyd </w:t>
      </w:r>
      <w:r w:rsidR="00D74D83">
        <w:t>testi</w:t>
      </w:r>
      <w:r w:rsidR="00E90D47">
        <w:t xml:space="preserve">fied </w:t>
      </w:r>
      <w:r w:rsidR="00AA3FD6">
        <w:t>t</w:t>
      </w:r>
      <w:r w:rsidR="00E90D47" w:rsidRPr="00B33384">
        <w:t>hat</w:t>
      </w:r>
      <w:r w:rsidR="00AA3FD6">
        <w:t xml:space="preserve"> even in </w:t>
      </w:r>
      <w:r w:rsidR="003B733B" w:rsidRPr="00B33384">
        <w:t xml:space="preserve">low density areas, it is “necessary that those rural customers still get an opportunity to have hardened assets.” </w:t>
      </w:r>
      <w:r w:rsidR="001C4867">
        <w:t xml:space="preserve"> </w:t>
      </w:r>
      <w:r w:rsidR="00AA3FD6">
        <w:t xml:space="preserve">After a review of the complete record, we find that </w:t>
      </w:r>
      <w:r w:rsidR="003B733B" w:rsidRPr="00B33384">
        <w:t xml:space="preserve">the information presented in DEF’s SPP is </w:t>
      </w:r>
      <w:r w:rsidR="00AA3FD6" w:rsidRPr="00A554F9">
        <w:t>feasible, reasonable, or practical in DEF’s service territory</w:t>
      </w:r>
      <w:r w:rsidR="00AA3FD6">
        <w:t>, which included</w:t>
      </w:r>
      <w:r w:rsidR="003B733B" w:rsidRPr="00B33384">
        <w:t xml:space="preserve"> flood zones and rural areas.</w:t>
      </w:r>
    </w:p>
    <w:p w14:paraId="4C2FBAE5" w14:textId="77777777" w:rsidR="00047498" w:rsidRDefault="00047498" w:rsidP="00047498">
      <w:pPr>
        <w:pStyle w:val="ListParagraph"/>
        <w:numPr>
          <w:ilvl w:val="0"/>
          <w:numId w:val="12"/>
        </w:numPr>
        <w:jc w:val="both"/>
        <w:outlineLvl w:val="2"/>
      </w:pPr>
      <w:r>
        <w:t>Conclusion</w:t>
      </w:r>
    </w:p>
    <w:p w14:paraId="5E21BC48" w14:textId="77777777" w:rsidR="00047498" w:rsidRPr="00B33384" w:rsidRDefault="00047498" w:rsidP="00047498">
      <w:pPr>
        <w:pStyle w:val="ListParagraph"/>
        <w:ind w:left="1080"/>
        <w:jc w:val="both"/>
        <w:outlineLvl w:val="2"/>
      </w:pPr>
    </w:p>
    <w:p w14:paraId="4F40EEDF" w14:textId="2C07A5FC" w:rsidR="003D647B" w:rsidRPr="00B33384" w:rsidRDefault="00AE210D" w:rsidP="00AE210D">
      <w:pPr>
        <w:ind w:firstLine="720"/>
        <w:jc w:val="both"/>
        <w:outlineLvl w:val="2"/>
      </w:pPr>
      <w:r w:rsidRPr="00B33384">
        <w:t xml:space="preserve">DEF’s SPP </w:t>
      </w:r>
      <w:r w:rsidR="00867525" w:rsidRPr="00B33384">
        <w:t>is</w:t>
      </w:r>
      <w:r w:rsidR="001361F5">
        <w:t xml:space="preserve"> feasible, reasonable, </w:t>
      </w:r>
      <w:r w:rsidR="007C6C96">
        <w:t>and</w:t>
      </w:r>
      <w:r w:rsidRPr="00B33384">
        <w:t xml:space="preserve"> practical within t</w:t>
      </w:r>
      <w:r w:rsidR="00526A44">
        <w:t xml:space="preserve">he </w:t>
      </w:r>
      <w:r w:rsidR="008B045F">
        <w:t>Utility</w:t>
      </w:r>
      <w:r w:rsidR="00526A44">
        <w:t>’s service territory.</w:t>
      </w:r>
    </w:p>
    <w:p w14:paraId="0918BD41" w14:textId="77777777" w:rsidR="0083440F" w:rsidRPr="00521564" w:rsidRDefault="0083440F" w:rsidP="00521564">
      <w:pPr>
        <w:jc w:val="both"/>
        <w:outlineLvl w:val="2"/>
      </w:pPr>
      <w:r w:rsidRPr="00B33384">
        <w:rPr>
          <w:b/>
          <w:bCs/>
          <w:i/>
          <w:kern w:val="32"/>
          <w:szCs w:val="32"/>
        </w:rPr>
        <w:t> </w:t>
      </w:r>
    </w:p>
    <w:p w14:paraId="15210ABB" w14:textId="77777777" w:rsidR="00521564" w:rsidRPr="00B33384" w:rsidRDefault="00526A44" w:rsidP="003968FD">
      <w:pPr>
        <w:spacing w:after="240"/>
        <w:jc w:val="both"/>
      </w:pPr>
      <w:r>
        <w:rPr>
          <w:b/>
          <w:bCs/>
          <w:szCs w:val="20"/>
        </w:rPr>
        <w:t>V.</w:t>
      </w:r>
      <w:r>
        <w:rPr>
          <w:b/>
          <w:bCs/>
          <w:szCs w:val="20"/>
        </w:rPr>
        <w:tab/>
        <w:t>What are the estimated costs and benefits of DEF’s SPP Programs?</w:t>
      </w:r>
    </w:p>
    <w:p w14:paraId="2FA5708A" w14:textId="77777777" w:rsidR="00521564" w:rsidRDefault="00521564" w:rsidP="00521564">
      <w:pPr>
        <w:pStyle w:val="ListParagraph"/>
        <w:numPr>
          <w:ilvl w:val="0"/>
          <w:numId w:val="13"/>
        </w:numPr>
        <w:ind w:left="1080"/>
        <w:jc w:val="both"/>
        <w:outlineLvl w:val="2"/>
      </w:pPr>
      <w:r>
        <w:t>Parties’ Arguments</w:t>
      </w:r>
    </w:p>
    <w:p w14:paraId="78DB3858" w14:textId="77777777" w:rsidR="00521564" w:rsidRDefault="00521564" w:rsidP="00521564">
      <w:pPr>
        <w:jc w:val="both"/>
        <w:outlineLvl w:val="2"/>
      </w:pPr>
    </w:p>
    <w:p w14:paraId="0D0D7C7C" w14:textId="5C283052" w:rsidR="00AB2066" w:rsidRDefault="0083440F" w:rsidP="003C4527">
      <w:pPr>
        <w:ind w:firstLine="720"/>
        <w:jc w:val="both"/>
        <w:outlineLvl w:val="2"/>
        <w:rPr>
          <w:bCs/>
          <w:lang w:bidi="en-US"/>
        </w:rPr>
      </w:pPr>
      <w:r w:rsidRPr="00B33384">
        <w:t>The estimated costs of DEF’s SPP</w:t>
      </w:r>
      <w:r w:rsidR="0075211C" w:rsidRPr="00B33384">
        <w:t xml:space="preserve"> programs are shown in Table </w:t>
      </w:r>
      <w:r w:rsidR="00AE210D" w:rsidRPr="00B33384">
        <w:t xml:space="preserve">1 </w:t>
      </w:r>
      <w:r w:rsidR="00CA3665">
        <w:t xml:space="preserve">below </w:t>
      </w:r>
      <w:r w:rsidR="00AE210D" w:rsidRPr="00B33384">
        <w:t>and include t</w:t>
      </w:r>
      <w:r w:rsidRPr="00B33384">
        <w:t>he estimated benefits, charact</w:t>
      </w:r>
      <w:r w:rsidR="00AE210D" w:rsidRPr="00B33384">
        <w:t>erized by the reduction in CMI.</w:t>
      </w:r>
      <w:r w:rsidR="003C4527">
        <w:rPr>
          <w:bCs/>
          <w:lang w:bidi="en-US"/>
        </w:rPr>
        <w:t xml:space="preserve"> </w:t>
      </w:r>
      <w:r w:rsidR="001C4867">
        <w:rPr>
          <w:bCs/>
          <w:lang w:bidi="en-US"/>
        </w:rPr>
        <w:t xml:space="preserve"> </w:t>
      </w:r>
      <w:r w:rsidRPr="00B33384">
        <w:t xml:space="preserve">DEF argued </w:t>
      </w:r>
      <w:r w:rsidR="00464F6F" w:rsidRPr="00B33384">
        <w:t xml:space="preserve">that </w:t>
      </w:r>
      <w:r w:rsidR="00464F6F">
        <w:t>its</w:t>
      </w:r>
      <w:r w:rsidR="0019295C">
        <w:t xml:space="preserve"> </w:t>
      </w:r>
      <w:r w:rsidRPr="00B33384">
        <w:t>proposed SPP Programs had benefits that outweighed the costs or were cost-effective.</w:t>
      </w:r>
      <w:r w:rsidR="001C4867">
        <w:t xml:space="preserve"> </w:t>
      </w:r>
      <w:r w:rsidRPr="00B33384">
        <w:t xml:space="preserve"> </w:t>
      </w:r>
      <w:r w:rsidR="00464F6F" w:rsidRPr="00B33384">
        <w:t>DEF provided</w:t>
      </w:r>
      <w:r w:rsidRPr="00B33384">
        <w:t xml:space="preserve"> a benefit/cost analysis, with the </w:t>
      </w:r>
      <w:r w:rsidR="008B045F">
        <w:t>Utility</w:t>
      </w:r>
      <w:r w:rsidRPr="00B33384">
        <w:t xml:space="preserve">’s utilization of the Interruption Cost Estimator (ICE) </w:t>
      </w:r>
      <w:r w:rsidR="0019295C">
        <w:t xml:space="preserve">model </w:t>
      </w:r>
      <w:r w:rsidRPr="00B33384">
        <w:t xml:space="preserve">to assign a value to the avoided CMI. </w:t>
      </w:r>
      <w:r w:rsidR="001C4867">
        <w:t xml:space="preserve"> </w:t>
      </w:r>
      <w:r w:rsidRPr="00B33384">
        <w:t xml:space="preserve">DEF argued that it did perform a quantification of the </w:t>
      </w:r>
      <w:r w:rsidR="00464F6F" w:rsidRPr="00B33384">
        <w:t>benefits and</w:t>
      </w:r>
      <w:r w:rsidRPr="00B33384">
        <w:t xml:space="preserve"> showed </w:t>
      </w:r>
      <w:r w:rsidR="001E794E">
        <w:t xml:space="preserve">the </w:t>
      </w:r>
      <w:r w:rsidRPr="00B33384">
        <w:t xml:space="preserve">benefits </w:t>
      </w:r>
      <w:r w:rsidR="001E794E">
        <w:t xml:space="preserve">of its SPP </w:t>
      </w:r>
      <w:r w:rsidRPr="00B33384">
        <w:t>e</w:t>
      </w:r>
      <w:r w:rsidR="00AB2066">
        <w:t>xceeded the costs.</w:t>
      </w:r>
    </w:p>
    <w:p w14:paraId="596D65E8" w14:textId="77777777" w:rsidR="003C4527" w:rsidRPr="003C4527" w:rsidRDefault="003C4527" w:rsidP="003C4527">
      <w:pPr>
        <w:ind w:firstLine="720"/>
        <w:jc w:val="both"/>
        <w:outlineLvl w:val="2"/>
        <w:rPr>
          <w:bCs/>
          <w:lang w:bidi="en-US"/>
        </w:rPr>
      </w:pPr>
    </w:p>
    <w:p w14:paraId="54EB4C59" w14:textId="5ACA9143" w:rsidR="00FD03FA" w:rsidRDefault="0083440F" w:rsidP="00AB2066">
      <w:pPr>
        <w:pStyle w:val="BodyText"/>
        <w:spacing w:after="0"/>
        <w:ind w:firstLine="720"/>
        <w:jc w:val="both"/>
      </w:pPr>
      <w:r w:rsidRPr="00B33384">
        <w:t>The Joint Parties</w:t>
      </w:r>
      <w:r w:rsidR="0019295C">
        <w:t xml:space="preserve"> took</w:t>
      </w:r>
      <w:r w:rsidR="0057473E">
        <w:t xml:space="preserve"> issue with the </w:t>
      </w:r>
      <w:r w:rsidR="00464F6F">
        <w:t xml:space="preserve">methodology </w:t>
      </w:r>
      <w:r w:rsidR="00464F6F" w:rsidRPr="00B33384">
        <w:t>DEF</w:t>
      </w:r>
      <w:r w:rsidR="0057473E">
        <w:t xml:space="preserve"> employed </w:t>
      </w:r>
      <w:r w:rsidR="00464F6F">
        <w:t xml:space="preserve">to </w:t>
      </w:r>
      <w:r w:rsidR="00464F6F" w:rsidRPr="00B33384">
        <w:t>estimate</w:t>
      </w:r>
      <w:r w:rsidRPr="00B33384">
        <w:t xml:space="preserve"> program benefits</w:t>
      </w:r>
      <w:r w:rsidR="0057473E">
        <w:t>.</w:t>
      </w:r>
      <w:r w:rsidR="00354E54">
        <w:t xml:space="preserve"> </w:t>
      </w:r>
      <w:r w:rsidR="0057473E">
        <w:t xml:space="preserve"> The Joint </w:t>
      </w:r>
      <w:r w:rsidR="00464F6F">
        <w:t>Parties</w:t>
      </w:r>
      <w:r w:rsidR="0057473E">
        <w:t xml:space="preserve"> argued </w:t>
      </w:r>
      <w:r w:rsidR="0019295C">
        <w:t xml:space="preserve">that </w:t>
      </w:r>
      <w:r w:rsidR="0057473E">
        <w:t>the DEF SPP benefits</w:t>
      </w:r>
      <w:r w:rsidRPr="00B33384">
        <w:t xml:space="preserve"> were largely assessed based on societal benefits that were converted to dollar amounts using the ICE</w:t>
      </w:r>
      <w:r w:rsidR="00AB2066">
        <w:t xml:space="preserve"> model.</w:t>
      </w:r>
      <w:r w:rsidRPr="00B33384">
        <w:t xml:space="preserve"> </w:t>
      </w:r>
      <w:r w:rsidR="001C4867">
        <w:t xml:space="preserve"> </w:t>
      </w:r>
      <w:r w:rsidR="0019295C">
        <w:t>The Joint Parties further</w:t>
      </w:r>
      <w:r w:rsidRPr="00B33384">
        <w:t xml:space="preserve"> argued that there was a “circular nature of the input and verification process</w:t>
      </w:r>
      <w:r w:rsidR="003C4527">
        <w:t>,</w:t>
      </w:r>
      <w:r w:rsidRPr="00B33384">
        <w:t xml:space="preserve">” </w:t>
      </w:r>
      <w:r w:rsidR="0019295C">
        <w:t xml:space="preserve">in </w:t>
      </w:r>
      <w:r w:rsidR="00464F6F">
        <w:t xml:space="preserve">DEF’s </w:t>
      </w:r>
      <w:r w:rsidR="00464F6F" w:rsidRPr="00B33384">
        <w:t>methodology</w:t>
      </w:r>
      <w:r w:rsidR="0019295C">
        <w:t xml:space="preserve"> and that the </w:t>
      </w:r>
      <w:r w:rsidRPr="00B33384">
        <w:t>ICE model was used to provide the appearance of cost-effe</w:t>
      </w:r>
      <w:r w:rsidR="00AB2066">
        <w:t>ctive programs.</w:t>
      </w:r>
      <w:r w:rsidR="00354E54">
        <w:t xml:space="preserve"> </w:t>
      </w:r>
      <w:r w:rsidR="00CA3665">
        <w:t xml:space="preserve"> Walmart adopted this</w:t>
      </w:r>
      <w:r w:rsidR="00AB2066">
        <w:t xml:space="preserve"> position.</w:t>
      </w:r>
    </w:p>
    <w:p w14:paraId="362AF8AC" w14:textId="7FAF9269" w:rsidR="00DA2932" w:rsidRPr="00B33384" w:rsidRDefault="00DA2932" w:rsidP="00AB2066">
      <w:pPr>
        <w:pStyle w:val="BodyText"/>
        <w:spacing w:after="0"/>
        <w:jc w:val="both"/>
      </w:pPr>
    </w:p>
    <w:p w14:paraId="789C2D08" w14:textId="77777777" w:rsidR="00FD03FA" w:rsidRDefault="00521564" w:rsidP="00AB2066">
      <w:pPr>
        <w:pStyle w:val="ListParagraph"/>
        <w:numPr>
          <w:ilvl w:val="0"/>
          <w:numId w:val="13"/>
        </w:numPr>
        <w:ind w:left="1080"/>
        <w:outlineLvl w:val="2"/>
      </w:pPr>
      <w:r>
        <w:t>Analysis</w:t>
      </w:r>
    </w:p>
    <w:p w14:paraId="1A789674" w14:textId="77777777" w:rsidR="00AB2066" w:rsidRPr="00521564" w:rsidRDefault="00AB2066" w:rsidP="00AB2066">
      <w:pPr>
        <w:outlineLvl w:val="2"/>
      </w:pPr>
    </w:p>
    <w:p w14:paraId="1F308E13" w14:textId="77777777" w:rsidR="00FD03FA" w:rsidRPr="00B33384" w:rsidRDefault="00FD03FA" w:rsidP="00521564">
      <w:pPr>
        <w:spacing w:after="240"/>
        <w:ind w:firstLine="720"/>
        <w:jc w:val="both"/>
      </w:pPr>
      <w:r w:rsidRPr="00B33384">
        <w:t>S</w:t>
      </w:r>
      <w:r w:rsidR="0002059E">
        <w:t>ubs</w:t>
      </w:r>
      <w:r w:rsidRPr="00B33384">
        <w:t xml:space="preserve">ection 366.96(4)(c), F.S., </w:t>
      </w:r>
      <w:r w:rsidR="0057473E">
        <w:t xml:space="preserve">requires that we </w:t>
      </w:r>
      <w:r w:rsidRPr="00B33384">
        <w:t xml:space="preserve">consider the estimated costs and benefits to the utility and its customers of making the improvements proposed in the plan. </w:t>
      </w:r>
      <w:r w:rsidR="00354E54">
        <w:t xml:space="preserve"> </w:t>
      </w:r>
      <w:r w:rsidRPr="00B33384">
        <w:t>Rule 25-6.030(3)(d)4., F.A.C., requires a utility to provide a comparison of the estimated program costs, including capital and operating expenses, and benefits</w:t>
      </w:r>
      <w:r w:rsidR="003968FD">
        <w:t>.</w:t>
      </w:r>
    </w:p>
    <w:p w14:paraId="24C72FA4" w14:textId="77777777" w:rsidR="002903A3" w:rsidRDefault="00FD03FA" w:rsidP="002903A3">
      <w:pPr>
        <w:ind w:firstLine="720"/>
        <w:jc w:val="both"/>
      </w:pPr>
      <w:r w:rsidRPr="00B33384">
        <w:t>For each SPP program, DEF listed the estimated capital costs and operating expenses, which are summarized in Table 1.</w:t>
      </w:r>
      <w:r w:rsidR="001C4867">
        <w:t xml:space="preserve"> </w:t>
      </w:r>
      <w:r w:rsidRPr="00B33384">
        <w:t xml:space="preserve"> The </w:t>
      </w:r>
      <w:r w:rsidR="003968FD">
        <w:t>Utility</w:t>
      </w:r>
      <w:r w:rsidRPr="00B33384">
        <w:t xml:space="preserve"> compared these costs with the estimated benefits that could be achieved from the completion of its programs. </w:t>
      </w:r>
      <w:r w:rsidR="001C4867">
        <w:t xml:space="preserve"> </w:t>
      </w:r>
      <w:r w:rsidRPr="00B33384">
        <w:t>The benefits included the reduction in outage times (CMI reducti</w:t>
      </w:r>
      <w:r w:rsidR="003C4527">
        <w:t xml:space="preserve">on). </w:t>
      </w:r>
    </w:p>
    <w:p w14:paraId="087B7E06" w14:textId="77777777" w:rsidR="00CD1708" w:rsidRDefault="00CD1708" w:rsidP="002903A3">
      <w:pPr>
        <w:ind w:firstLine="720"/>
        <w:jc w:val="both"/>
      </w:pPr>
    </w:p>
    <w:p w14:paraId="049E5EAF" w14:textId="77777777" w:rsidR="00FD03FA" w:rsidRPr="00B33384" w:rsidRDefault="00FD03FA" w:rsidP="002903A3">
      <w:pPr>
        <w:ind w:left="3600" w:firstLine="720"/>
        <w:jc w:val="both"/>
        <w:rPr>
          <w:b/>
          <w:bCs/>
        </w:rPr>
      </w:pPr>
      <w:r w:rsidRPr="00B33384">
        <w:rPr>
          <w:b/>
          <w:bCs/>
        </w:rPr>
        <w:t>Table 1</w:t>
      </w:r>
    </w:p>
    <w:p w14:paraId="4AA32362" w14:textId="77777777" w:rsidR="00FD03FA" w:rsidRPr="00B33384" w:rsidRDefault="00FD03FA" w:rsidP="00FD03FA">
      <w:pPr>
        <w:jc w:val="center"/>
        <w:rPr>
          <w:b/>
          <w:bCs/>
        </w:rPr>
      </w:pPr>
      <w:r w:rsidRPr="00B33384">
        <w:rPr>
          <w:b/>
          <w:bCs/>
        </w:rPr>
        <w:t xml:space="preserve">DEF’s 2023-2025 SPP Program Costs </w:t>
      </w:r>
    </w:p>
    <w:tbl>
      <w:tblPr>
        <w:tblStyle w:val="TableGrid"/>
        <w:tblW w:w="9625" w:type="dxa"/>
        <w:jc w:val="center"/>
        <w:tblLook w:val="04A0" w:firstRow="1" w:lastRow="0" w:firstColumn="1" w:lastColumn="0" w:noHBand="0" w:noVBand="1"/>
      </w:tblPr>
      <w:tblGrid>
        <w:gridCol w:w="5485"/>
        <w:gridCol w:w="1350"/>
        <w:gridCol w:w="1440"/>
        <w:gridCol w:w="1350"/>
      </w:tblGrid>
      <w:tr w:rsidR="00FD03FA" w:rsidRPr="00B33384" w14:paraId="1EFA1453"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vAlign w:val="center"/>
            <w:hideMark/>
          </w:tcPr>
          <w:p w14:paraId="6F914F33" w14:textId="77777777" w:rsidR="00FD03FA" w:rsidRPr="00B33384" w:rsidRDefault="00FD03FA" w:rsidP="00FD03FA">
            <w:pPr>
              <w:rPr>
                <w:bCs/>
              </w:rPr>
            </w:pPr>
            <w:r w:rsidRPr="00B33384">
              <w:rPr>
                <w:bCs/>
              </w:rPr>
              <w:t>Program</w:t>
            </w:r>
          </w:p>
        </w:tc>
        <w:tc>
          <w:tcPr>
            <w:tcW w:w="1350" w:type="dxa"/>
            <w:tcBorders>
              <w:top w:val="single" w:sz="4" w:space="0" w:color="auto"/>
              <w:left w:val="single" w:sz="4" w:space="0" w:color="auto"/>
              <w:bottom w:val="single" w:sz="4" w:space="0" w:color="auto"/>
              <w:right w:val="single" w:sz="4" w:space="0" w:color="auto"/>
            </w:tcBorders>
            <w:hideMark/>
          </w:tcPr>
          <w:p w14:paraId="3498473F" w14:textId="77777777" w:rsidR="00FD03FA" w:rsidRPr="00B33384" w:rsidRDefault="00FD03FA" w:rsidP="00FD03FA">
            <w:pPr>
              <w:jc w:val="center"/>
              <w:rPr>
                <w:bCs/>
              </w:rPr>
            </w:pPr>
            <w:r w:rsidRPr="00B33384">
              <w:rPr>
                <w:bCs/>
              </w:rPr>
              <w:t>2023</w:t>
            </w:r>
          </w:p>
          <w:p w14:paraId="50F20F22" w14:textId="77777777" w:rsidR="00FD03FA" w:rsidRPr="00B33384" w:rsidRDefault="00FD03FA" w:rsidP="00FD03FA">
            <w:pPr>
              <w:jc w:val="center"/>
              <w:rPr>
                <w:bCs/>
              </w:rPr>
            </w:pPr>
            <w:r w:rsidRPr="00B33384">
              <w:rPr>
                <w:bCs/>
              </w:rPr>
              <w:t>(millions)</w:t>
            </w:r>
          </w:p>
        </w:tc>
        <w:tc>
          <w:tcPr>
            <w:tcW w:w="1440" w:type="dxa"/>
            <w:tcBorders>
              <w:top w:val="single" w:sz="4" w:space="0" w:color="auto"/>
              <w:left w:val="single" w:sz="4" w:space="0" w:color="auto"/>
              <w:bottom w:val="single" w:sz="4" w:space="0" w:color="auto"/>
              <w:right w:val="single" w:sz="4" w:space="0" w:color="auto"/>
            </w:tcBorders>
            <w:hideMark/>
          </w:tcPr>
          <w:p w14:paraId="713B5D9F" w14:textId="77777777" w:rsidR="00FD03FA" w:rsidRPr="00B33384" w:rsidRDefault="00FD03FA" w:rsidP="00FD03FA">
            <w:pPr>
              <w:jc w:val="center"/>
              <w:rPr>
                <w:bCs/>
              </w:rPr>
            </w:pPr>
            <w:r w:rsidRPr="00B33384">
              <w:rPr>
                <w:bCs/>
              </w:rPr>
              <w:t>2024</w:t>
            </w:r>
          </w:p>
          <w:p w14:paraId="0D83878A" w14:textId="77777777" w:rsidR="00FD03FA" w:rsidRPr="00B33384" w:rsidRDefault="00FD03FA" w:rsidP="00FD03FA">
            <w:pPr>
              <w:jc w:val="center"/>
              <w:rPr>
                <w:bCs/>
              </w:rPr>
            </w:pPr>
            <w:r w:rsidRPr="00B33384">
              <w:rPr>
                <w:bCs/>
              </w:rPr>
              <w:t>(millions)</w:t>
            </w:r>
          </w:p>
        </w:tc>
        <w:tc>
          <w:tcPr>
            <w:tcW w:w="1350" w:type="dxa"/>
            <w:tcBorders>
              <w:top w:val="single" w:sz="4" w:space="0" w:color="auto"/>
              <w:left w:val="single" w:sz="4" w:space="0" w:color="auto"/>
              <w:bottom w:val="single" w:sz="4" w:space="0" w:color="auto"/>
              <w:right w:val="single" w:sz="4" w:space="0" w:color="auto"/>
            </w:tcBorders>
            <w:hideMark/>
          </w:tcPr>
          <w:p w14:paraId="09F36678" w14:textId="77777777" w:rsidR="00FD03FA" w:rsidRPr="00B33384" w:rsidRDefault="00FD03FA" w:rsidP="00FD03FA">
            <w:pPr>
              <w:jc w:val="center"/>
              <w:rPr>
                <w:bCs/>
              </w:rPr>
            </w:pPr>
            <w:r w:rsidRPr="00B33384">
              <w:rPr>
                <w:bCs/>
              </w:rPr>
              <w:t>2025</w:t>
            </w:r>
          </w:p>
          <w:p w14:paraId="59AEB8F2" w14:textId="77777777" w:rsidR="00FD03FA" w:rsidRPr="00B33384" w:rsidRDefault="00FD03FA" w:rsidP="00FD03FA">
            <w:pPr>
              <w:jc w:val="center"/>
              <w:rPr>
                <w:bCs/>
              </w:rPr>
            </w:pPr>
            <w:r w:rsidRPr="00B33384">
              <w:rPr>
                <w:bCs/>
              </w:rPr>
              <w:t>(millions)</w:t>
            </w:r>
          </w:p>
        </w:tc>
      </w:tr>
      <w:tr w:rsidR="00FD03FA" w:rsidRPr="00B33384" w14:paraId="76AD4065"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7AEA8A04" w14:textId="77777777" w:rsidR="00FD03FA" w:rsidRPr="00B33384" w:rsidRDefault="00FD03FA" w:rsidP="00FD03FA">
            <w:pPr>
              <w:jc w:val="both"/>
              <w:rPr>
                <w:bCs/>
              </w:rPr>
            </w:pPr>
            <w:r w:rsidRPr="00B33384">
              <w:rPr>
                <w:bCs/>
              </w:rPr>
              <w:t xml:space="preserve">Distribution Feeder Hardening </w:t>
            </w:r>
          </w:p>
        </w:tc>
        <w:tc>
          <w:tcPr>
            <w:tcW w:w="1350" w:type="dxa"/>
            <w:tcBorders>
              <w:top w:val="single" w:sz="4" w:space="0" w:color="auto"/>
              <w:left w:val="single" w:sz="4" w:space="0" w:color="auto"/>
              <w:bottom w:val="single" w:sz="4" w:space="0" w:color="auto"/>
              <w:right w:val="single" w:sz="4" w:space="0" w:color="auto"/>
            </w:tcBorders>
            <w:vAlign w:val="bottom"/>
          </w:tcPr>
          <w:p w14:paraId="12BDC1CD" w14:textId="77777777" w:rsidR="00FD03FA" w:rsidRPr="00B33384" w:rsidRDefault="00FD03FA" w:rsidP="00FD03FA">
            <w:pPr>
              <w:jc w:val="center"/>
              <w:rPr>
                <w:bCs/>
              </w:rPr>
            </w:pPr>
            <w:r w:rsidRPr="00B33384">
              <w:rPr>
                <w:color w:val="000000"/>
              </w:rPr>
              <w:t xml:space="preserve">$163.3 </w:t>
            </w:r>
          </w:p>
        </w:tc>
        <w:tc>
          <w:tcPr>
            <w:tcW w:w="1440" w:type="dxa"/>
            <w:tcBorders>
              <w:top w:val="single" w:sz="4" w:space="0" w:color="auto"/>
              <w:left w:val="single" w:sz="4" w:space="0" w:color="auto"/>
              <w:bottom w:val="single" w:sz="4" w:space="0" w:color="auto"/>
              <w:right w:val="single" w:sz="4" w:space="0" w:color="auto"/>
            </w:tcBorders>
            <w:vAlign w:val="bottom"/>
          </w:tcPr>
          <w:p w14:paraId="14C0A32D" w14:textId="77777777" w:rsidR="00FD03FA" w:rsidRPr="00B33384" w:rsidRDefault="00FD03FA" w:rsidP="00FD03FA">
            <w:pPr>
              <w:jc w:val="center"/>
              <w:rPr>
                <w:bCs/>
              </w:rPr>
            </w:pPr>
            <w:r w:rsidRPr="00B33384">
              <w:rPr>
                <w:color w:val="000000"/>
              </w:rPr>
              <w:t xml:space="preserve">$147.0 </w:t>
            </w:r>
          </w:p>
        </w:tc>
        <w:tc>
          <w:tcPr>
            <w:tcW w:w="1350" w:type="dxa"/>
            <w:tcBorders>
              <w:top w:val="single" w:sz="4" w:space="0" w:color="auto"/>
              <w:left w:val="single" w:sz="4" w:space="0" w:color="auto"/>
              <w:bottom w:val="single" w:sz="4" w:space="0" w:color="auto"/>
              <w:right w:val="single" w:sz="4" w:space="0" w:color="auto"/>
            </w:tcBorders>
            <w:vAlign w:val="bottom"/>
          </w:tcPr>
          <w:p w14:paraId="3D40B6B0" w14:textId="77777777" w:rsidR="00FD03FA" w:rsidRPr="00B33384" w:rsidRDefault="00FD03FA" w:rsidP="00FD03FA">
            <w:pPr>
              <w:jc w:val="center"/>
              <w:rPr>
                <w:bCs/>
              </w:rPr>
            </w:pPr>
            <w:r w:rsidRPr="00B33384">
              <w:rPr>
                <w:color w:val="000000"/>
              </w:rPr>
              <w:t xml:space="preserve">$171.5 </w:t>
            </w:r>
          </w:p>
        </w:tc>
      </w:tr>
      <w:tr w:rsidR="00FD03FA" w:rsidRPr="00B33384" w14:paraId="70CEBB97"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6F8C6750" w14:textId="77777777" w:rsidR="00FD03FA" w:rsidRPr="00B33384" w:rsidRDefault="00FD03FA" w:rsidP="00FD03FA">
            <w:pPr>
              <w:jc w:val="both"/>
              <w:rPr>
                <w:bCs/>
              </w:rPr>
            </w:pPr>
            <w:r w:rsidRPr="00B33384">
              <w:rPr>
                <w:bCs/>
              </w:rPr>
              <w:t xml:space="preserve">Distribution Lateral Hardening </w:t>
            </w:r>
          </w:p>
        </w:tc>
        <w:tc>
          <w:tcPr>
            <w:tcW w:w="1350" w:type="dxa"/>
            <w:tcBorders>
              <w:top w:val="single" w:sz="4" w:space="0" w:color="auto"/>
              <w:left w:val="single" w:sz="4" w:space="0" w:color="auto"/>
              <w:bottom w:val="single" w:sz="4" w:space="0" w:color="auto"/>
              <w:right w:val="single" w:sz="4" w:space="0" w:color="auto"/>
            </w:tcBorders>
            <w:vAlign w:val="bottom"/>
          </w:tcPr>
          <w:p w14:paraId="78645561" w14:textId="77777777" w:rsidR="00FD03FA" w:rsidRPr="00B33384" w:rsidRDefault="00FD03FA" w:rsidP="00FD03FA">
            <w:pPr>
              <w:jc w:val="center"/>
              <w:rPr>
                <w:bCs/>
              </w:rPr>
            </w:pPr>
            <w:r w:rsidRPr="00B33384">
              <w:rPr>
                <w:color w:val="000000"/>
              </w:rPr>
              <w:t xml:space="preserve">$208.4 </w:t>
            </w:r>
          </w:p>
        </w:tc>
        <w:tc>
          <w:tcPr>
            <w:tcW w:w="1440" w:type="dxa"/>
            <w:tcBorders>
              <w:top w:val="single" w:sz="4" w:space="0" w:color="auto"/>
              <w:left w:val="single" w:sz="4" w:space="0" w:color="auto"/>
              <w:bottom w:val="single" w:sz="4" w:space="0" w:color="auto"/>
              <w:right w:val="single" w:sz="4" w:space="0" w:color="auto"/>
            </w:tcBorders>
            <w:vAlign w:val="bottom"/>
          </w:tcPr>
          <w:p w14:paraId="3C2C6B0A" w14:textId="77777777" w:rsidR="00FD03FA" w:rsidRPr="00B33384" w:rsidRDefault="00FD03FA" w:rsidP="00FD03FA">
            <w:pPr>
              <w:jc w:val="center"/>
              <w:rPr>
                <w:bCs/>
              </w:rPr>
            </w:pPr>
            <w:r w:rsidRPr="00B33384">
              <w:rPr>
                <w:color w:val="000000"/>
              </w:rPr>
              <w:t>$243.0</w:t>
            </w:r>
          </w:p>
        </w:tc>
        <w:tc>
          <w:tcPr>
            <w:tcW w:w="1350" w:type="dxa"/>
            <w:tcBorders>
              <w:top w:val="single" w:sz="4" w:space="0" w:color="auto"/>
              <w:left w:val="single" w:sz="4" w:space="0" w:color="auto"/>
              <w:bottom w:val="single" w:sz="4" w:space="0" w:color="auto"/>
              <w:right w:val="single" w:sz="4" w:space="0" w:color="auto"/>
            </w:tcBorders>
            <w:vAlign w:val="bottom"/>
          </w:tcPr>
          <w:p w14:paraId="0F1341C4" w14:textId="77777777" w:rsidR="00FD03FA" w:rsidRPr="00B33384" w:rsidRDefault="00FD03FA" w:rsidP="00FD03FA">
            <w:pPr>
              <w:jc w:val="center"/>
              <w:rPr>
                <w:bCs/>
              </w:rPr>
            </w:pPr>
            <w:r w:rsidRPr="00B33384">
              <w:rPr>
                <w:color w:val="000000"/>
              </w:rPr>
              <w:t xml:space="preserve">$275.6 </w:t>
            </w:r>
          </w:p>
        </w:tc>
      </w:tr>
      <w:tr w:rsidR="00FD03FA" w:rsidRPr="00B33384" w14:paraId="26CC3F6B"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45FF8352" w14:textId="77777777" w:rsidR="00FD03FA" w:rsidRPr="00B33384" w:rsidRDefault="00FD03FA" w:rsidP="00FD03FA">
            <w:pPr>
              <w:jc w:val="both"/>
              <w:rPr>
                <w:bCs/>
              </w:rPr>
            </w:pPr>
            <w:r w:rsidRPr="00B33384">
              <w:rPr>
                <w:bCs/>
              </w:rPr>
              <w:t>Distribution Self-Optimizing Grid</w:t>
            </w:r>
          </w:p>
        </w:tc>
        <w:tc>
          <w:tcPr>
            <w:tcW w:w="1350" w:type="dxa"/>
            <w:tcBorders>
              <w:top w:val="single" w:sz="4" w:space="0" w:color="auto"/>
              <w:left w:val="single" w:sz="4" w:space="0" w:color="auto"/>
              <w:bottom w:val="single" w:sz="4" w:space="0" w:color="auto"/>
              <w:right w:val="single" w:sz="4" w:space="0" w:color="auto"/>
            </w:tcBorders>
            <w:vAlign w:val="bottom"/>
          </w:tcPr>
          <w:p w14:paraId="765DB72E" w14:textId="77777777" w:rsidR="00FD03FA" w:rsidRPr="00B33384" w:rsidRDefault="00FD03FA" w:rsidP="00FD03FA">
            <w:pPr>
              <w:jc w:val="center"/>
              <w:rPr>
                <w:bCs/>
              </w:rPr>
            </w:pPr>
            <w:r w:rsidRPr="00B33384">
              <w:rPr>
                <w:color w:val="000000"/>
              </w:rPr>
              <w:t xml:space="preserve">$77.3 </w:t>
            </w:r>
          </w:p>
        </w:tc>
        <w:tc>
          <w:tcPr>
            <w:tcW w:w="1440" w:type="dxa"/>
            <w:tcBorders>
              <w:top w:val="single" w:sz="4" w:space="0" w:color="auto"/>
              <w:left w:val="single" w:sz="4" w:space="0" w:color="auto"/>
              <w:bottom w:val="single" w:sz="4" w:space="0" w:color="auto"/>
              <w:right w:val="single" w:sz="4" w:space="0" w:color="auto"/>
            </w:tcBorders>
            <w:vAlign w:val="bottom"/>
          </w:tcPr>
          <w:p w14:paraId="04494A1D" w14:textId="77777777" w:rsidR="00FD03FA" w:rsidRPr="00B33384" w:rsidRDefault="00FD03FA" w:rsidP="00FD03FA">
            <w:pPr>
              <w:jc w:val="center"/>
              <w:rPr>
                <w:bCs/>
              </w:rPr>
            </w:pPr>
            <w:r w:rsidRPr="00B33384">
              <w:rPr>
                <w:color w:val="000000"/>
              </w:rPr>
              <w:t xml:space="preserve">$136.7 </w:t>
            </w:r>
          </w:p>
        </w:tc>
        <w:tc>
          <w:tcPr>
            <w:tcW w:w="1350" w:type="dxa"/>
            <w:tcBorders>
              <w:top w:val="single" w:sz="4" w:space="0" w:color="auto"/>
              <w:left w:val="single" w:sz="4" w:space="0" w:color="auto"/>
              <w:bottom w:val="single" w:sz="4" w:space="0" w:color="auto"/>
              <w:right w:val="single" w:sz="4" w:space="0" w:color="auto"/>
            </w:tcBorders>
            <w:vAlign w:val="bottom"/>
          </w:tcPr>
          <w:p w14:paraId="0AACEB51" w14:textId="77777777" w:rsidR="00FD03FA" w:rsidRPr="00B33384" w:rsidRDefault="00FD03FA" w:rsidP="00FD03FA">
            <w:pPr>
              <w:jc w:val="center"/>
              <w:rPr>
                <w:bCs/>
              </w:rPr>
            </w:pPr>
            <w:r w:rsidRPr="00B33384">
              <w:rPr>
                <w:color w:val="000000"/>
              </w:rPr>
              <w:t xml:space="preserve">$136.7 </w:t>
            </w:r>
          </w:p>
        </w:tc>
      </w:tr>
      <w:tr w:rsidR="00FD03FA" w:rsidRPr="00B33384" w14:paraId="74BF90D9"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04A9C02B" w14:textId="77777777" w:rsidR="00FD03FA" w:rsidRPr="00B33384" w:rsidRDefault="00FD03FA" w:rsidP="00FD03FA">
            <w:pPr>
              <w:jc w:val="both"/>
              <w:rPr>
                <w:bCs/>
              </w:rPr>
            </w:pPr>
            <w:r w:rsidRPr="00B33384">
              <w:rPr>
                <w:bCs/>
              </w:rPr>
              <w:t>Distribution Underground Flood Mitigation</w:t>
            </w:r>
          </w:p>
        </w:tc>
        <w:tc>
          <w:tcPr>
            <w:tcW w:w="1350" w:type="dxa"/>
            <w:tcBorders>
              <w:top w:val="single" w:sz="4" w:space="0" w:color="auto"/>
              <w:left w:val="single" w:sz="4" w:space="0" w:color="auto"/>
              <w:bottom w:val="single" w:sz="4" w:space="0" w:color="auto"/>
              <w:right w:val="single" w:sz="4" w:space="0" w:color="auto"/>
            </w:tcBorders>
            <w:vAlign w:val="bottom"/>
          </w:tcPr>
          <w:p w14:paraId="7F3DF25B" w14:textId="77777777" w:rsidR="00FD03FA" w:rsidRPr="00B33384" w:rsidRDefault="00FD03FA" w:rsidP="00FD03FA">
            <w:pPr>
              <w:jc w:val="center"/>
              <w:rPr>
                <w:bCs/>
              </w:rPr>
            </w:pPr>
            <w:r w:rsidRPr="00B33384">
              <w:rPr>
                <w:color w:val="000000"/>
              </w:rPr>
              <w:t xml:space="preserve">$1.0 </w:t>
            </w:r>
          </w:p>
        </w:tc>
        <w:tc>
          <w:tcPr>
            <w:tcW w:w="1440" w:type="dxa"/>
            <w:tcBorders>
              <w:top w:val="single" w:sz="4" w:space="0" w:color="auto"/>
              <w:left w:val="single" w:sz="4" w:space="0" w:color="auto"/>
              <w:bottom w:val="single" w:sz="4" w:space="0" w:color="auto"/>
              <w:right w:val="single" w:sz="4" w:space="0" w:color="auto"/>
            </w:tcBorders>
            <w:vAlign w:val="bottom"/>
          </w:tcPr>
          <w:p w14:paraId="06878ADE" w14:textId="77777777" w:rsidR="00FD03FA" w:rsidRPr="00B33384" w:rsidRDefault="00FD03FA" w:rsidP="00FD03FA">
            <w:pPr>
              <w:jc w:val="center"/>
              <w:rPr>
                <w:bCs/>
              </w:rPr>
            </w:pPr>
            <w:r w:rsidRPr="00B33384">
              <w:rPr>
                <w:color w:val="000000"/>
              </w:rPr>
              <w:t xml:space="preserve">$1.5 </w:t>
            </w:r>
          </w:p>
        </w:tc>
        <w:tc>
          <w:tcPr>
            <w:tcW w:w="1350" w:type="dxa"/>
            <w:tcBorders>
              <w:top w:val="single" w:sz="4" w:space="0" w:color="auto"/>
              <w:left w:val="single" w:sz="4" w:space="0" w:color="auto"/>
              <w:bottom w:val="single" w:sz="4" w:space="0" w:color="auto"/>
              <w:right w:val="single" w:sz="4" w:space="0" w:color="auto"/>
            </w:tcBorders>
            <w:vAlign w:val="bottom"/>
          </w:tcPr>
          <w:p w14:paraId="18E7193A" w14:textId="77777777" w:rsidR="00FD03FA" w:rsidRPr="00B33384" w:rsidRDefault="00FD03FA" w:rsidP="00FD03FA">
            <w:pPr>
              <w:jc w:val="center"/>
              <w:rPr>
                <w:bCs/>
              </w:rPr>
            </w:pPr>
            <w:r w:rsidRPr="00B33384">
              <w:rPr>
                <w:color w:val="000000"/>
              </w:rPr>
              <w:t xml:space="preserve">$1.5 </w:t>
            </w:r>
          </w:p>
        </w:tc>
      </w:tr>
      <w:tr w:rsidR="00FD03FA" w:rsidRPr="00B33384" w14:paraId="1ED84D9D"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7424B94F" w14:textId="77777777" w:rsidR="00FD03FA" w:rsidRPr="00B33384" w:rsidRDefault="00FD03FA" w:rsidP="00FD03FA">
            <w:pPr>
              <w:jc w:val="both"/>
              <w:rPr>
                <w:bCs/>
                <w:sz w:val="22"/>
                <w:szCs w:val="22"/>
              </w:rPr>
            </w:pPr>
            <w:r w:rsidRPr="00B33384">
              <w:rPr>
                <w:bCs/>
              </w:rPr>
              <w:t>Transmission Structure Hardening</w:t>
            </w:r>
          </w:p>
        </w:tc>
        <w:tc>
          <w:tcPr>
            <w:tcW w:w="1350" w:type="dxa"/>
            <w:tcBorders>
              <w:top w:val="single" w:sz="4" w:space="0" w:color="auto"/>
              <w:left w:val="single" w:sz="4" w:space="0" w:color="auto"/>
              <w:bottom w:val="single" w:sz="4" w:space="0" w:color="auto"/>
              <w:right w:val="single" w:sz="4" w:space="0" w:color="auto"/>
            </w:tcBorders>
            <w:vAlign w:val="center"/>
          </w:tcPr>
          <w:p w14:paraId="3FE5FBDE" w14:textId="77777777" w:rsidR="00FD03FA" w:rsidRPr="00B33384" w:rsidRDefault="00FD03FA" w:rsidP="00FD03FA">
            <w:pPr>
              <w:jc w:val="center"/>
              <w:rPr>
                <w:bCs/>
              </w:rPr>
            </w:pPr>
            <w:r w:rsidRPr="00B33384">
              <w:rPr>
                <w:color w:val="000000"/>
              </w:rPr>
              <w:t xml:space="preserve">$142.5 </w:t>
            </w:r>
          </w:p>
        </w:tc>
        <w:tc>
          <w:tcPr>
            <w:tcW w:w="1440" w:type="dxa"/>
            <w:tcBorders>
              <w:top w:val="single" w:sz="4" w:space="0" w:color="auto"/>
              <w:left w:val="single" w:sz="4" w:space="0" w:color="auto"/>
              <w:bottom w:val="single" w:sz="4" w:space="0" w:color="auto"/>
              <w:right w:val="single" w:sz="4" w:space="0" w:color="auto"/>
            </w:tcBorders>
            <w:vAlign w:val="center"/>
          </w:tcPr>
          <w:p w14:paraId="74FC4A56" w14:textId="77777777" w:rsidR="00FD03FA" w:rsidRPr="00B33384" w:rsidRDefault="00FD03FA" w:rsidP="00FD03FA">
            <w:pPr>
              <w:jc w:val="center"/>
              <w:rPr>
                <w:bCs/>
              </w:rPr>
            </w:pPr>
            <w:r w:rsidRPr="00B33384">
              <w:rPr>
                <w:color w:val="000000"/>
              </w:rPr>
              <w:t xml:space="preserve">$153.6 </w:t>
            </w:r>
          </w:p>
        </w:tc>
        <w:tc>
          <w:tcPr>
            <w:tcW w:w="1350" w:type="dxa"/>
            <w:tcBorders>
              <w:top w:val="single" w:sz="4" w:space="0" w:color="auto"/>
              <w:left w:val="single" w:sz="4" w:space="0" w:color="auto"/>
              <w:bottom w:val="single" w:sz="4" w:space="0" w:color="auto"/>
              <w:right w:val="single" w:sz="4" w:space="0" w:color="auto"/>
            </w:tcBorders>
            <w:vAlign w:val="center"/>
          </w:tcPr>
          <w:p w14:paraId="0DBCCB84" w14:textId="77777777" w:rsidR="00FD03FA" w:rsidRPr="00B33384" w:rsidRDefault="00FD03FA" w:rsidP="00FD03FA">
            <w:pPr>
              <w:jc w:val="center"/>
              <w:rPr>
                <w:bCs/>
              </w:rPr>
            </w:pPr>
            <w:r w:rsidRPr="00B33384">
              <w:rPr>
                <w:color w:val="000000"/>
              </w:rPr>
              <w:t xml:space="preserve">$167.7 </w:t>
            </w:r>
          </w:p>
        </w:tc>
      </w:tr>
      <w:tr w:rsidR="00FD03FA" w:rsidRPr="00B33384" w14:paraId="2FC026C8"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6B263E86" w14:textId="77777777" w:rsidR="00FD03FA" w:rsidRPr="00B33384" w:rsidRDefault="00FD03FA" w:rsidP="00FD03FA">
            <w:pPr>
              <w:jc w:val="both"/>
              <w:rPr>
                <w:bCs/>
              </w:rPr>
            </w:pPr>
            <w:r w:rsidRPr="00B33384">
              <w:rPr>
                <w:bCs/>
              </w:rPr>
              <w:t>Transmission Substation Flood Mitigation</w:t>
            </w:r>
          </w:p>
        </w:tc>
        <w:tc>
          <w:tcPr>
            <w:tcW w:w="1350" w:type="dxa"/>
            <w:tcBorders>
              <w:top w:val="single" w:sz="4" w:space="0" w:color="auto"/>
              <w:left w:val="single" w:sz="4" w:space="0" w:color="auto"/>
              <w:bottom w:val="single" w:sz="4" w:space="0" w:color="auto"/>
              <w:right w:val="single" w:sz="4" w:space="0" w:color="auto"/>
            </w:tcBorders>
            <w:vAlign w:val="center"/>
          </w:tcPr>
          <w:p w14:paraId="35398740" w14:textId="77777777" w:rsidR="00FD03FA" w:rsidRPr="00B33384" w:rsidRDefault="00FD03FA" w:rsidP="00FD03FA">
            <w:pPr>
              <w:jc w:val="center"/>
              <w:rPr>
                <w:bCs/>
              </w:rPr>
            </w:pPr>
            <w:r w:rsidRPr="00B33384">
              <w:rPr>
                <w:color w:val="000000"/>
              </w:rPr>
              <w:t xml:space="preserve">$3.8 </w:t>
            </w:r>
          </w:p>
        </w:tc>
        <w:tc>
          <w:tcPr>
            <w:tcW w:w="1440" w:type="dxa"/>
            <w:tcBorders>
              <w:top w:val="single" w:sz="4" w:space="0" w:color="auto"/>
              <w:left w:val="single" w:sz="4" w:space="0" w:color="auto"/>
              <w:bottom w:val="single" w:sz="4" w:space="0" w:color="auto"/>
              <w:right w:val="single" w:sz="4" w:space="0" w:color="auto"/>
            </w:tcBorders>
            <w:vAlign w:val="center"/>
          </w:tcPr>
          <w:p w14:paraId="7B0683BA" w14:textId="77777777" w:rsidR="00FD03FA" w:rsidRPr="00B33384" w:rsidRDefault="00FD03FA" w:rsidP="00FD03FA">
            <w:pPr>
              <w:jc w:val="center"/>
              <w:rPr>
                <w:bCs/>
              </w:rPr>
            </w:pPr>
            <w:r w:rsidRPr="00B33384">
              <w:rPr>
                <w:color w:val="000000"/>
              </w:rPr>
              <w:t xml:space="preserve">$3.8 </w:t>
            </w:r>
          </w:p>
        </w:tc>
        <w:tc>
          <w:tcPr>
            <w:tcW w:w="1350" w:type="dxa"/>
            <w:tcBorders>
              <w:top w:val="single" w:sz="4" w:space="0" w:color="auto"/>
              <w:left w:val="single" w:sz="4" w:space="0" w:color="auto"/>
              <w:bottom w:val="single" w:sz="4" w:space="0" w:color="auto"/>
              <w:right w:val="single" w:sz="4" w:space="0" w:color="auto"/>
            </w:tcBorders>
            <w:vAlign w:val="center"/>
          </w:tcPr>
          <w:p w14:paraId="43F882D6" w14:textId="77777777" w:rsidR="00FD03FA" w:rsidRPr="00B33384" w:rsidRDefault="00FD03FA" w:rsidP="00FD03FA">
            <w:pPr>
              <w:jc w:val="center"/>
              <w:rPr>
                <w:bCs/>
              </w:rPr>
            </w:pPr>
            <w:r w:rsidRPr="00B33384">
              <w:rPr>
                <w:color w:val="000000"/>
              </w:rPr>
              <w:t xml:space="preserve">$3.8 </w:t>
            </w:r>
          </w:p>
        </w:tc>
      </w:tr>
      <w:tr w:rsidR="00FD03FA" w:rsidRPr="00B33384" w14:paraId="02C8C458"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799C94BA" w14:textId="77777777" w:rsidR="00FD03FA" w:rsidRPr="00B33384" w:rsidRDefault="00FD03FA" w:rsidP="00FD03FA">
            <w:pPr>
              <w:jc w:val="both"/>
              <w:rPr>
                <w:bCs/>
              </w:rPr>
            </w:pPr>
            <w:r w:rsidRPr="00B33384">
              <w:rPr>
                <w:bCs/>
              </w:rPr>
              <w:t>Transmission Loop Radially Fed Substations</w:t>
            </w:r>
          </w:p>
        </w:tc>
        <w:tc>
          <w:tcPr>
            <w:tcW w:w="1350" w:type="dxa"/>
            <w:tcBorders>
              <w:top w:val="single" w:sz="4" w:space="0" w:color="auto"/>
              <w:left w:val="single" w:sz="4" w:space="0" w:color="auto"/>
              <w:bottom w:val="single" w:sz="4" w:space="0" w:color="auto"/>
              <w:right w:val="single" w:sz="4" w:space="0" w:color="auto"/>
            </w:tcBorders>
            <w:vAlign w:val="center"/>
          </w:tcPr>
          <w:p w14:paraId="0702AE1E" w14:textId="77777777" w:rsidR="00FD03FA" w:rsidRPr="00B33384" w:rsidRDefault="00FD03FA" w:rsidP="00FD03FA">
            <w:pPr>
              <w:jc w:val="center"/>
              <w:rPr>
                <w:bCs/>
              </w:rPr>
            </w:pPr>
            <w:r w:rsidRPr="00B33384">
              <w:rPr>
                <w:bCs/>
              </w:rPr>
              <w:t>-</w:t>
            </w:r>
          </w:p>
        </w:tc>
        <w:tc>
          <w:tcPr>
            <w:tcW w:w="1440" w:type="dxa"/>
            <w:tcBorders>
              <w:top w:val="single" w:sz="4" w:space="0" w:color="auto"/>
              <w:left w:val="single" w:sz="4" w:space="0" w:color="auto"/>
              <w:bottom w:val="single" w:sz="4" w:space="0" w:color="auto"/>
              <w:right w:val="single" w:sz="4" w:space="0" w:color="auto"/>
            </w:tcBorders>
            <w:vAlign w:val="center"/>
          </w:tcPr>
          <w:p w14:paraId="0CDE62D5" w14:textId="77777777" w:rsidR="00FD03FA" w:rsidRPr="00B33384" w:rsidRDefault="00FD03FA" w:rsidP="00FD03FA">
            <w:pPr>
              <w:jc w:val="center"/>
              <w:rPr>
                <w:bCs/>
              </w:rPr>
            </w:pPr>
            <w:r w:rsidRPr="00B33384">
              <w:rPr>
                <w:color w:val="000000"/>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4A82461E" w14:textId="77777777" w:rsidR="00FD03FA" w:rsidRPr="00B33384" w:rsidRDefault="00FD03FA" w:rsidP="00FD03FA">
            <w:pPr>
              <w:jc w:val="center"/>
              <w:rPr>
                <w:bCs/>
              </w:rPr>
            </w:pPr>
            <w:r w:rsidRPr="00B33384">
              <w:rPr>
                <w:color w:val="000000"/>
              </w:rPr>
              <w:t xml:space="preserve">$10.3 </w:t>
            </w:r>
          </w:p>
        </w:tc>
      </w:tr>
      <w:tr w:rsidR="00FD03FA" w:rsidRPr="00B33384" w14:paraId="26503D5A"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6B211678" w14:textId="77777777" w:rsidR="00FD03FA" w:rsidRPr="00B33384" w:rsidRDefault="00FD03FA" w:rsidP="00FD03FA">
            <w:pPr>
              <w:jc w:val="both"/>
              <w:rPr>
                <w:bCs/>
              </w:rPr>
            </w:pPr>
            <w:r w:rsidRPr="00B33384">
              <w:rPr>
                <w:bCs/>
              </w:rPr>
              <w:t xml:space="preserve">Transmission Substation Hardening </w:t>
            </w:r>
          </w:p>
        </w:tc>
        <w:tc>
          <w:tcPr>
            <w:tcW w:w="1350" w:type="dxa"/>
            <w:tcBorders>
              <w:top w:val="single" w:sz="4" w:space="0" w:color="auto"/>
              <w:left w:val="single" w:sz="4" w:space="0" w:color="auto"/>
              <w:bottom w:val="single" w:sz="4" w:space="0" w:color="auto"/>
              <w:right w:val="single" w:sz="4" w:space="0" w:color="auto"/>
            </w:tcBorders>
            <w:vAlign w:val="center"/>
          </w:tcPr>
          <w:p w14:paraId="6F67E3C4" w14:textId="77777777" w:rsidR="00FD03FA" w:rsidRPr="00B33384" w:rsidRDefault="00FD03FA" w:rsidP="00FD03FA">
            <w:pPr>
              <w:jc w:val="center"/>
              <w:rPr>
                <w:bCs/>
              </w:rPr>
            </w:pPr>
            <w:r w:rsidRPr="00B33384">
              <w:rPr>
                <w:color w:val="000000"/>
              </w:rPr>
              <w:t xml:space="preserve">$9.5 </w:t>
            </w:r>
          </w:p>
        </w:tc>
        <w:tc>
          <w:tcPr>
            <w:tcW w:w="1440" w:type="dxa"/>
            <w:tcBorders>
              <w:top w:val="single" w:sz="4" w:space="0" w:color="auto"/>
              <w:left w:val="single" w:sz="4" w:space="0" w:color="auto"/>
              <w:bottom w:val="single" w:sz="4" w:space="0" w:color="auto"/>
              <w:right w:val="single" w:sz="4" w:space="0" w:color="auto"/>
            </w:tcBorders>
            <w:vAlign w:val="center"/>
          </w:tcPr>
          <w:p w14:paraId="7F99D5CD" w14:textId="77777777" w:rsidR="00FD03FA" w:rsidRPr="00B33384" w:rsidRDefault="00FD03FA" w:rsidP="00FD03FA">
            <w:pPr>
              <w:jc w:val="center"/>
              <w:rPr>
                <w:bCs/>
              </w:rPr>
            </w:pPr>
            <w:r w:rsidRPr="00B33384">
              <w:rPr>
                <w:color w:val="000000"/>
              </w:rPr>
              <w:t xml:space="preserve">$11.5 </w:t>
            </w:r>
          </w:p>
        </w:tc>
        <w:tc>
          <w:tcPr>
            <w:tcW w:w="1350" w:type="dxa"/>
            <w:tcBorders>
              <w:top w:val="single" w:sz="4" w:space="0" w:color="auto"/>
              <w:left w:val="single" w:sz="4" w:space="0" w:color="auto"/>
              <w:bottom w:val="single" w:sz="4" w:space="0" w:color="auto"/>
              <w:right w:val="single" w:sz="4" w:space="0" w:color="auto"/>
            </w:tcBorders>
            <w:vAlign w:val="center"/>
          </w:tcPr>
          <w:p w14:paraId="4BAC2690" w14:textId="77777777" w:rsidR="00FD03FA" w:rsidRPr="00B33384" w:rsidRDefault="00FD03FA" w:rsidP="00FD03FA">
            <w:pPr>
              <w:jc w:val="center"/>
              <w:rPr>
                <w:bCs/>
              </w:rPr>
            </w:pPr>
            <w:r w:rsidRPr="00B33384">
              <w:rPr>
                <w:color w:val="000000"/>
              </w:rPr>
              <w:t xml:space="preserve">$14.0 </w:t>
            </w:r>
          </w:p>
        </w:tc>
      </w:tr>
      <w:tr w:rsidR="00FD03FA" w:rsidRPr="00B33384" w14:paraId="7FFCE180"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6F4E73C5" w14:textId="77777777" w:rsidR="00FD03FA" w:rsidRPr="00B33384" w:rsidRDefault="00FD03FA" w:rsidP="00FD03FA">
            <w:pPr>
              <w:jc w:val="both"/>
              <w:rPr>
                <w:bCs/>
              </w:rPr>
            </w:pPr>
            <w:r w:rsidRPr="00B33384">
              <w:rPr>
                <w:bCs/>
              </w:rPr>
              <w:t>Distribution Vegetation Management</w:t>
            </w:r>
          </w:p>
        </w:tc>
        <w:tc>
          <w:tcPr>
            <w:tcW w:w="1350" w:type="dxa"/>
            <w:tcBorders>
              <w:top w:val="single" w:sz="4" w:space="0" w:color="auto"/>
              <w:left w:val="single" w:sz="4" w:space="0" w:color="auto"/>
              <w:bottom w:val="single" w:sz="4" w:space="0" w:color="auto"/>
              <w:right w:val="single" w:sz="4" w:space="0" w:color="auto"/>
            </w:tcBorders>
            <w:vAlign w:val="center"/>
          </w:tcPr>
          <w:p w14:paraId="2FBC30BF" w14:textId="77777777" w:rsidR="00FD03FA" w:rsidRPr="00B33384" w:rsidRDefault="00FD03FA" w:rsidP="00FD03FA">
            <w:pPr>
              <w:jc w:val="center"/>
              <w:rPr>
                <w:bCs/>
              </w:rPr>
            </w:pPr>
            <w:r w:rsidRPr="00B33384">
              <w:rPr>
                <w:color w:val="000000"/>
              </w:rPr>
              <w:t xml:space="preserve">$47.1 </w:t>
            </w:r>
          </w:p>
        </w:tc>
        <w:tc>
          <w:tcPr>
            <w:tcW w:w="1440" w:type="dxa"/>
            <w:tcBorders>
              <w:top w:val="single" w:sz="4" w:space="0" w:color="auto"/>
              <w:left w:val="single" w:sz="4" w:space="0" w:color="auto"/>
              <w:bottom w:val="single" w:sz="4" w:space="0" w:color="auto"/>
              <w:right w:val="single" w:sz="4" w:space="0" w:color="auto"/>
            </w:tcBorders>
            <w:vAlign w:val="center"/>
          </w:tcPr>
          <w:p w14:paraId="61A6E3AE" w14:textId="77777777" w:rsidR="00FD03FA" w:rsidRPr="00B33384" w:rsidRDefault="00FD03FA" w:rsidP="00FD03FA">
            <w:pPr>
              <w:jc w:val="center"/>
              <w:rPr>
                <w:bCs/>
              </w:rPr>
            </w:pPr>
            <w:r w:rsidRPr="00B33384">
              <w:rPr>
                <w:color w:val="000000"/>
              </w:rPr>
              <w:t xml:space="preserve">$48.5 </w:t>
            </w:r>
          </w:p>
        </w:tc>
        <w:tc>
          <w:tcPr>
            <w:tcW w:w="1350" w:type="dxa"/>
            <w:tcBorders>
              <w:top w:val="single" w:sz="4" w:space="0" w:color="auto"/>
              <w:left w:val="single" w:sz="4" w:space="0" w:color="auto"/>
              <w:bottom w:val="single" w:sz="4" w:space="0" w:color="auto"/>
              <w:right w:val="single" w:sz="4" w:space="0" w:color="auto"/>
            </w:tcBorders>
            <w:vAlign w:val="center"/>
          </w:tcPr>
          <w:p w14:paraId="5A797150" w14:textId="77777777" w:rsidR="00FD03FA" w:rsidRPr="00B33384" w:rsidRDefault="00FD03FA" w:rsidP="00FD03FA">
            <w:pPr>
              <w:jc w:val="center"/>
              <w:rPr>
                <w:bCs/>
              </w:rPr>
            </w:pPr>
            <w:r w:rsidRPr="00B33384">
              <w:rPr>
                <w:color w:val="000000"/>
              </w:rPr>
              <w:t xml:space="preserve">$49.9 </w:t>
            </w:r>
          </w:p>
        </w:tc>
      </w:tr>
      <w:tr w:rsidR="00FD03FA" w:rsidRPr="00B33384" w14:paraId="19AAD943"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2363EABB" w14:textId="77777777" w:rsidR="00FD03FA" w:rsidRPr="00B33384" w:rsidRDefault="00FD03FA" w:rsidP="00FD03FA">
            <w:pPr>
              <w:jc w:val="both"/>
              <w:rPr>
                <w:bCs/>
                <w:sz w:val="22"/>
                <w:szCs w:val="22"/>
              </w:rPr>
            </w:pPr>
            <w:r w:rsidRPr="00B33384">
              <w:rPr>
                <w:bCs/>
              </w:rPr>
              <w:t>Transmission Vegetation Management</w:t>
            </w:r>
          </w:p>
        </w:tc>
        <w:tc>
          <w:tcPr>
            <w:tcW w:w="1350" w:type="dxa"/>
            <w:tcBorders>
              <w:top w:val="single" w:sz="4" w:space="0" w:color="auto"/>
              <w:left w:val="single" w:sz="4" w:space="0" w:color="auto"/>
              <w:bottom w:val="single" w:sz="4" w:space="0" w:color="auto"/>
              <w:right w:val="single" w:sz="4" w:space="0" w:color="auto"/>
            </w:tcBorders>
            <w:vAlign w:val="center"/>
          </w:tcPr>
          <w:p w14:paraId="4B30CBE5" w14:textId="77777777" w:rsidR="00FD03FA" w:rsidRPr="00B33384" w:rsidRDefault="00FD03FA" w:rsidP="00FD03FA">
            <w:pPr>
              <w:jc w:val="center"/>
              <w:rPr>
                <w:bCs/>
              </w:rPr>
            </w:pPr>
            <w:r w:rsidRPr="00B33384">
              <w:rPr>
                <w:color w:val="000000"/>
              </w:rPr>
              <w:t xml:space="preserve">$21.8 </w:t>
            </w:r>
          </w:p>
        </w:tc>
        <w:tc>
          <w:tcPr>
            <w:tcW w:w="1440" w:type="dxa"/>
            <w:tcBorders>
              <w:top w:val="single" w:sz="4" w:space="0" w:color="auto"/>
              <w:left w:val="single" w:sz="4" w:space="0" w:color="auto"/>
              <w:bottom w:val="single" w:sz="4" w:space="0" w:color="auto"/>
              <w:right w:val="single" w:sz="4" w:space="0" w:color="auto"/>
            </w:tcBorders>
            <w:vAlign w:val="center"/>
          </w:tcPr>
          <w:p w14:paraId="2A0AE05E" w14:textId="77777777" w:rsidR="00FD03FA" w:rsidRPr="00B33384" w:rsidRDefault="00FD03FA" w:rsidP="00FD03FA">
            <w:pPr>
              <w:jc w:val="center"/>
              <w:rPr>
                <w:bCs/>
              </w:rPr>
            </w:pPr>
            <w:r w:rsidRPr="00B33384">
              <w:rPr>
                <w:color w:val="000000"/>
              </w:rPr>
              <w:t xml:space="preserve">$24.9 </w:t>
            </w:r>
          </w:p>
        </w:tc>
        <w:tc>
          <w:tcPr>
            <w:tcW w:w="1350" w:type="dxa"/>
            <w:tcBorders>
              <w:top w:val="single" w:sz="4" w:space="0" w:color="auto"/>
              <w:left w:val="single" w:sz="4" w:space="0" w:color="auto"/>
              <w:bottom w:val="single" w:sz="4" w:space="0" w:color="auto"/>
              <w:right w:val="single" w:sz="4" w:space="0" w:color="auto"/>
            </w:tcBorders>
            <w:vAlign w:val="center"/>
          </w:tcPr>
          <w:p w14:paraId="7E4E3742" w14:textId="77777777" w:rsidR="00FD03FA" w:rsidRPr="00B33384" w:rsidRDefault="00FD03FA" w:rsidP="00FD03FA">
            <w:pPr>
              <w:jc w:val="center"/>
              <w:rPr>
                <w:bCs/>
              </w:rPr>
            </w:pPr>
            <w:r w:rsidRPr="00B33384">
              <w:rPr>
                <w:color w:val="000000"/>
              </w:rPr>
              <w:t xml:space="preserve">$23.2 </w:t>
            </w:r>
          </w:p>
        </w:tc>
      </w:tr>
      <w:tr w:rsidR="00FD03FA" w:rsidRPr="00B33384" w14:paraId="2427B4FC"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tcPr>
          <w:p w14:paraId="4A5DA399" w14:textId="77777777" w:rsidR="00FD03FA" w:rsidRPr="00B33384" w:rsidRDefault="00FD03FA" w:rsidP="00FD03FA">
            <w:pPr>
              <w:jc w:val="both"/>
              <w:rPr>
                <w:bCs/>
              </w:rPr>
            </w:pPr>
            <w:r w:rsidRPr="00B33384">
              <w:rPr>
                <w:bCs/>
              </w:rPr>
              <w:t>Total</w:t>
            </w:r>
          </w:p>
        </w:tc>
        <w:tc>
          <w:tcPr>
            <w:tcW w:w="1350" w:type="dxa"/>
            <w:tcBorders>
              <w:top w:val="single" w:sz="4" w:space="0" w:color="auto"/>
              <w:left w:val="single" w:sz="4" w:space="0" w:color="auto"/>
              <w:bottom w:val="single" w:sz="4" w:space="0" w:color="auto"/>
              <w:right w:val="single" w:sz="4" w:space="0" w:color="auto"/>
            </w:tcBorders>
          </w:tcPr>
          <w:p w14:paraId="055A10A2" w14:textId="77777777" w:rsidR="00FD03FA" w:rsidRPr="00B33384" w:rsidRDefault="00FD03FA" w:rsidP="00FD03FA">
            <w:pPr>
              <w:jc w:val="center"/>
              <w:rPr>
                <w:color w:val="000000"/>
              </w:rPr>
            </w:pPr>
            <w:r w:rsidRPr="00B33384">
              <w:t>$674.7</w:t>
            </w:r>
          </w:p>
        </w:tc>
        <w:tc>
          <w:tcPr>
            <w:tcW w:w="1440" w:type="dxa"/>
            <w:tcBorders>
              <w:top w:val="single" w:sz="4" w:space="0" w:color="auto"/>
              <w:left w:val="single" w:sz="4" w:space="0" w:color="auto"/>
              <w:bottom w:val="single" w:sz="4" w:space="0" w:color="auto"/>
              <w:right w:val="single" w:sz="4" w:space="0" w:color="auto"/>
            </w:tcBorders>
          </w:tcPr>
          <w:p w14:paraId="6B3CC77A" w14:textId="77777777" w:rsidR="00FD03FA" w:rsidRPr="00B33384" w:rsidRDefault="00FD03FA" w:rsidP="00FD03FA">
            <w:pPr>
              <w:jc w:val="center"/>
              <w:rPr>
                <w:color w:val="000000"/>
              </w:rPr>
            </w:pPr>
            <w:r w:rsidRPr="00B33384">
              <w:t xml:space="preserve">$770.5 </w:t>
            </w:r>
          </w:p>
        </w:tc>
        <w:tc>
          <w:tcPr>
            <w:tcW w:w="1350" w:type="dxa"/>
            <w:tcBorders>
              <w:top w:val="single" w:sz="4" w:space="0" w:color="auto"/>
              <w:left w:val="single" w:sz="4" w:space="0" w:color="auto"/>
              <w:bottom w:val="single" w:sz="4" w:space="0" w:color="auto"/>
              <w:right w:val="single" w:sz="4" w:space="0" w:color="auto"/>
            </w:tcBorders>
          </w:tcPr>
          <w:p w14:paraId="15BD8F1B" w14:textId="77777777" w:rsidR="00FD03FA" w:rsidRPr="00B33384" w:rsidRDefault="00FD03FA" w:rsidP="00FD03FA">
            <w:pPr>
              <w:jc w:val="center"/>
              <w:rPr>
                <w:color w:val="000000"/>
              </w:rPr>
            </w:pPr>
            <w:r w:rsidRPr="00B33384">
              <w:t xml:space="preserve">$854.2 </w:t>
            </w:r>
          </w:p>
        </w:tc>
      </w:tr>
    </w:tbl>
    <w:p w14:paraId="2256E78A" w14:textId="77777777" w:rsidR="00C73A63" w:rsidRPr="00B33384" w:rsidRDefault="00C73A63" w:rsidP="00FD03FA">
      <w:pPr>
        <w:jc w:val="both"/>
        <w:outlineLvl w:val="2"/>
      </w:pPr>
    </w:p>
    <w:p w14:paraId="7AFD5140" w14:textId="0DEB0E97" w:rsidR="00FD03FA" w:rsidRDefault="0043009E" w:rsidP="00521564">
      <w:pPr>
        <w:ind w:firstLine="720"/>
        <w:jc w:val="both"/>
        <w:outlineLvl w:val="2"/>
      </w:pPr>
      <w:r>
        <w:t xml:space="preserve">We disagree with the Joint Parties that DEF’s </w:t>
      </w:r>
      <w:r w:rsidRPr="00B33384">
        <w:t xml:space="preserve">estimated costs and benefits </w:t>
      </w:r>
      <w:r>
        <w:t>methodol</w:t>
      </w:r>
      <w:r w:rsidR="00AA3FD6">
        <w:t>o</w:t>
      </w:r>
      <w:r>
        <w:t xml:space="preserve">gy was flawed. </w:t>
      </w:r>
      <w:r w:rsidR="00FD03FA" w:rsidRPr="00B33384">
        <w:t xml:space="preserve">DEF </w:t>
      </w:r>
      <w:r w:rsidR="003C4527">
        <w:t>e</w:t>
      </w:r>
      <w:r w:rsidR="00FD03FA" w:rsidRPr="00B33384">
        <w:t xml:space="preserve">stimated the reduction in outage times and restoration costs that could result from the implementation of its proposed SPP programs. </w:t>
      </w:r>
      <w:r w:rsidR="001C4867">
        <w:t xml:space="preserve"> </w:t>
      </w:r>
      <w:r w:rsidR="00FD03FA" w:rsidRPr="00B33384">
        <w:t xml:space="preserve">The </w:t>
      </w:r>
      <w:r w:rsidR="003968FD">
        <w:t>Utility</w:t>
      </w:r>
      <w:r w:rsidR="00FD03FA" w:rsidRPr="00B33384">
        <w:t xml:space="preserve"> also listed in its plan the program costs, including capital and operating expenses. </w:t>
      </w:r>
      <w:r w:rsidR="00354E54">
        <w:t xml:space="preserve"> </w:t>
      </w:r>
      <w:r w:rsidR="0019295C">
        <w:t>Because DEF provided</w:t>
      </w:r>
      <w:r w:rsidR="0019295C" w:rsidRPr="00B33384">
        <w:t xml:space="preserve"> the estimated costs and benefits </w:t>
      </w:r>
      <w:r w:rsidR="0019295C">
        <w:t>associated with its SPP</w:t>
      </w:r>
      <w:r w:rsidR="005F1B5D">
        <w:t xml:space="preserve"> and it was supported by a reasonable </w:t>
      </w:r>
      <w:r>
        <w:t>methodol</w:t>
      </w:r>
      <w:r w:rsidR="00AA3FD6">
        <w:t>o</w:t>
      </w:r>
      <w:r>
        <w:t>gy</w:t>
      </w:r>
      <w:r w:rsidR="0019295C">
        <w:t xml:space="preserve">, we find its SPP met the estimated costs and benefits requirements of Section 366.96, F.S. </w:t>
      </w:r>
      <w:r w:rsidR="0019295C" w:rsidRPr="00B33384">
        <w:t xml:space="preserve"> </w:t>
      </w:r>
    </w:p>
    <w:p w14:paraId="63230653" w14:textId="2DF7AADE" w:rsidR="00FD03FA" w:rsidRPr="00B33384" w:rsidRDefault="00FD03FA" w:rsidP="00FD03FA">
      <w:pPr>
        <w:jc w:val="both"/>
        <w:outlineLvl w:val="2"/>
      </w:pPr>
    </w:p>
    <w:p w14:paraId="51B68494" w14:textId="77777777" w:rsidR="00FD03FA" w:rsidRPr="00521564" w:rsidRDefault="00521564" w:rsidP="00521564">
      <w:pPr>
        <w:pStyle w:val="ListParagraph"/>
        <w:numPr>
          <w:ilvl w:val="0"/>
          <w:numId w:val="13"/>
        </w:numPr>
        <w:spacing w:after="240"/>
        <w:ind w:left="1080"/>
      </w:pPr>
      <w:r>
        <w:t>Conclusion</w:t>
      </w:r>
    </w:p>
    <w:p w14:paraId="62090737" w14:textId="2BC883C9" w:rsidR="00AE210D" w:rsidRPr="00B33384" w:rsidRDefault="00AE210D" w:rsidP="00521564">
      <w:pPr>
        <w:ind w:firstLine="720"/>
        <w:jc w:val="both"/>
        <w:outlineLvl w:val="2"/>
      </w:pPr>
      <w:r w:rsidRPr="00B33384">
        <w:t xml:space="preserve">The estimated costs of DEF’s SPP programs are shown </w:t>
      </w:r>
      <w:r w:rsidR="00561EDD">
        <w:t xml:space="preserve">above </w:t>
      </w:r>
      <w:r w:rsidRPr="00B33384">
        <w:t>in Table 1</w:t>
      </w:r>
      <w:r w:rsidR="00365EFB" w:rsidRPr="00B33384">
        <w:t xml:space="preserve">. </w:t>
      </w:r>
      <w:r w:rsidR="001C4867">
        <w:t xml:space="preserve"> </w:t>
      </w:r>
      <w:r w:rsidR="00365EFB" w:rsidRPr="00B33384">
        <w:t>T</w:t>
      </w:r>
      <w:r w:rsidRPr="00B33384">
        <w:t xml:space="preserve">he estimated benefits </w:t>
      </w:r>
      <w:r w:rsidR="00365EFB" w:rsidRPr="00B33384">
        <w:t xml:space="preserve">have been </w:t>
      </w:r>
      <w:r w:rsidRPr="00B33384">
        <w:t>characterized by the reduction in CMI.</w:t>
      </w:r>
    </w:p>
    <w:p w14:paraId="0F66C6F0" w14:textId="08FAA0B0" w:rsidR="00FD03FA" w:rsidRDefault="00FD03FA" w:rsidP="00FD03FA">
      <w:pPr>
        <w:jc w:val="both"/>
        <w:outlineLvl w:val="2"/>
      </w:pPr>
    </w:p>
    <w:p w14:paraId="11F34074" w14:textId="77777777" w:rsidR="004C1076" w:rsidRDefault="004C1076" w:rsidP="00FD03FA">
      <w:pPr>
        <w:jc w:val="both"/>
        <w:outlineLvl w:val="2"/>
      </w:pPr>
    </w:p>
    <w:p w14:paraId="409BA97B" w14:textId="77777777" w:rsidR="000F1F31" w:rsidRPr="003C4527" w:rsidRDefault="003C4527" w:rsidP="003C4527">
      <w:pPr>
        <w:spacing w:after="240"/>
        <w:ind w:left="720" w:hanging="720"/>
        <w:jc w:val="both"/>
        <w:rPr>
          <w:b/>
        </w:rPr>
      </w:pPr>
      <w:r w:rsidRPr="003C4527">
        <w:rPr>
          <w:b/>
        </w:rPr>
        <w:t>VI.</w:t>
      </w:r>
      <w:r w:rsidRPr="003C4527">
        <w:rPr>
          <w:b/>
        </w:rPr>
        <w:tab/>
        <w:t xml:space="preserve">What is the estimated annual rate impact </w:t>
      </w:r>
      <w:r w:rsidR="00354E54">
        <w:rPr>
          <w:b/>
        </w:rPr>
        <w:t>from</w:t>
      </w:r>
      <w:r w:rsidRPr="003C4527">
        <w:rPr>
          <w:b/>
        </w:rPr>
        <w:t xml:space="preserve"> </w:t>
      </w:r>
      <w:r w:rsidR="00354E54">
        <w:rPr>
          <w:b/>
        </w:rPr>
        <w:t xml:space="preserve">the </w:t>
      </w:r>
      <w:r w:rsidRPr="003C4527">
        <w:rPr>
          <w:b/>
        </w:rPr>
        <w:t>implement</w:t>
      </w:r>
      <w:r w:rsidR="00354E54">
        <w:rPr>
          <w:b/>
        </w:rPr>
        <w:t>ation of</w:t>
      </w:r>
      <w:r w:rsidRPr="003C4527">
        <w:rPr>
          <w:b/>
        </w:rPr>
        <w:t xml:space="preserve"> DEF’s SPP for the first three years?</w:t>
      </w:r>
    </w:p>
    <w:p w14:paraId="2EC1A2CF" w14:textId="77777777" w:rsidR="00FD03FA" w:rsidRDefault="000F1F31" w:rsidP="00FD03FA">
      <w:pPr>
        <w:pStyle w:val="ListParagraph"/>
        <w:numPr>
          <w:ilvl w:val="0"/>
          <w:numId w:val="14"/>
        </w:numPr>
        <w:jc w:val="both"/>
        <w:outlineLvl w:val="2"/>
      </w:pPr>
      <w:r>
        <w:t>Parties’ Arguments</w:t>
      </w:r>
    </w:p>
    <w:p w14:paraId="558FB1D8" w14:textId="77777777" w:rsidR="00596834" w:rsidRDefault="00596834" w:rsidP="00596834">
      <w:pPr>
        <w:jc w:val="both"/>
        <w:outlineLvl w:val="2"/>
      </w:pPr>
    </w:p>
    <w:p w14:paraId="27565BF7" w14:textId="06D814C2" w:rsidR="00AA3FD6" w:rsidRDefault="00596834" w:rsidP="00742173">
      <w:pPr>
        <w:ind w:firstLine="720"/>
        <w:jc w:val="both"/>
      </w:pPr>
      <w:r w:rsidRPr="00B33384">
        <w:t xml:space="preserve">DEF argued that there were fairly low levels of capital investment in the 2020 Plan </w:t>
      </w:r>
      <w:r w:rsidR="003C4527">
        <w:t xml:space="preserve">and that </w:t>
      </w:r>
      <w:r w:rsidRPr="00B33384">
        <w:t xml:space="preserve">if a </w:t>
      </w:r>
      <w:r w:rsidR="00CA3665">
        <w:t>capital spending comparison was</w:t>
      </w:r>
      <w:r w:rsidRPr="00B33384">
        <w:t xml:space="preserve"> to be made between the common years for the 2020 SPP and the 2023 SPP, the spendin</w:t>
      </w:r>
      <w:r>
        <w:t>g decreases.</w:t>
      </w:r>
      <w:r w:rsidRPr="00B33384">
        <w:t xml:space="preserve"> </w:t>
      </w:r>
      <w:r w:rsidR="0035112D">
        <w:t xml:space="preserve"> </w:t>
      </w:r>
      <w:r w:rsidRPr="00B33384">
        <w:t xml:space="preserve">Although the </w:t>
      </w:r>
      <w:r w:rsidR="003968FD">
        <w:t>Utility</w:t>
      </w:r>
      <w:r w:rsidRPr="00B33384">
        <w:t xml:space="preserve"> recognize</w:t>
      </w:r>
      <w:r w:rsidR="003968FD">
        <w:t>d</w:t>
      </w:r>
      <w:r w:rsidRPr="00B33384">
        <w:t xml:space="preserve"> the current economic climate, DEF argued that decreasing the 2023 SPP investment level by a</w:t>
      </w:r>
      <w:r w:rsidR="003C4527">
        <w:t>n arbitrar</w:t>
      </w:r>
      <w:r w:rsidRPr="00B33384">
        <w:t xml:space="preserve">y amount </w:t>
      </w:r>
      <w:r w:rsidR="003C4527">
        <w:t xml:space="preserve">as suggested by the Joint Parties </w:t>
      </w:r>
      <w:r w:rsidRPr="00B33384">
        <w:t>would also reduce or delay the benefits rea</w:t>
      </w:r>
      <w:r>
        <w:t>lized from the plan.</w:t>
      </w:r>
      <w:r w:rsidR="003C4527">
        <w:t xml:space="preserve"> </w:t>
      </w:r>
      <w:r w:rsidR="0035112D">
        <w:t xml:space="preserve"> </w:t>
      </w:r>
      <w:r w:rsidRPr="00B33384">
        <w:t>DEF argued the residential rates impact related to the 2023 SPP would be roughly one percent per year, which is similar for the commercial and industrial</w:t>
      </w:r>
      <w:r>
        <w:t xml:space="preserve"> customers.</w:t>
      </w:r>
      <w:r w:rsidRPr="00B33384">
        <w:t xml:space="preserve"> </w:t>
      </w:r>
      <w:r w:rsidR="0035112D">
        <w:t xml:space="preserve"> </w:t>
      </w:r>
      <w:r w:rsidRPr="00B33384">
        <w:t>Given the risk of extreme weather events to Florida customers, DEF argued the benefits of its SPP shoul</w:t>
      </w:r>
      <w:r>
        <w:t>d not be delayed.</w:t>
      </w:r>
      <w:r w:rsidR="003C4527">
        <w:t xml:space="preserve">  </w:t>
      </w:r>
    </w:p>
    <w:p w14:paraId="5CB37B39" w14:textId="77777777" w:rsidR="00AA3FD6" w:rsidRDefault="00AA3FD6" w:rsidP="00BC2F28">
      <w:pPr>
        <w:jc w:val="both"/>
      </w:pPr>
    </w:p>
    <w:p w14:paraId="2FB1FB78" w14:textId="49774DD5" w:rsidR="000F1F31" w:rsidRDefault="00FD03FA" w:rsidP="00BC2F28">
      <w:pPr>
        <w:jc w:val="both"/>
      </w:pPr>
      <w:r w:rsidRPr="00B33384">
        <w:lastRenderedPageBreak/>
        <w:t> </w:t>
      </w:r>
      <w:r w:rsidR="00BC2F28">
        <w:tab/>
      </w:r>
      <w:r w:rsidR="00883CC4" w:rsidRPr="00B33384">
        <w:rPr>
          <w:bCs/>
        </w:rPr>
        <w:t xml:space="preserve">The </w:t>
      </w:r>
      <w:r w:rsidR="00596834">
        <w:rPr>
          <w:bCs/>
        </w:rPr>
        <w:t xml:space="preserve">Joint Parties noted that the </w:t>
      </w:r>
      <w:r w:rsidR="00883CC4" w:rsidRPr="00B33384">
        <w:rPr>
          <w:bCs/>
        </w:rPr>
        <w:t>r</w:t>
      </w:r>
      <w:r w:rsidR="00596834">
        <w:rPr>
          <w:bCs/>
        </w:rPr>
        <w:t>ate impacts are estimated in DEF’s</w:t>
      </w:r>
      <w:r w:rsidR="00065CA6">
        <w:rPr>
          <w:bCs/>
        </w:rPr>
        <w:t xml:space="preserve"> 2023</w:t>
      </w:r>
      <w:r w:rsidR="003C4527">
        <w:rPr>
          <w:bCs/>
        </w:rPr>
        <w:t xml:space="preserve"> </w:t>
      </w:r>
      <w:r w:rsidR="00065CA6">
        <w:rPr>
          <w:bCs/>
        </w:rPr>
        <w:t>SP</w:t>
      </w:r>
      <w:r w:rsidR="003C4527">
        <w:rPr>
          <w:bCs/>
        </w:rPr>
        <w:t xml:space="preserve">P and </w:t>
      </w:r>
      <w:r w:rsidRPr="00B33384">
        <w:t xml:space="preserve">argued </w:t>
      </w:r>
      <w:r w:rsidR="003C4527">
        <w:t xml:space="preserve">that </w:t>
      </w:r>
      <w:r w:rsidRPr="00B33384">
        <w:t>the revenue requirements for the 2023 SPP increase significantly from year to year, which is further compounded when taking into account the base rate increases from the 2021 DEF rate case sett</w:t>
      </w:r>
      <w:r w:rsidR="00975F57">
        <w:t>lement.</w:t>
      </w:r>
      <w:r w:rsidRPr="00B33384">
        <w:t xml:space="preserve"> </w:t>
      </w:r>
      <w:r w:rsidR="0035112D">
        <w:t xml:space="preserve"> </w:t>
      </w:r>
      <w:r w:rsidRPr="00B33384">
        <w:t>The Joint Parties argued that DEF supplied its modeling contractor, Guidehouse, with “directional targets” for spending plan options, but the final proposed SPP only considered its own financial objectives rather than custome</w:t>
      </w:r>
      <w:r w:rsidR="00975F57">
        <w:t>r impacts.</w:t>
      </w:r>
      <w:r w:rsidR="0035112D">
        <w:t xml:space="preserve"> </w:t>
      </w:r>
      <w:r w:rsidRPr="00B33384">
        <w:t xml:space="preserve"> </w:t>
      </w:r>
      <w:r w:rsidR="003C4527">
        <w:t>T</w:t>
      </w:r>
      <w:r w:rsidRPr="00B33384">
        <w:t>he Joint Parties argued the 2023 SPP budget should be held at the 2020 spendi</w:t>
      </w:r>
      <w:r w:rsidR="00AB2066">
        <w:t>ng levels. Walmart took no position.</w:t>
      </w:r>
    </w:p>
    <w:p w14:paraId="5A08E915" w14:textId="77777777" w:rsidR="002903A3" w:rsidRDefault="002903A3" w:rsidP="00DD4BCE">
      <w:pPr>
        <w:jc w:val="both"/>
      </w:pPr>
    </w:p>
    <w:p w14:paraId="22E2B734" w14:textId="77777777" w:rsidR="000F1F31" w:rsidRPr="000F1F31" w:rsidRDefault="000F1F31" w:rsidP="000F1F31">
      <w:pPr>
        <w:pStyle w:val="ListParagraph"/>
        <w:numPr>
          <w:ilvl w:val="0"/>
          <w:numId w:val="14"/>
        </w:numPr>
        <w:spacing w:after="240"/>
        <w:outlineLvl w:val="2"/>
      </w:pPr>
      <w:r>
        <w:t>Analysis</w:t>
      </w:r>
    </w:p>
    <w:p w14:paraId="7AEF6D9F" w14:textId="022C970F" w:rsidR="00A4144C" w:rsidRPr="001361F5" w:rsidRDefault="00FD03FA" w:rsidP="001361F5">
      <w:pPr>
        <w:spacing w:after="240"/>
        <w:ind w:firstLine="720"/>
        <w:jc w:val="both"/>
        <w:outlineLvl w:val="2"/>
        <w:rPr>
          <w:bCs/>
        </w:rPr>
      </w:pPr>
      <w:r w:rsidRPr="00B33384">
        <w:rPr>
          <w:bCs/>
        </w:rPr>
        <w:t>S</w:t>
      </w:r>
      <w:r w:rsidR="0002059E">
        <w:rPr>
          <w:bCs/>
        </w:rPr>
        <w:t>ubs</w:t>
      </w:r>
      <w:r w:rsidRPr="00B33384">
        <w:rPr>
          <w:bCs/>
        </w:rPr>
        <w:t xml:space="preserve">ection 366.96(4)(d), F.S., </w:t>
      </w:r>
      <w:r w:rsidR="005F1B5D">
        <w:rPr>
          <w:bCs/>
        </w:rPr>
        <w:t>requires that we</w:t>
      </w:r>
      <w:r w:rsidRPr="00B33384">
        <w:rPr>
          <w:bCs/>
        </w:rPr>
        <w:t xml:space="preserve"> consider the estimated annual rate impact resulting from implementation of the plan during the first three years addressed in the plan. </w:t>
      </w:r>
      <w:r w:rsidR="0035112D">
        <w:rPr>
          <w:bCs/>
        </w:rPr>
        <w:t xml:space="preserve"> </w:t>
      </w:r>
      <w:r w:rsidRPr="00B33384">
        <w:rPr>
          <w:bCs/>
        </w:rPr>
        <w:t>Rule 25-6</w:t>
      </w:r>
      <w:r w:rsidR="00CA3665">
        <w:rPr>
          <w:bCs/>
        </w:rPr>
        <w:t>.030(3)(h), F.A.C., requires each</w:t>
      </w:r>
      <w:r w:rsidRPr="00B33384">
        <w:rPr>
          <w:bCs/>
        </w:rPr>
        <w:t xml:space="preserve"> utilit</w:t>
      </w:r>
      <w:r w:rsidR="00CA3665">
        <w:rPr>
          <w:bCs/>
        </w:rPr>
        <w:t>y</w:t>
      </w:r>
      <w:r w:rsidRPr="00B33384">
        <w:rPr>
          <w:bCs/>
        </w:rPr>
        <w:t xml:space="preserve"> to provide an estimate of the rate impact for each of the first three years of its SPP for the utility’s typical residential, commercial, and industrial customers.</w:t>
      </w:r>
      <w:r w:rsidR="0035112D">
        <w:rPr>
          <w:bCs/>
        </w:rPr>
        <w:t xml:space="preserve"> </w:t>
      </w:r>
      <w:r w:rsidRPr="00B33384">
        <w:rPr>
          <w:bCs/>
        </w:rPr>
        <w:t xml:space="preserve"> In addition, Rule 25-6</w:t>
      </w:r>
      <w:r w:rsidR="00CA3665">
        <w:rPr>
          <w:bCs/>
        </w:rPr>
        <w:t>.030(3)(i), F.A.C., requires each</w:t>
      </w:r>
      <w:r w:rsidRPr="00B33384">
        <w:rPr>
          <w:bCs/>
        </w:rPr>
        <w:t xml:space="preserve"> utilit</w:t>
      </w:r>
      <w:r w:rsidR="00CA3665">
        <w:rPr>
          <w:bCs/>
        </w:rPr>
        <w:t>y</w:t>
      </w:r>
      <w:r w:rsidRPr="00B33384">
        <w:rPr>
          <w:bCs/>
        </w:rPr>
        <w:t xml:space="preserve"> to provide a description of any implementation alternatives that could mitigate the resulting rate impact. </w:t>
      </w:r>
      <w:r w:rsidR="0035112D">
        <w:rPr>
          <w:bCs/>
        </w:rPr>
        <w:t xml:space="preserve"> </w:t>
      </w:r>
      <w:r w:rsidR="00E62EDD">
        <w:rPr>
          <w:bCs/>
        </w:rPr>
        <w:t>We first</w:t>
      </w:r>
      <w:r w:rsidRPr="00B33384">
        <w:rPr>
          <w:bCs/>
        </w:rPr>
        <w:t xml:space="preserve"> will address the annual rate impacts for the first three years of the </w:t>
      </w:r>
      <w:r w:rsidR="008B045F">
        <w:rPr>
          <w:bCs/>
        </w:rPr>
        <w:t>Utility</w:t>
      </w:r>
      <w:r w:rsidRPr="00B33384">
        <w:rPr>
          <w:bCs/>
        </w:rPr>
        <w:t>’s SPP and</w:t>
      </w:r>
      <w:r w:rsidR="003D6FCB">
        <w:rPr>
          <w:bCs/>
        </w:rPr>
        <w:t xml:space="preserve"> OPC’s</w:t>
      </w:r>
      <w:r w:rsidRPr="00B33384">
        <w:rPr>
          <w:bCs/>
        </w:rPr>
        <w:t xml:space="preserve"> deployment alternatives that </w:t>
      </w:r>
      <w:r w:rsidR="003D6FCB">
        <w:rPr>
          <w:bCs/>
        </w:rPr>
        <w:t>could</w:t>
      </w:r>
      <w:r w:rsidRPr="00B33384">
        <w:rPr>
          <w:bCs/>
        </w:rPr>
        <w:t xml:space="preserve"> mitigate rate impacts to customers.</w:t>
      </w:r>
    </w:p>
    <w:p w14:paraId="4B7FAFC2" w14:textId="38BF2BF4" w:rsidR="002903A3" w:rsidRDefault="00E62EDD" w:rsidP="00F7375B">
      <w:pPr>
        <w:spacing w:after="240"/>
        <w:ind w:firstLine="720"/>
        <w:jc w:val="both"/>
        <w:outlineLvl w:val="2"/>
        <w:rPr>
          <w:bCs/>
        </w:rPr>
      </w:pPr>
      <w:r>
        <w:t>DEF</w:t>
      </w:r>
      <w:r w:rsidR="0043009E">
        <w:t xml:space="preserve"> </w:t>
      </w:r>
      <w:r w:rsidR="00FD03FA" w:rsidRPr="00B33384">
        <w:rPr>
          <w:bCs/>
        </w:rPr>
        <w:t>provided the estimat</w:t>
      </w:r>
      <w:r w:rsidR="00561EDD">
        <w:rPr>
          <w:bCs/>
        </w:rPr>
        <w:t>ed rate impacts for residential, commercial, and industrial</w:t>
      </w:r>
      <w:r w:rsidR="00FD03FA" w:rsidRPr="00B33384">
        <w:rPr>
          <w:bCs/>
        </w:rPr>
        <w:t xml:space="preserve"> cust</w:t>
      </w:r>
      <w:r>
        <w:rPr>
          <w:bCs/>
        </w:rPr>
        <w:t>omers, which are</w:t>
      </w:r>
      <w:r w:rsidR="001361F5">
        <w:rPr>
          <w:bCs/>
        </w:rPr>
        <w:t xml:space="preserve"> shown in Table 2</w:t>
      </w:r>
      <w:r w:rsidR="00A13F6A">
        <w:rPr>
          <w:bCs/>
        </w:rPr>
        <w:t xml:space="preserve"> below:</w:t>
      </w:r>
    </w:p>
    <w:p w14:paraId="7C8684B5" w14:textId="78F87C46" w:rsidR="00FD03FA" w:rsidRPr="00B33384" w:rsidRDefault="00FD03FA" w:rsidP="00FD03FA">
      <w:pPr>
        <w:jc w:val="center"/>
        <w:rPr>
          <w:b/>
          <w:bCs/>
        </w:rPr>
      </w:pPr>
      <w:r w:rsidRPr="00B33384">
        <w:rPr>
          <w:b/>
          <w:bCs/>
        </w:rPr>
        <w:t xml:space="preserve">Table </w:t>
      </w:r>
      <w:r w:rsidR="001361F5">
        <w:rPr>
          <w:b/>
          <w:bCs/>
        </w:rPr>
        <w:t>2</w:t>
      </w:r>
    </w:p>
    <w:p w14:paraId="4F9E0EC9" w14:textId="77777777" w:rsidR="00FD03FA" w:rsidRPr="00B33384" w:rsidRDefault="00FD03FA" w:rsidP="00FD03FA">
      <w:pPr>
        <w:jc w:val="center"/>
        <w:rPr>
          <w:b/>
          <w:bCs/>
        </w:rPr>
      </w:pPr>
      <w:r w:rsidRPr="00B33384">
        <w:rPr>
          <w:b/>
          <w:bCs/>
        </w:rPr>
        <w:t>SPP Estimated Rate Impacts (2023-2025)</w:t>
      </w:r>
    </w:p>
    <w:tbl>
      <w:tblPr>
        <w:tblStyle w:val="TableGrid"/>
        <w:tblW w:w="9625" w:type="dxa"/>
        <w:jc w:val="center"/>
        <w:tblLook w:val="04A0" w:firstRow="1" w:lastRow="0" w:firstColumn="1" w:lastColumn="0" w:noHBand="0" w:noVBand="1"/>
      </w:tblPr>
      <w:tblGrid>
        <w:gridCol w:w="5485"/>
        <w:gridCol w:w="1350"/>
        <w:gridCol w:w="1440"/>
        <w:gridCol w:w="1350"/>
      </w:tblGrid>
      <w:tr w:rsidR="00FD03FA" w:rsidRPr="00B33384" w14:paraId="5520E042"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hideMark/>
          </w:tcPr>
          <w:p w14:paraId="7DAA18BF" w14:textId="77777777" w:rsidR="00FD03FA" w:rsidRPr="00B33384" w:rsidRDefault="00FD03FA" w:rsidP="00620B64">
            <w:pPr>
              <w:jc w:val="both"/>
              <w:rPr>
                <w:bCs/>
              </w:rPr>
            </w:pPr>
            <w:r w:rsidRPr="00B33384">
              <w:rPr>
                <w:bCs/>
              </w:rPr>
              <w:t>Customer Class</w:t>
            </w:r>
          </w:p>
        </w:tc>
        <w:tc>
          <w:tcPr>
            <w:tcW w:w="1350" w:type="dxa"/>
            <w:tcBorders>
              <w:top w:val="single" w:sz="4" w:space="0" w:color="auto"/>
              <w:left w:val="single" w:sz="4" w:space="0" w:color="auto"/>
              <w:bottom w:val="single" w:sz="4" w:space="0" w:color="auto"/>
              <w:right w:val="single" w:sz="4" w:space="0" w:color="auto"/>
            </w:tcBorders>
            <w:hideMark/>
          </w:tcPr>
          <w:p w14:paraId="01844E87" w14:textId="77777777" w:rsidR="00FD03FA" w:rsidRPr="00B33384" w:rsidRDefault="00FD03FA" w:rsidP="00620B64">
            <w:pPr>
              <w:jc w:val="center"/>
              <w:rPr>
                <w:bCs/>
              </w:rPr>
            </w:pPr>
            <w:r w:rsidRPr="00B33384">
              <w:rPr>
                <w:bCs/>
              </w:rPr>
              <w:t>2023</w:t>
            </w:r>
          </w:p>
        </w:tc>
        <w:tc>
          <w:tcPr>
            <w:tcW w:w="1440" w:type="dxa"/>
            <w:tcBorders>
              <w:top w:val="single" w:sz="4" w:space="0" w:color="auto"/>
              <w:left w:val="single" w:sz="4" w:space="0" w:color="auto"/>
              <w:bottom w:val="single" w:sz="4" w:space="0" w:color="auto"/>
              <w:right w:val="single" w:sz="4" w:space="0" w:color="auto"/>
            </w:tcBorders>
            <w:hideMark/>
          </w:tcPr>
          <w:p w14:paraId="4BC53D53" w14:textId="77777777" w:rsidR="00FD03FA" w:rsidRPr="00B33384" w:rsidRDefault="00FD03FA" w:rsidP="00620B64">
            <w:pPr>
              <w:jc w:val="center"/>
              <w:rPr>
                <w:bCs/>
              </w:rPr>
            </w:pPr>
            <w:r w:rsidRPr="00B33384">
              <w:rPr>
                <w:bCs/>
              </w:rPr>
              <w:t>2024</w:t>
            </w:r>
          </w:p>
        </w:tc>
        <w:tc>
          <w:tcPr>
            <w:tcW w:w="1350" w:type="dxa"/>
            <w:tcBorders>
              <w:top w:val="single" w:sz="4" w:space="0" w:color="auto"/>
              <w:left w:val="single" w:sz="4" w:space="0" w:color="auto"/>
              <w:bottom w:val="single" w:sz="4" w:space="0" w:color="auto"/>
              <w:right w:val="single" w:sz="4" w:space="0" w:color="auto"/>
            </w:tcBorders>
            <w:hideMark/>
          </w:tcPr>
          <w:p w14:paraId="68CE8067" w14:textId="77777777" w:rsidR="00FD03FA" w:rsidRPr="00B33384" w:rsidRDefault="00FD03FA" w:rsidP="00620B64">
            <w:pPr>
              <w:jc w:val="center"/>
              <w:rPr>
                <w:bCs/>
              </w:rPr>
            </w:pPr>
            <w:r w:rsidRPr="00B33384">
              <w:rPr>
                <w:bCs/>
              </w:rPr>
              <w:t>2025</w:t>
            </w:r>
          </w:p>
        </w:tc>
      </w:tr>
      <w:tr w:rsidR="00FD03FA" w:rsidRPr="00B33384" w14:paraId="2000FB63"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hideMark/>
          </w:tcPr>
          <w:p w14:paraId="694832F1" w14:textId="77777777" w:rsidR="00FD03FA" w:rsidRPr="00B33384" w:rsidRDefault="00FD03FA" w:rsidP="00620B64">
            <w:pPr>
              <w:jc w:val="both"/>
              <w:rPr>
                <w:bCs/>
                <w:sz w:val="22"/>
                <w:szCs w:val="22"/>
              </w:rPr>
            </w:pPr>
            <w:r w:rsidRPr="00B33384">
              <w:rPr>
                <w:bCs/>
                <w:sz w:val="22"/>
                <w:szCs w:val="22"/>
              </w:rPr>
              <w:t>Residential ($/1,000 kWh)</w:t>
            </w:r>
          </w:p>
        </w:tc>
        <w:tc>
          <w:tcPr>
            <w:tcW w:w="1350" w:type="dxa"/>
            <w:tcBorders>
              <w:top w:val="single" w:sz="4" w:space="0" w:color="auto"/>
              <w:left w:val="single" w:sz="4" w:space="0" w:color="auto"/>
              <w:bottom w:val="single" w:sz="4" w:space="0" w:color="auto"/>
              <w:right w:val="single" w:sz="4" w:space="0" w:color="auto"/>
            </w:tcBorders>
            <w:hideMark/>
          </w:tcPr>
          <w:p w14:paraId="11D74822" w14:textId="77777777" w:rsidR="00FD03FA" w:rsidRPr="00B33384" w:rsidRDefault="00FD03FA" w:rsidP="00620B64">
            <w:pPr>
              <w:jc w:val="center"/>
              <w:rPr>
                <w:bCs/>
              </w:rPr>
            </w:pPr>
            <w:r w:rsidRPr="00B33384">
              <w:rPr>
                <w:bCs/>
              </w:rPr>
              <w:t>$4.21</w:t>
            </w:r>
          </w:p>
        </w:tc>
        <w:tc>
          <w:tcPr>
            <w:tcW w:w="1440" w:type="dxa"/>
            <w:tcBorders>
              <w:top w:val="single" w:sz="4" w:space="0" w:color="auto"/>
              <w:left w:val="single" w:sz="4" w:space="0" w:color="auto"/>
              <w:bottom w:val="single" w:sz="4" w:space="0" w:color="auto"/>
              <w:right w:val="single" w:sz="4" w:space="0" w:color="auto"/>
            </w:tcBorders>
            <w:hideMark/>
          </w:tcPr>
          <w:p w14:paraId="0AF6E824" w14:textId="77777777" w:rsidR="00FD03FA" w:rsidRPr="00B33384" w:rsidRDefault="00FD03FA" w:rsidP="00620B64">
            <w:pPr>
              <w:jc w:val="center"/>
              <w:rPr>
                <w:bCs/>
              </w:rPr>
            </w:pPr>
            <w:r w:rsidRPr="00B33384">
              <w:rPr>
                <w:bCs/>
              </w:rPr>
              <w:t>$6.52</w:t>
            </w:r>
          </w:p>
        </w:tc>
        <w:tc>
          <w:tcPr>
            <w:tcW w:w="1350" w:type="dxa"/>
            <w:tcBorders>
              <w:top w:val="single" w:sz="4" w:space="0" w:color="auto"/>
              <w:left w:val="single" w:sz="4" w:space="0" w:color="auto"/>
              <w:bottom w:val="single" w:sz="4" w:space="0" w:color="auto"/>
              <w:right w:val="single" w:sz="4" w:space="0" w:color="auto"/>
            </w:tcBorders>
            <w:hideMark/>
          </w:tcPr>
          <w:p w14:paraId="3D3471DD" w14:textId="77777777" w:rsidR="00FD03FA" w:rsidRPr="00B33384" w:rsidRDefault="00FD03FA" w:rsidP="00620B64">
            <w:pPr>
              <w:jc w:val="center"/>
              <w:rPr>
                <w:bCs/>
              </w:rPr>
            </w:pPr>
            <w:r w:rsidRPr="00B33384">
              <w:rPr>
                <w:bCs/>
              </w:rPr>
              <w:t>$8.75</w:t>
            </w:r>
          </w:p>
        </w:tc>
      </w:tr>
      <w:tr w:rsidR="00FD03FA" w:rsidRPr="00B33384" w14:paraId="15E339CC"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hideMark/>
          </w:tcPr>
          <w:p w14:paraId="60B8BF1C" w14:textId="77777777" w:rsidR="00FD03FA" w:rsidRPr="00B33384" w:rsidRDefault="00FD03FA" w:rsidP="00620B64">
            <w:pPr>
              <w:jc w:val="both"/>
              <w:rPr>
                <w:bCs/>
                <w:sz w:val="22"/>
                <w:szCs w:val="22"/>
              </w:rPr>
            </w:pPr>
            <w:r w:rsidRPr="00B33384">
              <w:rPr>
                <w:bCs/>
                <w:sz w:val="22"/>
                <w:szCs w:val="22"/>
              </w:rPr>
              <w:t>Typical Commercial Percent Increase from Prior Year Bill</w:t>
            </w:r>
            <w:r w:rsidRPr="00B33384">
              <w:rPr>
                <w:bCs/>
                <w:sz w:val="22"/>
                <w:szCs w:val="22"/>
                <w:vertAlign w:val="superscript"/>
              </w:rPr>
              <w:t>*</w:t>
            </w:r>
          </w:p>
        </w:tc>
        <w:tc>
          <w:tcPr>
            <w:tcW w:w="1350" w:type="dxa"/>
            <w:tcBorders>
              <w:top w:val="single" w:sz="4" w:space="0" w:color="auto"/>
              <w:left w:val="single" w:sz="4" w:space="0" w:color="auto"/>
              <w:bottom w:val="single" w:sz="4" w:space="0" w:color="auto"/>
              <w:right w:val="single" w:sz="4" w:space="0" w:color="auto"/>
            </w:tcBorders>
            <w:hideMark/>
          </w:tcPr>
          <w:p w14:paraId="2A886D37" w14:textId="77777777" w:rsidR="00FD03FA" w:rsidRPr="00B33384" w:rsidRDefault="00FD03FA" w:rsidP="00620B64">
            <w:pPr>
              <w:jc w:val="center"/>
              <w:rPr>
                <w:bCs/>
              </w:rPr>
            </w:pPr>
            <w:r w:rsidRPr="00B33384">
              <w:rPr>
                <w:bCs/>
              </w:rPr>
              <w:t>1.0%-1.2%</w:t>
            </w:r>
          </w:p>
        </w:tc>
        <w:tc>
          <w:tcPr>
            <w:tcW w:w="1440" w:type="dxa"/>
            <w:tcBorders>
              <w:top w:val="single" w:sz="4" w:space="0" w:color="auto"/>
              <w:left w:val="single" w:sz="4" w:space="0" w:color="auto"/>
              <w:bottom w:val="single" w:sz="4" w:space="0" w:color="auto"/>
              <w:right w:val="single" w:sz="4" w:space="0" w:color="auto"/>
            </w:tcBorders>
            <w:hideMark/>
          </w:tcPr>
          <w:p w14:paraId="4ED29ADD" w14:textId="77777777" w:rsidR="00FD03FA" w:rsidRPr="00B33384" w:rsidRDefault="00FD03FA" w:rsidP="00620B64">
            <w:pPr>
              <w:jc w:val="center"/>
              <w:rPr>
                <w:bCs/>
              </w:rPr>
            </w:pPr>
            <w:r w:rsidRPr="00B33384">
              <w:rPr>
                <w:bCs/>
              </w:rPr>
              <w:t>1.4%-1.6%</w:t>
            </w:r>
          </w:p>
        </w:tc>
        <w:tc>
          <w:tcPr>
            <w:tcW w:w="1350" w:type="dxa"/>
            <w:tcBorders>
              <w:top w:val="single" w:sz="4" w:space="0" w:color="auto"/>
              <w:left w:val="single" w:sz="4" w:space="0" w:color="auto"/>
              <w:bottom w:val="single" w:sz="4" w:space="0" w:color="auto"/>
              <w:right w:val="single" w:sz="4" w:space="0" w:color="auto"/>
            </w:tcBorders>
            <w:hideMark/>
          </w:tcPr>
          <w:p w14:paraId="008BFFDC" w14:textId="77777777" w:rsidR="00FD03FA" w:rsidRPr="00B33384" w:rsidRDefault="00FD03FA" w:rsidP="00620B64">
            <w:pPr>
              <w:jc w:val="center"/>
              <w:rPr>
                <w:bCs/>
              </w:rPr>
            </w:pPr>
            <w:r w:rsidRPr="00B33384">
              <w:rPr>
                <w:bCs/>
              </w:rPr>
              <w:t>1.3%-1.5%</w:t>
            </w:r>
          </w:p>
        </w:tc>
      </w:tr>
      <w:tr w:rsidR="00FD03FA" w:rsidRPr="00B33384" w14:paraId="7AF77457" w14:textId="77777777" w:rsidTr="00620B64">
        <w:trPr>
          <w:jc w:val="center"/>
        </w:trPr>
        <w:tc>
          <w:tcPr>
            <w:tcW w:w="5485" w:type="dxa"/>
            <w:tcBorders>
              <w:top w:val="single" w:sz="4" w:space="0" w:color="auto"/>
              <w:left w:val="single" w:sz="4" w:space="0" w:color="auto"/>
              <w:bottom w:val="single" w:sz="4" w:space="0" w:color="auto"/>
              <w:right w:val="single" w:sz="4" w:space="0" w:color="auto"/>
            </w:tcBorders>
            <w:hideMark/>
          </w:tcPr>
          <w:p w14:paraId="492CF44B" w14:textId="77777777" w:rsidR="00FD03FA" w:rsidRPr="00B33384" w:rsidRDefault="00FD03FA" w:rsidP="00620B64">
            <w:pPr>
              <w:jc w:val="both"/>
              <w:rPr>
                <w:bCs/>
                <w:sz w:val="22"/>
                <w:szCs w:val="22"/>
              </w:rPr>
            </w:pPr>
            <w:r w:rsidRPr="00B33384">
              <w:rPr>
                <w:bCs/>
                <w:sz w:val="22"/>
                <w:szCs w:val="22"/>
              </w:rPr>
              <w:t>Typical Industrial Percent Increase from Prior Year Bill</w:t>
            </w:r>
            <w:r w:rsidRPr="00B33384">
              <w:rPr>
                <w:bCs/>
                <w:sz w:val="22"/>
                <w:szCs w:val="22"/>
                <w:vertAlign w:val="superscript"/>
              </w:rPr>
              <w:t>*</w:t>
            </w:r>
          </w:p>
        </w:tc>
        <w:tc>
          <w:tcPr>
            <w:tcW w:w="1350" w:type="dxa"/>
            <w:tcBorders>
              <w:top w:val="single" w:sz="4" w:space="0" w:color="auto"/>
              <w:left w:val="single" w:sz="4" w:space="0" w:color="auto"/>
              <w:bottom w:val="single" w:sz="4" w:space="0" w:color="auto"/>
              <w:right w:val="single" w:sz="4" w:space="0" w:color="auto"/>
            </w:tcBorders>
            <w:hideMark/>
          </w:tcPr>
          <w:p w14:paraId="5CA4B487" w14:textId="77777777" w:rsidR="00FD03FA" w:rsidRPr="00B33384" w:rsidRDefault="00FD03FA" w:rsidP="00620B64">
            <w:pPr>
              <w:jc w:val="center"/>
              <w:rPr>
                <w:bCs/>
              </w:rPr>
            </w:pPr>
            <w:r w:rsidRPr="00B33384">
              <w:rPr>
                <w:bCs/>
              </w:rPr>
              <w:t>0.8%-1.2%</w:t>
            </w:r>
          </w:p>
        </w:tc>
        <w:tc>
          <w:tcPr>
            <w:tcW w:w="1440" w:type="dxa"/>
            <w:tcBorders>
              <w:top w:val="single" w:sz="4" w:space="0" w:color="auto"/>
              <w:left w:val="single" w:sz="4" w:space="0" w:color="auto"/>
              <w:bottom w:val="single" w:sz="4" w:space="0" w:color="auto"/>
              <w:right w:val="single" w:sz="4" w:space="0" w:color="auto"/>
            </w:tcBorders>
            <w:hideMark/>
          </w:tcPr>
          <w:p w14:paraId="35AE87F2" w14:textId="77777777" w:rsidR="00FD03FA" w:rsidRPr="00B33384" w:rsidRDefault="00FD03FA" w:rsidP="00620B64">
            <w:pPr>
              <w:jc w:val="center"/>
              <w:rPr>
                <w:bCs/>
              </w:rPr>
            </w:pPr>
            <w:r w:rsidRPr="00B33384">
              <w:rPr>
                <w:bCs/>
              </w:rPr>
              <w:t>1.2%-1.7%</w:t>
            </w:r>
          </w:p>
        </w:tc>
        <w:tc>
          <w:tcPr>
            <w:tcW w:w="1350" w:type="dxa"/>
            <w:tcBorders>
              <w:top w:val="single" w:sz="4" w:space="0" w:color="auto"/>
              <w:left w:val="single" w:sz="4" w:space="0" w:color="auto"/>
              <w:bottom w:val="single" w:sz="4" w:space="0" w:color="auto"/>
              <w:right w:val="single" w:sz="4" w:space="0" w:color="auto"/>
            </w:tcBorders>
            <w:hideMark/>
          </w:tcPr>
          <w:p w14:paraId="03A20DC8" w14:textId="77777777" w:rsidR="00FD03FA" w:rsidRPr="00B33384" w:rsidRDefault="00FD03FA" w:rsidP="00620B64">
            <w:pPr>
              <w:jc w:val="center"/>
              <w:rPr>
                <w:bCs/>
              </w:rPr>
            </w:pPr>
            <w:r w:rsidRPr="00B33384">
              <w:rPr>
                <w:bCs/>
              </w:rPr>
              <w:t>1.1%-1.6%</w:t>
            </w:r>
          </w:p>
        </w:tc>
      </w:tr>
    </w:tbl>
    <w:p w14:paraId="07F2FB6D" w14:textId="77777777" w:rsidR="002742FD" w:rsidRDefault="00FD03FA" w:rsidP="00E82A48">
      <w:pPr>
        <w:jc w:val="both"/>
        <w:rPr>
          <w:sz w:val="20"/>
          <w:szCs w:val="20"/>
        </w:rPr>
      </w:pPr>
      <w:r w:rsidRPr="00B33384">
        <w:rPr>
          <w:sz w:val="20"/>
          <w:szCs w:val="20"/>
        </w:rPr>
        <w:t>*Commercial &amp; Industrial percent increase incorporates base rate increases set forth in DEF’s 2021 Settlement, approved in Order No. PSC-2021-0202A-AS-EI.</w:t>
      </w:r>
    </w:p>
    <w:p w14:paraId="17F10674" w14:textId="671767B8" w:rsidR="00E82A48" w:rsidRPr="00E82A48" w:rsidRDefault="00FD03FA" w:rsidP="00E82A48">
      <w:pPr>
        <w:jc w:val="both"/>
        <w:rPr>
          <w:sz w:val="20"/>
          <w:szCs w:val="20"/>
        </w:rPr>
      </w:pPr>
      <w:r w:rsidRPr="00B33384">
        <w:rPr>
          <w:bCs/>
          <w:sz w:val="20"/>
          <w:szCs w:val="20"/>
        </w:rPr>
        <w:t xml:space="preserve"> </w:t>
      </w:r>
    </w:p>
    <w:p w14:paraId="79BE0C12" w14:textId="2D96B6C8" w:rsidR="00C4795E" w:rsidRPr="00B33384" w:rsidRDefault="00C4795E" w:rsidP="00C4795E">
      <w:pPr>
        <w:spacing w:after="240"/>
        <w:ind w:firstLine="720"/>
        <w:jc w:val="both"/>
        <w:outlineLvl w:val="2"/>
        <w:rPr>
          <w:bCs/>
        </w:rPr>
      </w:pPr>
      <w:r>
        <w:rPr>
          <w:bCs/>
        </w:rPr>
        <w:t>The Joint Parties argued that the budgets of several p</w:t>
      </w:r>
      <w:r w:rsidR="00561EDD">
        <w:rPr>
          <w:bCs/>
        </w:rPr>
        <w:t>rograms should be decreased</w:t>
      </w:r>
      <w:r w:rsidR="00CA3665">
        <w:rPr>
          <w:bCs/>
        </w:rPr>
        <w:t xml:space="preserve"> to</w:t>
      </w:r>
      <w:r>
        <w:rPr>
          <w:bCs/>
        </w:rPr>
        <w:t xml:space="preserve"> reduce the rate impact of the SPP. </w:t>
      </w:r>
      <w:r w:rsidR="002742FD">
        <w:rPr>
          <w:bCs/>
        </w:rPr>
        <w:t xml:space="preserve"> </w:t>
      </w:r>
      <w:r w:rsidR="00A13F6A">
        <w:rPr>
          <w:bCs/>
        </w:rPr>
        <w:t xml:space="preserve">However, when making this argument, </w:t>
      </w:r>
      <w:r>
        <w:rPr>
          <w:rFonts w:eastAsiaTheme="minorHAnsi"/>
        </w:rPr>
        <w:t xml:space="preserve">OPC’s witness </w:t>
      </w:r>
      <w:r>
        <w:rPr>
          <w:bCs/>
        </w:rPr>
        <w:t xml:space="preserve">utilized a calculation </w:t>
      </w:r>
      <w:r w:rsidRPr="00B33384">
        <w:rPr>
          <w:bCs/>
        </w:rPr>
        <w:t>based on the total program co</w:t>
      </w:r>
      <w:r>
        <w:rPr>
          <w:bCs/>
        </w:rPr>
        <w:t>st for the 10-year period, instead of the 3 year time period prescribed by Section 366.96, F.S.  This was not persuasive or practical given that we</w:t>
      </w:r>
      <w:r w:rsidRPr="00B33384">
        <w:rPr>
          <w:bCs/>
        </w:rPr>
        <w:t xml:space="preserve"> must review a utility’s SPP at least every three years as well as conduct annual cost-recovery proceedings.</w:t>
      </w:r>
      <w:r w:rsidR="002742FD">
        <w:rPr>
          <w:bCs/>
        </w:rPr>
        <w:t xml:space="preserve"> </w:t>
      </w:r>
      <w:r w:rsidR="00AF063E">
        <w:rPr>
          <w:bCs/>
        </w:rPr>
        <w:t xml:space="preserve"> OPC witness Mara also recommended eliminating the costs related to clearance encroachments.  He asserted that DEF has a duty to maintain the appropriate distance from the buildings and other structures; therefore, it is DEF’s sole responsibility for correcting encroachment problems.</w:t>
      </w:r>
    </w:p>
    <w:p w14:paraId="65445449" w14:textId="74242F4E" w:rsidR="00D31E17" w:rsidRPr="00AF063E" w:rsidRDefault="00D31E17" w:rsidP="00AF063E">
      <w:pPr>
        <w:spacing w:after="240"/>
        <w:ind w:firstLine="720"/>
        <w:jc w:val="both"/>
        <w:outlineLvl w:val="2"/>
      </w:pPr>
      <w:r>
        <w:rPr>
          <w:bCs/>
        </w:rPr>
        <w:t>DEF presented witness testimony to refute</w:t>
      </w:r>
      <w:r w:rsidR="00C4795E">
        <w:rPr>
          <w:bCs/>
        </w:rPr>
        <w:t xml:space="preserve"> </w:t>
      </w:r>
      <w:r w:rsidR="00A13F6A">
        <w:rPr>
          <w:bCs/>
        </w:rPr>
        <w:t xml:space="preserve">OPC’s witness </w:t>
      </w:r>
      <w:r w:rsidR="00C4795E">
        <w:rPr>
          <w:bCs/>
        </w:rPr>
        <w:t>testimony.</w:t>
      </w:r>
      <w:r w:rsidR="002742FD">
        <w:rPr>
          <w:bCs/>
        </w:rPr>
        <w:t xml:space="preserve"> </w:t>
      </w:r>
      <w:r>
        <w:rPr>
          <w:bCs/>
        </w:rPr>
        <w:t xml:space="preserve"> </w:t>
      </w:r>
      <w:r>
        <w:t xml:space="preserve">For example, </w:t>
      </w:r>
      <w:r w:rsidRPr="00B33384">
        <w:t xml:space="preserve">DEF witness Lloyd testified that DEF’s 2020 SPP and 2023 SPP should not be compared since 2020 and 2021 were transitional years as the </w:t>
      </w:r>
      <w:r>
        <w:t>Utility</w:t>
      </w:r>
      <w:r w:rsidRPr="00B33384">
        <w:t xml:space="preserve"> worked to finish other projects and to ramp up engine</w:t>
      </w:r>
      <w:r>
        <w:t>ering and construction.</w:t>
      </w:r>
      <w:r w:rsidRPr="00B33384">
        <w:t xml:space="preserve"> </w:t>
      </w:r>
      <w:r>
        <w:t xml:space="preserve"> </w:t>
      </w:r>
      <w:r w:rsidRPr="00B33384">
        <w:t xml:space="preserve">As an example, work for the </w:t>
      </w:r>
      <w:r w:rsidR="00E85A67">
        <w:t xml:space="preserve">Distribution </w:t>
      </w:r>
      <w:r w:rsidRPr="00B33384">
        <w:t xml:space="preserve">Feeder Hardening </w:t>
      </w:r>
      <w:r w:rsidRPr="00B33384">
        <w:lastRenderedPageBreak/>
        <w:t>Program did not start until 2021, resulting in an appearance of an increase in cost from DEF’s 2020 SPP.</w:t>
      </w:r>
      <w:r>
        <w:t xml:space="preserve"> </w:t>
      </w:r>
      <w:r w:rsidRPr="00B33384">
        <w:t xml:space="preserve"> However, </w:t>
      </w:r>
      <w:r>
        <w:t>the</w:t>
      </w:r>
      <w:r w:rsidR="00561EDD">
        <w:t xml:space="preserve"> 2023 SPP</w:t>
      </w:r>
      <w:r w:rsidRPr="00B33384">
        <w:t xml:space="preserve"> </w:t>
      </w:r>
      <w:r w:rsidR="00E85A67">
        <w:t>is</w:t>
      </w:r>
      <w:r w:rsidRPr="00B33384">
        <w:t xml:space="preserve"> actually a continuation of DEF</w:t>
      </w:r>
      <w:r w:rsidR="00CA3665">
        <w:t>’s</w:t>
      </w:r>
      <w:r w:rsidRPr="00B33384">
        <w:t xml:space="preserve"> previous</w:t>
      </w:r>
      <w:r w:rsidR="002742FD">
        <w:t>ly-</w:t>
      </w:r>
      <w:r>
        <w:t xml:space="preserve">approved plan. </w:t>
      </w:r>
      <w:r w:rsidRPr="00B33384">
        <w:t xml:space="preserve"> Addressing the clearance encroachments, witness Lloyd testified that the </w:t>
      </w:r>
      <w:r>
        <w:t>Utility</w:t>
      </w:r>
      <w:r w:rsidRPr="00B33384">
        <w:t xml:space="preserve"> requires proper clearances for new pole locations, sizes, and guying, which cannot be met with existing overhead</w:t>
      </w:r>
      <w:r w:rsidR="002742FD">
        <w:t xml:space="preserve"> structures in the public right-of-</w:t>
      </w:r>
      <w:r w:rsidRPr="00B33384">
        <w:t xml:space="preserve">way. </w:t>
      </w:r>
      <w:r>
        <w:t xml:space="preserve"> </w:t>
      </w:r>
      <w:r w:rsidRPr="00B33384">
        <w:t xml:space="preserve">DEF is also required to maintain clearance to other existing public and privately-owned underground facilities. </w:t>
      </w:r>
      <w:r>
        <w:t xml:space="preserve"> </w:t>
      </w:r>
      <w:r w:rsidRPr="00B33384">
        <w:t xml:space="preserve">Witness Lloyd </w:t>
      </w:r>
      <w:r>
        <w:t xml:space="preserve">testified </w:t>
      </w:r>
      <w:r w:rsidRPr="00B33384">
        <w:t>that “newly installed facilities should remain open to truck access for maintenance purposes and should be in easements or adjacent to roadways as outlined in Rule 25-6.0341</w:t>
      </w:r>
      <w:r>
        <w:t>, F.A.C.</w:t>
      </w:r>
      <w:r w:rsidRPr="00B33384">
        <w:t xml:space="preserve"> (Location of the Utility’s Electric Distributio</w:t>
      </w:r>
      <w:r>
        <w:t>n Facilities).”</w:t>
      </w:r>
    </w:p>
    <w:p w14:paraId="3157BBB9" w14:textId="25ADCCD0" w:rsidR="00FD03FA" w:rsidRDefault="009F10D5" w:rsidP="00C7624E">
      <w:pPr>
        <w:spacing w:after="240"/>
        <w:ind w:firstLine="720"/>
        <w:jc w:val="both"/>
        <w:outlineLvl w:val="2"/>
      </w:pPr>
      <w:r>
        <w:t xml:space="preserve">We are persuaded by the testimony DEF presented </w:t>
      </w:r>
      <w:r w:rsidR="00310277">
        <w:t>that</w:t>
      </w:r>
      <w:r>
        <w:t xml:space="preserve"> reducing</w:t>
      </w:r>
      <w:r w:rsidR="0043009E">
        <w:t xml:space="preserve"> certain programs such as</w:t>
      </w:r>
      <w:r>
        <w:t xml:space="preserve"> the </w:t>
      </w:r>
      <w:r w:rsidR="0043009E" w:rsidRPr="00B33384">
        <w:t>Feeder Hardening Program</w:t>
      </w:r>
      <w:r>
        <w:t xml:space="preserve"> </w:t>
      </w:r>
      <w:r w:rsidR="0043009E">
        <w:t xml:space="preserve">and the </w:t>
      </w:r>
      <w:r w:rsidR="0043009E" w:rsidRPr="00B33384">
        <w:t xml:space="preserve">Lateral Undergrounding and the Lateral </w:t>
      </w:r>
      <w:r w:rsidR="00C87964">
        <w:t>Hardening Program could delay significant benefits to customers</w:t>
      </w:r>
      <w:r w:rsidR="0038404B">
        <w:t>.</w:t>
      </w:r>
      <w:r w:rsidR="00C4795E">
        <w:t xml:space="preserve"> </w:t>
      </w:r>
      <w:r w:rsidR="0038404B">
        <w:t xml:space="preserve"> </w:t>
      </w:r>
      <w:r w:rsidR="00A13F6A">
        <w:t>For this reason,</w:t>
      </w:r>
      <w:r w:rsidR="00D31E17">
        <w:t xml:space="preserve"> no adjustment</w:t>
      </w:r>
      <w:r w:rsidR="001A5693">
        <w:t xml:space="preserve"> to</w:t>
      </w:r>
      <w:r w:rsidR="00D31E17">
        <w:t xml:space="preserve"> these programs’ budget</w:t>
      </w:r>
      <w:r w:rsidR="001A5693">
        <w:t>s</w:t>
      </w:r>
      <w:r w:rsidR="00D31E17">
        <w:t xml:space="preserve"> </w:t>
      </w:r>
      <w:r w:rsidR="001A5693">
        <w:t>are</w:t>
      </w:r>
      <w:r w:rsidR="00D31E17">
        <w:t xml:space="preserve"> </w:t>
      </w:r>
      <w:r w:rsidR="001A5693">
        <w:t>required</w:t>
      </w:r>
      <w:r w:rsidR="000C7388">
        <w:t>.</w:t>
      </w:r>
      <w:r w:rsidR="00D31E17" w:rsidRPr="00B33384">
        <w:t xml:space="preserve"> </w:t>
      </w:r>
    </w:p>
    <w:p w14:paraId="07694E35" w14:textId="727F8249" w:rsidR="00FD03FA" w:rsidRPr="00C7295B" w:rsidRDefault="00DA2932" w:rsidP="00DA2932">
      <w:pPr>
        <w:pStyle w:val="ListParagraph"/>
        <w:numPr>
          <w:ilvl w:val="0"/>
          <w:numId w:val="14"/>
        </w:numPr>
        <w:spacing w:after="240"/>
        <w:jc w:val="both"/>
        <w:outlineLvl w:val="2"/>
      </w:pPr>
      <w:r>
        <w:t xml:space="preserve">  </w:t>
      </w:r>
      <w:r>
        <w:tab/>
      </w:r>
      <w:r w:rsidR="00FD03FA" w:rsidRPr="00C7295B">
        <w:t>C</w:t>
      </w:r>
      <w:r w:rsidR="00C7295B" w:rsidRPr="00C7295B">
        <w:t>onclusion</w:t>
      </w:r>
    </w:p>
    <w:p w14:paraId="6DE9F3FC" w14:textId="0B6C1C3F" w:rsidR="0031488D" w:rsidRDefault="00354E54" w:rsidP="000F1F31">
      <w:pPr>
        <w:ind w:firstLine="720"/>
        <w:jc w:val="both"/>
        <w:outlineLvl w:val="2"/>
      </w:pPr>
      <w:r>
        <w:t xml:space="preserve">DEF provided the </w:t>
      </w:r>
      <w:r w:rsidR="00FD03FA" w:rsidRPr="00B33384">
        <w:t>estimated annual rate impact</w:t>
      </w:r>
      <w:r>
        <w:t xml:space="preserve"> from implementation of </w:t>
      </w:r>
      <w:r w:rsidRPr="00B33384">
        <w:t>its S</w:t>
      </w:r>
      <w:r>
        <w:t>PP</w:t>
      </w:r>
      <w:r w:rsidR="009023AA">
        <w:t xml:space="preserve"> in Table 2</w:t>
      </w:r>
      <w:r w:rsidR="004F2CE3">
        <w:t xml:space="preserve"> above</w:t>
      </w:r>
      <w:r w:rsidR="00FF3ED8">
        <w:t xml:space="preserve">. </w:t>
      </w:r>
    </w:p>
    <w:p w14:paraId="4341F53F" w14:textId="77777777" w:rsidR="0031488D" w:rsidRDefault="0031488D" w:rsidP="000F1F31">
      <w:pPr>
        <w:ind w:firstLine="720"/>
        <w:jc w:val="both"/>
        <w:outlineLvl w:val="2"/>
      </w:pPr>
    </w:p>
    <w:p w14:paraId="546A3E8A" w14:textId="77777777" w:rsidR="000F1F31" w:rsidRDefault="00547153" w:rsidP="00547153">
      <w:pPr>
        <w:jc w:val="both"/>
        <w:outlineLvl w:val="2"/>
        <w:rPr>
          <w:b/>
          <w:bCs/>
        </w:rPr>
      </w:pPr>
      <w:r>
        <w:rPr>
          <w:b/>
          <w:bCs/>
        </w:rPr>
        <w:t>VII.</w:t>
      </w:r>
      <w:r>
        <w:rPr>
          <w:b/>
          <w:bCs/>
        </w:rPr>
        <w:tab/>
        <w:t>Is DEF’s SPP in the public interest?</w:t>
      </w:r>
    </w:p>
    <w:p w14:paraId="0AEE0702" w14:textId="77777777" w:rsidR="00547153" w:rsidRPr="00547153" w:rsidRDefault="00547153" w:rsidP="00547153">
      <w:pPr>
        <w:jc w:val="both"/>
        <w:outlineLvl w:val="2"/>
        <w:rPr>
          <w:b/>
          <w:bCs/>
        </w:rPr>
      </w:pPr>
    </w:p>
    <w:p w14:paraId="688F8727" w14:textId="77777777" w:rsidR="00620B64" w:rsidRPr="00883CC4" w:rsidRDefault="000F1F31" w:rsidP="000F1F31">
      <w:pPr>
        <w:pStyle w:val="ListParagraph"/>
        <w:numPr>
          <w:ilvl w:val="0"/>
          <w:numId w:val="15"/>
        </w:numPr>
        <w:jc w:val="both"/>
        <w:outlineLvl w:val="2"/>
      </w:pPr>
      <w:r>
        <w:rPr>
          <w:bCs/>
        </w:rPr>
        <w:t>Parties’ Arguments</w:t>
      </w:r>
    </w:p>
    <w:p w14:paraId="6540E28B" w14:textId="77777777" w:rsidR="00620B64" w:rsidRPr="00B33384" w:rsidRDefault="00620B64" w:rsidP="00620B64">
      <w:pPr>
        <w:jc w:val="both"/>
        <w:outlineLvl w:val="1"/>
        <w:rPr>
          <w:b/>
          <w:bCs/>
          <w:iCs/>
          <w:szCs w:val="28"/>
        </w:rPr>
      </w:pPr>
    </w:p>
    <w:p w14:paraId="053FE69C" w14:textId="153AD16A" w:rsidR="00620B64" w:rsidRPr="00B33384" w:rsidRDefault="00596834" w:rsidP="00883CC4">
      <w:pPr>
        <w:ind w:firstLine="720"/>
        <w:jc w:val="both"/>
      </w:pPr>
      <w:r>
        <w:rPr>
          <w:bCs/>
          <w:lang w:bidi="en-US"/>
        </w:rPr>
        <w:t>DEF argued</w:t>
      </w:r>
      <w:r w:rsidR="00547153">
        <w:rPr>
          <w:bCs/>
          <w:lang w:bidi="en-US"/>
        </w:rPr>
        <w:t xml:space="preserve"> its</w:t>
      </w:r>
      <w:r w:rsidR="00883CC4" w:rsidRPr="00B33384">
        <w:rPr>
          <w:bCs/>
          <w:lang w:bidi="en-US"/>
        </w:rPr>
        <w:t xml:space="preserve"> 2023 SPP is in the public interest and should be approved without modification.</w:t>
      </w:r>
      <w:r w:rsidR="002742FD">
        <w:rPr>
          <w:bCs/>
          <w:lang w:bidi="en-US"/>
        </w:rPr>
        <w:t xml:space="preserve"> </w:t>
      </w:r>
      <w:r w:rsidR="00883CC4" w:rsidRPr="00B33384">
        <w:rPr>
          <w:bCs/>
          <w:lang w:bidi="en-US"/>
        </w:rPr>
        <w:t xml:space="preserve"> </w:t>
      </w:r>
      <w:r w:rsidR="00C7295B">
        <w:rPr>
          <w:bCs/>
          <w:lang w:bidi="en-US"/>
        </w:rPr>
        <w:t xml:space="preserve">In support, </w:t>
      </w:r>
      <w:r w:rsidR="00547153">
        <w:t xml:space="preserve">DEF argued </w:t>
      </w:r>
      <w:r w:rsidR="00C7295B">
        <w:t xml:space="preserve">that </w:t>
      </w:r>
      <w:r w:rsidR="00547153">
        <w:t>its 2023 SPP</w:t>
      </w:r>
      <w:r w:rsidR="00620B64" w:rsidRPr="00B33384">
        <w:t xml:space="preserve"> balances the costs to customers along with the resulting benefits.</w:t>
      </w:r>
      <w:r w:rsidR="0035112D">
        <w:t xml:space="preserve"> </w:t>
      </w:r>
      <w:r w:rsidR="00620B64" w:rsidRPr="00B33384">
        <w:t xml:space="preserve"> DEF argued that all of its SPP programs would reduce restoration costs and outages, improve reliability, and are cost-effective. </w:t>
      </w:r>
      <w:r w:rsidR="0035112D">
        <w:t xml:space="preserve"> </w:t>
      </w:r>
      <w:r w:rsidR="00620B64" w:rsidRPr="00B33384">
        <w:t>Therefore</w:t>
      </w:r>
      <w:r w:rsidR="00733928">
        <w:t>, DEF argued that we</w:t>
      </w:r>
      <w:r w:rsidR="00620B64" w:rsidRPr="00B33384">
        <w:t xml:space="preserve"> should approve its 2023 SPP without modification</w:t>
      </w:r>
      <w:r w:rsidR="002742FD">
        <w:t>,</w:t>
      </w:r>
      <w:r w:rsidR="00620B64" w:rsidRPr="00B33384">
        <w:t xml:space="preserve"> as it complies with the requirements of the SPP Rule and is in the public interest as outline</w:t>
      </w:r>
      <w:r w:rsidR="00883CC4">
        <w:t xml:space="preserve">d by the SPP Statute. </w:t>
      </w:r>
    </w:p>
    <w:p w14:paraId="7F7EA8AA" w14:textId="77777777" w:rsidR="00620B64" w:rsidRPr="00B33384" w:rsidRDefault="00620B64" w:rsidP="00620B64">
      <w:pPr>
        <w:jc w:val="both"/>
        <w:outlineLvl w:val="1"/>
        <w:rPr>
          <w:b/>
          <w:bCs/>
          <w:iCs/>
          <w:szCs w:val="28"/>
        </w:rPr>
      </w:pPr>
    </w:p>
    <w:p w14:paraId="3919723A" w14:textId="6DAD18C1" w:rsidR="00620B64" w:rsidRDefault="006604F2" w:rsidP="00C7295B">
      <w:pPr>
        <w:ind w:firstLine="720"/>
        <w:jc w:val="both"/>
        <w:rPr>
          <w:rFonts w:eastAsiaTheme="minorHAnsi"/>
        </w:rPr>
      </w:pPr>
      <w:r>
        <w:rPr>
          <w:bCs/>
        </w:rPr>
        <w:t xml:space="preserve">The Joint Parties argued that </w:t>
      </w:r>
      <w:r w:rsidR="00883CC4" w:rsidRPr="00B33384">
        <w:rPr>
          <w:bCs/>
        </w:rPr>
        <w:t>DEF</w:t>
      </w:r>
      <w:r>
        <w:rPr>
          <w:bCs/>
        </w:rPr>
        <w:t>’s</w:t>
      </w:r>
      <w:r w:rsidR="004F2CE3">
        <w:rPr>
          <w:bCs/>
        </w:rPr>
        <w:t xml:space="preserve"> 2023 SPP </w:t>
      </w:r>
      <w:r w:rsidR="00883CC4" w:rsidRPr="00B33384">
        <w:rPr>
          <w:bCs/>
        </w:rPr>
        <w:t xml:space="preserve">should not be approved without </w:t>
      </w:r>
      <w:r w:rsidR="002C4F52">
        <w:rPr>
          <w:bCs/>
        </w:rPr>
        <w:t xml:space="preserve">the following </w:t>
      </w:r>
      <w:r w:rsidR="00883CC4" w:rsidRPr="00B33384">
        <w:rPr>
          <w:bCs/>
        </w:rPr>
        <w:t>modification</w:t>
      </w:r>
      <w:r w:rsidR="002C4F52">
        <w:rPr>
          <w:bCs/>
        </w:rPr>
        <w:t>s:</w:t>
      </w:r>
      <w:r w:rsidR="0035112D">
        <w:rPr>
          <w:bCs/>
        </w:rPr>
        <w:t xml:space="preserve"> </w:t>
      </w:r>
      <w:r w:rsidR="002C4F52">
        <w:t xml:space="preserve">to </w:t>
      </w:r>
      <w:r w:rsidR="00620B64" w:rsidRPr="00B33384">
        <w:t>allow the inclusion of the Distribution Feeder Hardening and Distribution Lateral Hardening Programs at the reduced spending levels</w:t>
      </w:r>
      <w:r w:rsidR="004F2CE3">
        <w:t>,</w:t>
      </w:r>
      <w:r w:rsidR="007575DA">
        <w:t xml:space="preserve"> a</w:t>
      </w:r>
      <w:r w:rsidR="002C4F52">
        <w:t>nd to allow t</w:t>
      </w:r>
      <w:r w:rsidR="00620B64" w:rsidRPr="00B33384">
        <w:t xml:space="preserve">he six </w:t>
      </w:r>
      <w:r w:rsidR="002C4F52">
        <w:t xml:space="preserve">remaining </w:t>
      </w:r>
      <w:r w:rsidR="00620B64" w:rsidRPr="00B33384">
        <w:t xml:space="preserve">programs </w:t>
      </w:r>
      <w:r w:rsidR="002C4F52">
        <w:t>to</w:t>
      </w:r>
      <w:r w:rsidR="002C4F52" w:rsidRPr="00B33384">
        <w:t xml:space="preserve"> </w:t>
      </w:r>
      <w:r w:rsidR="00620B64" w:rsidRPr="00B33384">
        <w:t>be included for the years 2023 an</w:t>
      </w:r>
      <w:r w:rsidR="00CA3665">
        <w:t>d 2024, but for 2025 and beyond</w:t>
      </w:r>
      <w:r w:rsidR="0038404B">
        <w:t>,</w:t>
      </w:r>
      <w:r w:rsidR="00620B64" w:rsidRPr="00B33384">
        <w:t xml:space="preserve"> the programs be excluded from DEF’s SPP. </w:t>
      </w:r>
      <w:r w:rsidR="002742FD">
        <w:t xml:space="preserve"> </w:t>
      </w:r>
      <w:r w:rsidR="00620B64" w:rsidRPr="00B33384">
        <w:t xml:space="preserve">The </w:t>
      </w:r>
      <w:r w:rsidR="002C4F52">
        <w:t xml:space="preserve">Joint Parties take no issue with the </w:t>
      </w:r>
      <w:r w:rsidR="00620B64" w:rsidRPr="00B33384">
        <w:t>Distribution and Transmission Vegetation Management Programs</w:t>
      </w:r>
      <w:r w:rsidR="00CA3665">
        <w:t xml:space="preserve"> and state they</w:t>
      </w:r>
      <w:r w:rsidR="00620B64" w:rsidRPr="00B33384">
        <w:t xml:space="preserve"> should remain in DEF’s SPP as</w:t>
      </w:r>
      <w:r w:rsidR="00883CC4">
        <w:t xml:space="preserve"> proposed</w:t>
      </w:r>
      <w:r w:rsidR="007575DA">
        <w:t>.</w:t>
      </w:r>
    </w:p>
    <w:p w14:paraId="203FE746" w14:textId="77777777" w:rsidR="00157066" w:rsidRDefault="00157066" w:rsidP="00C7295B">
      <w:pPr>
        <w:ind w:firstLine="720"/>
        <w:jc w:val="both"/>
        <w:rPr>
          <w:rFonts w:eastAsiaTheme="minorHAnsi"/>
        </w:rPr>
      </w:pPr>
    </w:p>
    <w:p w14:paraId="4E9837DA" w14:textId="3B61C7F7" w:rsidR="00157066" w:rsidRDefault="00157066" w:rsidP="00157066">
      <w:pPr>
        <w:pStyle w:val="ListParagraph"/>
        <w:ind w:left="0" w:firstLine="720"/>
        <w:jc w:val="both"/>
        <w:outlineLvl w:val="2"/>
      </w:pPr>
      <w:r>
        <w:t>Although OPC presented witness</w:t>
      </w:r>
      <w:r w:rsidRPr="00206718">
        <w:rPr>
          <w:rFonts w:eastAsiaTheme="minorHAnsi"/>
        </w:rPr>
        <w:t xml:space="preserve"> </w:t>
      </w:r>
      <w:r w:rsidR="00464F6F" w:rsidRPr="00206718">
        <w:rPr>
          <w:rFonts w:eastAsiaTheme="minorHAnsi"/>
        </w:rPr>
        <w:t>testimony</w:t>
      </w:r>
      <w:r w:rsidR="00464F6F">
        <w:rPr>
          <w:rFonts w:eastAsiaTheme="minorHAnsi"/>
        </w:rPr>
        <w:t xml:space="preserve"> at</w:t>
      </w:r>
      <w:r w:rsidR="003D6FCB">
        <w:rPr>
          <w:rFonts w:eastAsiaTheme="minorHAnsi"/>
        </w:rPr>
        <w:t xml:space="preserve"> the</w:t>
      </w:r>
      <w:r>
        <w:rPr>
          <w:rFonts w:eastAsiaTheme="minorHAnsi"/>
        </w:rPr>
        <w:t xml:space="preserve"> hearing that</w:t>
      </w:r>
      <w:r w:rsidR="00CA3665">
        <w:rPr>
          <w:rFonts w:eastAsia="Calibri"/>
        </w:rPr>
        <w:t xml:space="preserve"> characterized</w:t>
      </w:r>
      <w:r w:rsidRPr="00206718">
        <w:rPr>
          <w:rFonts w:eastAsia="Calibri"/>
        </w:rPr>
        <w:t xml:space="preserve"> </w:t>
      </w:r>
      <w:r w:rsidR="00CA3665">
        <w:t>six DEF programs</w:t>
      </w:r>
      <w:r>
        <w:t xml:space="preserve"> as not storm hardening activities (</w:t>
      </w:r>
      <w:r w:rsidRPr="00206718">
        <w:rPr>
          <w:rFonts w:eastAsiaTheme="minorHAnsi"/>
        </w:rPr>
        <w:t xml:space="preserve">Distribution Self-Optimizing Grid, Distribution Underground Flood Mitigation, Transmission Structure Hardening, Transmission Substation Flood Mitigation, Transmission </w:t>
      </w:r>
      <w:r w:rsidRPr="00B33384">
        <w:t>LRFS</w:t>
      </w:r>
      <w:r w:rsidRPr="00206718">
        <w:rPr>
          <w:rFonts w:eastAsiaTheme="minorHAnsi"/>
        </w:rPr>
        <w:t>, and Transmission Substation Hardening</w:t>
      </w:r>
      <w:r>
        <w:rPr>
          <w:rFonts w:eastAsiaTheme="minorHAnsi"/>
        </w:rPr>
        <w:t>)</w:t>
      </w:r>
      <w:r w:rsidR="00A4144C">
        <w:rPr>
          <w:rFonts w:eastAsiaTheme="minorHAnsi"/>
        </w:rPr>
        <w:t>,</w:t>
      </w:r>
      <w:r>
        <w:rPr>
          <w:rFonts w:eastAsiaTheme="minorHAnsi"/>
        </w:rPr>
        <w:t xml:space="preserve">  </w:t>
      </w:r>
      <w:r>
        <w:t xml:space="preserve">the Joint </w:t>
      </w:r>
      <w:r>
        <w:lastRenderedPageBreak/>
        <w:t xml:space="preserve">Parties </w:t>
      </w:r>
      <w:r w:rsidR="00464F6F">
        <w:t>ultimately</w:t>
      </w:r>
      <w:r>
        <w:t xml:space="preserve"> acknowledged</w:t>
      </w:r>
      <w:r w:rsidR="00464F6F">
        <w:t xml:space="preserve"> that all of DEF</w:t>
      </w:r>
      <w:r>
        <w:t xml:space="preserve">’s SPP programs, with the exception of </w:t>
      </w:r>
      <w:r w:rsidR="003D6FCB">
        <w:t xml:space="preserve">the </w:t>
      </w:r>
      <w:r w:rsidRPr="00B33384">
        <w:rPr>
          <w:rFonts w:eastAsiaTheme="minorHAnsi"/>
        </w:rPr>
        <w:t xml:space="preserve">Transmission </w:t>
      </w:r>
      <w:r w:rsidR="00954948">
        <w:t>LR</w:t>
      </w:r>
      <w:r w:rsidRPr="00B33384">
        <w:t>FS</w:t>
      </w:r>
      <w:r w:rsidR="00921DCF">
        <w:t xml:space="preserve"> Program</w:t>
      </w:r>
      <w:r>
        <w:rPr>
          <w:rFonts w:eastAsiaTheme="minorHAnsi"/>
        </w:rPr>
        <w:t>,</w:t>
      </w:r>
      <w:r>
        <w:t xml:space="preserve"> are</w:t>
      </w:r>
      <w:r w:rsidRPr="00B33384">
        <w:t xml:space="preserve"> subject to the 2020 SPP Stipulation and the 2021 Stipu</w:t>
      </w:r>
      <w:r>
        <w:t>lation.</w:t>
      </w:r>
      <w:r>
        <w:rPr>
          <w:rStyle w:val="FootnoteReference"/>
        </w:rPr>
        <w:footnoteReference w:id="10"/>
      </w:r>
      <w:r w:rsidRPr="00B33384">
        <w:t xml:space="preserve"> </w:t>
      </w:r>
    </w:p>
    <w:p w14:paraId="050D9B39" w14:textId="77777777" w:rsidR="00506ED0" w:rsidRDefault="00506ED0" w:rsidP="00881F1A">
      <w:pPr>
        <w:ind w:firstLine="720"/>
        <w:jc w:val="both"/>
      </w:pPr>
    </w:p>
    <w:p w14:paraId="40A394B7" w14:textId="46674A31" w:rsidR="00881F1A" w:rsidRDefault="00881F1A" w:rsidP="00881F1A">
      <w:pPr>
        <w:ind w:firstLine="720"/>
        <w:jc w:val="both"/>
        <w:rPr>
          <w:rFonts w:eastAsiaTheme="minorHAnsi"/>
        </w:rPr>
      </w:pPr>
      <w:r>
        <w:t xml:space="preserve">Walmart argued that </w:t>
      </w:r>
      <w:r w:rsidRPr="00577A1B">
        <w:t>continue</w:t>
      </w:r>
      <w:r>
        <w:t>d</w:t>
      </w:r>
      <w:r w:rsidRPr="00577A1B">
        <w:t xml:space="preserve"> collaborat</w:t>
      </w:r>
      <w:r>
        <w:t>ion by</w:t>
      </w:r>
      <w:r w:rsidRPr="00577A1B">
        <w:t xml:space="preserve"> interested stakeholders </w:t>
      </w:r>
      <w:r>
        <w:t>prior to</w:t>
      </w:r>
      <w:r w:rsidRPr="00577A1B">
        <w:t xml:space="preserve"> </w:t>
      </w:r>
      <w:r>
        <w:t xml:space="preserve">submission of </w:t>
      </w:r>
      <w:r w:rsidR="00CA3665">
        <w:rPr>
          <w:bCs/>
        </w:rPr>
        <w:t>DEF</w:t>
      </w:r>
      <w:r>
        <w:rPr>
          <w:bCs/>
        </w:rPr>
        <w:t>’s</w:t>
      </w:r>
      <w:r w:rsidRPr="00BF642A">
        <w:rPr>
          <w:bCs/>
        </w:rPr>
        <w:t xml:space="preserve"> </w:t>
      </w:r>
      <w:r w:rsidRPr="00577A1B">
        <w:t xml:space="preserve">next SPP </w:t>
      </w:r>
      <w:r>
        <w:t>would promote the public interest.  According to Walmart, this collaboration would result in</w:t>
      </w:r>
      <w:r w:rsidRPr="00577A1B">
        <w:t xml:space="preserve"> </w:t>
      </w:r>
      <w:r>
        <w:t>enhanced</w:t>
      </w:r>
      <w:r w:rsidRPr="00577A1B">
        <w:t xml:space="preserve"> customer-sited generation </w:t>
      </w:r>
      <w:r>
        <w:t>to</w:t>
      </w:r>
      <w:r w:rsidRPr="00577A1B">
        <w:t xml:space="preserve"> strengthen the T</w:t>
      </w:r>
      <w:r>
        <w:t xml:space="preserve">ransmission and Distribution </w:t>
      </w:r>
      <w:r w:rsidRPr="00577A1B">
        <w:t>systems and provide customers with lower restoration costs, shorter outage periods, and more r</w:t>
      </w:r>
      <w:r w:rsidRPr="00DC6806">
        <w:t>eliable electric service overall</w:t>
      </w:r>
      <w:r>
        <w:t xml:space="preserve">.  </w:t>
      </w:r>
    </w:p>
    <w:p w14:paraId="5E8D073F" w14:textId="77777777" w:rsidR="002C4F52" w:rsidRDefault="002C4F52" w:rsidP="007575DA">
      <w:pPr>
        <w:jc w:val="both"/>
        <w:outlineLvl w:val="2"/>
      </w:pPr>
      <w:bookmarkStart w:id="9" w:name="_Hlk113530663"/>
    </w:p>
    <w:bookmarkEnd w:id="9"/>
    <w:p w14:paraId="635BE2C3" w14:textId="77777777" w:rsidR="00620B64" w:rsidRDefault="000F1F31" w:rsidP="00883CC4">
      <w:pPr>
        <w:pStyle w:val="ListParagraph"/>
        <w:numPr>
          <w:ilvl w:val="0"/>
          <w:numId w:val="15"/>
        </w:numPr>
        <w:outlineLvl w:val="2"/>
      </w:pPr>
      <w:r>
        <w:t>Analysis</w:t>
      </w:r>
    </w:p>
    <w:p w14:paraId="57173BBD" w14:textId="77777777" w:rsidR="00883CC4" w:rsidRPr="000F1F31" w:rsidRDefault="00883CC4" w:rsidP="00883CC4">
      <w:pPr>
        <w:pStyle w:val="ListParagraph"/>
        <w:ind w:left="1080"/>
        <w:outlineLvl w:val="2"/>
      </w:pPr>
    </w:p>
    <w:p w14:paraId="315BA6E4" w14:textId="77777777" w:rsidR="00620B64" w:rsidRPr="00B33384" w:rsidRDefault="00620B64" w:rsidP="000F1F31">
      <w:pPr>
        <w:spacing w:after="240"/>
        <w:ind w:firstLine="720"/>
        <w:jc w:val="both"/>
        <w:outlineLvl w:val="2"/>
      </w:pPr>
      <w:r w:rsidRPr="00B33384">
        <w:t>S</w:t>
      </w:r>
      <w:r w:rsidR="0002059E">
        <w:t>ubs</w:t>
      </w:r>
      <w:r w:rsidRPr="00B33384">
        <w:t xml:space="preserve">ection 366.96(5), </w:t>
      </w:r>
      <w:r w:rsidR="00733928">
        <w:t>F.S., states that we</w:t>
      </w:r>
      <w:r w:rsidRPr="00B33384">
        <w:t xml:space="preserve"> shall determine, no later than 180 days after a utility files its plan, “whether it is in the public interest to approve, approve with modification, or deny the plan.” Unlike the Storm Hardening Plans, S</w:t>
      </w:r>
      <w:r w:rsidR="0002059E">
        <w:t>ubs</w:t>
      </w:r>
      <w:r w:rsidRPr="00B33384">
        <w:t xml:space="preserve">ection 366.96(7), F.S., states that once a storm protection plan is approved, a utility’s “actions to implement the plan shall not constitute or be evidence of imprudence.” </w:t>
      </w:r>
      <w:r w:rsidR="0035112D">
        <w:t xml:space="preserve"> </w:t>
      </w:r>
      <w:r w:rsidR="00626815">
        <w:rPr>
          <w:bCs/>
        </w:rPr>
        <w:t>As discussed above, we find</w:t>
      </w:r>
      <w:r w:rsidRPr="00B33384">
        <w:rPr>
          <w:bCs/>
        </w:rPr>
        <w:t xml:space="preserve"> that DEF’s filing satisfies the requirements of Rule 25-6.030, F.A.C., and provides </w:t>
      </w:r>
      <w:r w:rsidR="00733928">
        <w:t>us</w:t>
      </w:r>
      <w:r w:rsidRPr="00B33384">
        <w:t xml:space="preserve"> with adequate information in order to satisfy its statutory requirements.</w:t>
      </w:r>
    </w:p>
    <w:p w14:paraId="241E3B84" w14:textId="0D8C00DE" w:rsidR="00620B64" w:rsidRPr="00B33384" w:rsidRDefault="00620B64" w:rsidP="00883CC4">
      <w:pPr>
        <w:spacing w:after="240"/>
        <w:ind w:firstLine="720"/>
        <w:jc w:val="both"/>
        <w:outlineLvl w:val="2"/>
        <w:rPr>
          <w:rFonts w:eastAsiaTheme="minorHAnsi"/>
        </w:rPr>
      </w:pPr>
      <w:r w:rsidRPr="00B33384">
        <w:t xml:space="preserve">As described by DEF witness Lloyd, the </w:t>
      </w:r>
      <w:r w:rsidR="008B045F">
        <w:t>Utility</w:t>
      </w:r>
      <w:r w:rsidRPr="00B33384">
        <w:t xml:space="preserve">’s proposed SPP covers the period of </w:t>
      </w:r>
      <w:r w:rsidR="00307351">
        <w:rPr>
          <w:rFonts w:eastAsiaTheme="minorHAnsi"/>
        </w:rPr>
        <w:t>2023-2032</w:t>
      </w:r>
      <w:r w:rsidRPr="00B33384">
        <w:rPr>
          <w:rFonts w:eastAsiaTheme="minorHAnsi"/>
        </w:rPr>
        <w:t xml:space="preserve"> and uses the same analysis methodology and programs that were included in its previous SPP for t</w:t>
      </w:r>
      <w:r w:rsidR="00883CC4">
        <w:rPr>
          <w:rFonts w:eastAsiaTheme="minorHAnsi"/>
        </w:rPr>
        <w:t>he period of 2020-2029.</w:t>
      </w:r>
      <w:r w:rsidRPr="00B33384">
        <w:rPr>
          <w:rFonts w:eastAsiaTheme="minorHAnsi"/>
        </w:rPr>
        <w:t xml:space="preserve"> </w:t>
      </w:r>
      <w:r w:rsidR="0035112D">
        <w:rPr>
          <w:rFonts w:eastAsiaTheme="minorHAnsi"/>
        </w:rPr>
        <w:t xml:space="preserve"> </w:t>
      </w:r>
      <w:r w:rsidRPr="00B33384">
        <w:rPr>
          <w:rFonts w:eastAsiaTheme="minorHAnsi"/>
        </w:rPr>
        <w:t>DEF’s SPP includes the following 10 programs:</w:t>
      </w:r>
    </w:p>
    <w:p w14:paraId="36DE03C1"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 xml:space="preserve">Distribution Feeder Hardening </w:t>
      </w:r>
    </w:p>
    <w:p w14:paraId="7E42E3EB"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 xml:space="preserve">Distribution Lateral Hardening </w:t>
      </w:r>
    </w:p>
    <w:p w14:paraId="672EA248"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Distribution Self-Optimizing Grid</w:t>
      </w:r>
    </w:p>
    <w:p w14:paraId="0314A45D"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Distribution Underground Flood Mitigation</w:t>
      </w:r>
    </w:p>
    <w:p w14:paraId="49F22F18"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Transmission Structure Hardening</w:t>
      </w:r>
    </w:p>
    <w:p w14:paraId="6B05851C"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Transmission Substation Flood Mitigation</w:t>
      </w:r>
    </w:p>
    <w:p w14:paraId="4DD06866"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Transmission Loop Radially Fed Substations</w:t>
      </w:r>
    </w:p>
    <w:p w14:paraId="4F41FA2E"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 xml:space="preserve">Transmission Substation Hardening </w:t>
      </w:r>
    </w:p>
    <w:p w14:paraId="31278A7B" w14:textId="77777777" w:rsidR="00620B64" w:rsidRPr="00B33384" w:rsidRDefault="00620B64" w:rsidP="00620B64">
      <w:pPr>
        <w:pStyle w:val="ListParagraph"/>
        <w:numPr>
          <w:ilvl w:val="0"/>
          <w:numId w:val="6"/>
        </w:numPr>
        <w:jc w:val="both"/>
        <w:outlineLvl w:val="2"/>
        <w:rPr>
          <w:rFonts w:eastAsiaTheme="minorHAnsi"/>
        </w:rPr>
      </w:pPr>
      <w:r w:rsidRPr="00B33384">
        <w:rPr>
          <w:rFonts w:eastAsiaTheme="minorHAnsi"/>
        </w:rPr>
        <w:t>Distribution Vegetation Management</w:t>
      </w:r>
    </w:p>
    <w:p w14:paraId="54F86D5E" w14:textId="77777777" w:rsidR="00620B64" w:rsidRDefault="00620B64" w:rsidP="00620B64">
      <w:pPr>
        <w:pStyle w:val="ListParagraph"/>
        <w:numPr>
          <w:ilvl w:val="0"/>
          <w:numId w:val="6"/>
        </w:numPr>
        <w:spacing w:after="240"/>
        <w:jc w:val="both"/>
        <w:outlineLvl w:val="2"/>
        <w:rPr>
          <w:rFonts w:eastAsiaTheme="minorHAnsi"/>
        </w:rPr>
      </w:pPr>
      <w:r w:rsidRPr="00B33384">
        <w:rPr>
          <w:rFonts w:eastAsiaTheme="minorHAnsi"/>
        </w:rPr>
        <w:t>Transmission Vegetation Management</w:t>
      </w:r>
    </w:p>
    <w:p w14:paraId="648D1B85" w14:textId="79694078" w:rsidR="00506ED0" w:rsidRDefault="00506ED0" w:rsidP="00116903">
      <w:pPr>
        <w:ind w:firstLine="720"/>
        <w:jc w:val="both"/>
        <w:outlineLvl w:val="2"/>
        <w:rPr>
          <w:bCs/>
        </w:rPr>
      </w:pPr>
      <w:r w:rsidRPr="00116903">
        <w:rPr>
          <w:bCs/>
        </w:rPr>
        <w:t>We addressed why the</w:t>
      </w:r>
      <w:r w:rsidRPr="00506ED0">
        <w:t xml:space="preserve"> </w:t>
      </w:r>
      <w:r w:rsidRPr="00B33384">
        <w:t>Distribution Feeder Hardening and Distribution Lateral Hardening Programs</w:t>
      </w:r>
      <w:r w:rsidRPr="00116903">
        <w:rPr>
          <w:bCs/>
        </w:rPr>
        <w:t xml:space="preserve"> should </w:t>
      </w:r>
      <w:r w:rsidR="00DC3F56">
        <w:rPr>
          <w:bCs/>
        </w:rPr>
        <w:t>remain in DEF’s SPP in Section VI</w:t>
      </w:r>
      <w:r w:rsidR="000B1330" w:rsidRPr="00116903">
        <w:rPr>
          <w:bCs/>
        </w:rPr>
        <w:t xml:space="preserve"> of this Order</w:t>
      </w:r>
      <w:r w:rsidRPr="00116903">
        <w:rPr>
          <w:bCs/>
        </w:rPr>
        <w:t>. We find DEF’</w:t>
      </w:r>
      <w:r w:rsidR="0038404B" w:rsidRPr="00116903">
        <w:rPr>
          <w:bCs/>
        </w:rPr>
        <w:t>s</w:t>
      </w:r>
      <w:r w:rsidRPr="00116903">
        <w:rPr>
          <w:bCs/>
        </w:rPr>
        <w:t xml:space="preserve"> SPP and its programs to be in the public interest overall, with the exception of the</w:t>
      </w:r>
      <w:r w:rsidRPr="00506ED0">
        <w:t xml:space="preserve"> </w:t>
      </w:r>
      <w:r w:rsidRPr="00B33384">
        <w:t>Transmission</w:t>
      </w:r>
      <w:r w:rsidR="00E85A67">
        <w:rPr>
          <w:rFonts w:eastAsiaTheme="minorHAnsi"/>
        </w:rPr>
        <w:t xml:space="preserve"> </w:t>
      </w:r>
      <w:r w:rsidRPr="00B33384">
        <w:t>LRFS Program</w:t>
      </w:r>
      <w:r>
        <w:t>.</w:t>
      </w:r>
      <w:r>
        <w:rPr>
          <w:bCs/>
        </w:rPr>
        <w:t xml:space="preserve"> </w:t>
      </w:r>
    </w:p>
    <w:p w14:paraId="6383F853" w14:textId="77777777" w:rsidR="00116903" w:rsidRPr="00116903" w:rsidRDefault="00116903" w:rsidP="00116903">
      <w:pPr>
        <w:ind w:left="360" w:firstLine="360"/>
        <w:jc w:val="both"/>
        <w:outlineLvl w:val="2"/>
        <w:rPr>
          <w:rFonts w:eastAsiaTheme="minorHAnsi"/>
        </w:rPr>
      </w:pPr>
    </w:p>
    <w:p w14:paraId="23B69F35" w14:textId="5E7ECA37" w:rsidR="00A81DAF" w:rsidRDefault="00626815" w:rsidP="008F1B11">
      <w:pPr>
        <w:spacing w:after="240"/>
        <w:ind w:firstLine="720"/>
        <w:jc w:val="both"/>
        <w:outlineLvl w:val="2"/>
      </w:pPr>
      <w:r>
        <w:t>We</w:t>
      </w:r>
      <w:r w:rsidR="00620B64" w:rsidRPr="00B33384">
        <w:t xml:space="preserve"> have concerns regarding the Transmission LRFS Program, which is scheduled to start in 2025</w:t>
      </w:r>
      <w:r w:rsidR="00116903">
        <w:t>, b</w:t>
      </w:r>
      <w:r w:rsidR="00506ED0">
        <w:t xml:space="preserve">ecause the </w:t>
      </w:r>
      <w:r w:rsidR="00506ED0" w:rsidRPr="00B33384">
        <w:t>Transmission LRFS Program</w:t>
      </w:r>
      <w:r w:rsidR="00620B64" w:rsidRPr="00B33384">
        <w:t xml:space="preserve"> </w:t>
      </w:r>
      <w:r w:rsidR="00506ED0">
        <w:t>is new</w:t>
      </w:r>
      <w:r w:rsidR="000B1330">
        <w:t xml:space="preserve"> </w:t>
      </w:r>
      <w:r w:rsidR="007A58A6">
        <w:t xml:space="preserve">to DEF’s SPP </w:t>
      </w:r>
      <w:r w:rsidR="000B1330">
        <w:t>and</w:t>
      </w:r>
      <w:r w:rsidR="00DA2932">
        <w:t xml:space="preserve"> </w:t>
      </w:r>
      <w:r w:rsidR="00620B64" w:rsidRPr="00B33384">
        <w:t xml:space="preserve">DEF </w:t>
      </w:r>
      <w:r w:rsidR="000B1330">
        <w:t>did not</w:t>
      </w:r>
      <w:r w:rsidR="00620B64" w:rsidRPr="00B33384">
        <w:t xml:space="preserve"> provide</w:t>
      </w:r>
      <w:r w:rsidR="00506ED0">
        <w:t xml:space="preserve"> </w:t>
      </w:r>
      <w:r w:rsidR="000B1330">
        <w:lastRenderedPageBreak/>
        <w:t>the necessary</w:t>
      </w:r>
      <w:r w:rsidR="00506ED0">
        <w:t xml:space="preserve"> </w:t>
      </w:r>
      <w:r w:rsidR="00620B64" w:rsidRPr="00B33384">
        <w:t xml:space="preserve">level </w:t>
      </w:r>
      <w:r w:rsidR="00506ED0">
        <w:t xml:space="preserve">of project </w:t>
      </w:r>
      <w:r w:rsidR="00620B64" w:rsidRPr="00B33384">
        <w:t>detail</w:t>
      </w:r>
      <w:r w:rsidR="00116903">
        <w:t xml:space="preserve"> </w:t>
      </w:r>
      <w:r w:rsidR="00145738">
        <w:t>on this particular program</w:t>
      </w:r>
      <w:r w:rsidR="00620B64" w:rsidRPr="00B33384">
        <w:t xml:space="preserve">. </w:t>
      </w:r>
      <w:r w:rsidR="005863F1">
        <w:t xml:space="preserve"> </w:t>
      </w:r>
      <w:r w:rsidR="00620B64" w:rsidRPr="00B33384">
        <w:t xml:space="preserve">The information </w:t>
      </w:r>
      <w:r w:rsidR="00AB62E1">
        <w:t xml:space="preserve">DEF provided for the </w:t>
      </w:r>
      <w:r w:rsidR="00AB62E1" w:rsidRPr="00B33384">
        <w:t xml:space="preserve">Transmission LRFS Program </w:t>
      </w:r>
      <w:r w:rsidR="00AB62E1">
        <w:t>was not sufficient</w:t>
      </w:r>
      <w:r w:rsidR="00145738">
        <w:t xml:space="preserve"> because</w:t>
      </w:r>
      <w:r w:rsidR="00AB62E1">
        <w:t xml:space="preserve"> </w:t>
      </w:r>
      <w:r w:rsidR="00A1123B">
        <w:t>DEF</w:t>
      </w:r>
      <w:r w:rsidR="00AB62E1">
        <w:t xml:space="preserve"> </w:t>
      </w:r>
      <w:r w:rsidR="00620B64" w:rsidRPr="00B33384">
        <w:t xml:space="preserve">provided </w:t>
      </w:r>
      <w:r w:rsidR="00145738">
        <w:t xml:space="preserve">only </w:t>
      </w:r>
      <w:r w:rsidR="00620B64" w:rsidRPr="00B33384">
        <w:t>the scope of the Transmission LRFS Program</w:t>
      </w:r>
      <w:r w:rsidR="002742FD">
        <w:t>,</w:t>
      </w:r>
      <w:r w:rsidR="00145738">
        <w:t xml:space="preserve"> noting that it</w:t>
      </w:r>
      <w:r w:rsidR="00620B64" w:rsidRPr="00B33384">
        <w:t xml:space="preserve"> would address approx</w:t>
      </w:r>
      <w:r w:rsidR="00A1123B">
        <w:t>imately 17 sites over 20 years</w:t>
      </w:r>
      <w:r w:rsidR="00145738">
        <w:t xml:space="preserve"> with an</w:t>
      </w:r>
      <w:r w:rsidR="005863F1">
        <w:t xml:space="preserve"> </w:t>
      </w:r>
      <w:r w:rsidR="00620B64" w:rsidRPr="00B33384">
        <w:t>estimated</w:t>
      </w:r>
      <w:r w:rsidR="00A1123B">
        <w:t xml:space="preserve"> the</w:t>
      </w:r>
      <w:r w:rsidR="00620B64" w:rsidRPr="00B33384">
        <w:t xml:space="preserve"> 10-year cost </w:t>
      </w:r>
      <w:r w:rsidR="00145738">
        <w:t>of</w:t>
      </w:r>
      <w:r w:rsidR="00620B64" w:rsidRPr="00B33384">
        <w:t xml:space="preserve"> approximately $82 million</w:t>
      </w:r>
      <w:r w:rsidR="00145738">
        <w:t xml:space="preserve">. </w:t>
      </w:r>
      <w:r w:rsidR="002742FD">
        <w:t xml:space="preserve"> </w:t>
      </w:r>
      <w:r w:rsidR="00145738">
        <w:t>DEF only</w:t>
      </w:r>
      <w:r w:rsidR="00620B64" w:rsidRPr="00B33384">
        <w:t xml:space="preserve"> </w:t>
      </w:r>
      <w:r w:rsidR="00D17240">
        <w:t>briefly described</w:t>
      </w:r>
      <w:r w:rsidR="00620B64" w:rsidRPr="00B33384">
        <w:t xml:space="preserve"> the types of assets that </w:t>
      </w:r>
      <w:r w:rsidR="00883CC4">
        <w:t>would be targeted</w:t>
      </w:r>
      <w:r w:rsidR="00145738">
        <w:t xml:space="preserve"> by this program</w:t>
      </w:r>
      <w:r w:rsidR="00883CC4">
        <w:t>.</w:t>
      </w:r>
      <w:r>
        <w:t xml:space="preserve"> </w:t>
      </w:r>
      <w:r w:rsidR="0035112D">
        <w:t xml:space="preserve"> </w:t>
      </w:r>
      <w:r w:rsidR="008F1B11">
        <w:t>Additionally, t</w:t>
      </w:r>
      <w:r w:rsidR="00145738">
        <w:t xml:space="preserve">he </w:t>
      </w:r>
      <w:r w:rsidR="00145738" w:rsidRPr="00B33384">
        <w:t>Transmission LRFS Program</w:t>
      </w:r>
      <w:r w:rsidR="001A5693">
        <w:t xml:space="preserve"> </w:t>
      </w:r>
      <w:r w:rsidR="00AB62E1">
        <w:t>would ut</w:t>
      </w:r>
      <w:r w:rsidR="00C4795E">
        <w:t>i</w:t>
      </w:r>
      <w:r w:rsidR="00AB62E1">
        <w:t xml:space="preserve">lize </w:t>
      </w:r>
      <w:r w:rsidR="00C4795E">
        <w:t>a practice referred to as “</w:t>
      </w:r>
      <w:r w:rsidR="00AB62E1">
        <w:t>looping</w:t>
      </w:r>
      <w:r w:rsidR="001A5693">
        <w:t>,</w:t>
      </w:r>
      <w:r w:rsidR="00C4795E">
        <w:t>”</w:t>
      </w:r>
      <w:r w:rsidR="001A5693">
        <w:t xml:space="preserve"> which is a common utility activity </w:t>
      </w:r>
      <w:r w:rsidR="00DA2932">
        <w:t xml:space="preserve">that involves the installation of redundant lines </w:t>
      </w:r>
      <w:r w:rsidR="00AB62E1" w:rsidRPr="00B33384">
        <w:t>to ensure reliable servi</w:t>
      </w:r>
      <w:r w:rsidR="008F1B11">
        <w:t>ce.</w:t>
      </w:r>
    </w:p>
    <w:p w14:paraId="69F2D5ED" w14:textId="6ED7C921" w:rsidR="002D6DC9" w:rsidRDefault="00AB62E1" w:rsidP="001A5693">
      <w:pPr>
        <w:spacing w:after="240"/>
        <w:ind w:firstLine="720"/>
        <w:jc w:val="both"/>
        <w:outlineLvl w:val="2"/>
      </w:pPr>
      <w:r w:rsidRPr="00B33384">
        <w:t xml:space="preserve">Rule 25-6.030(1)(a), F.A.C., defines a storm protection program as a collection of projects that “enhance the utility’s </w:t>
      </w:r>
      <w:r w:rsidRPr="00A1123B">
        <w:rPr>
          <w:i/>
        </w:rPr>
        <w:t xml:space="preserve">existing </w:t>
      </w:r>
      <w:r>
        <w:t>infrastructure” (e</w:t>
      </w:r>
      <w:r w:rsidRPr="00B33384">
        <w:t>mphasis added)</w:t>
      </w:r>
      <w:r w:rsidR="0038404B">
        <w:t>.</w:t>
      </w:r>
      <w:r w:rsidR="001A5693" w:rsidDel="001A5693">
        <w:t xml:space="preserve"> </w:t>
      </w:r>
      <w:r w:rsidR="001A5693">
        <w:t xml:space="preserve"> </w:t>
      </w:r>
      <w:r w:rsidR="00A1123B">
        <w:t>U</w:t>
      </w:r>
      <w:r w:rsidR="00620B64" w:rsidRPr="00B33384">
        <w:t>tility storm protection or hardening is a discretionary activity that goes above and beyond the basic standard of service to strengthen a utility’s existing infrastructure to</w:t>
      </w:r>
      <w:r w:rsidR="002D6DC9" w:rsidRPr="00B33384">
        <w:t xml:space="preserve"> withstand the potential for extreme weather</w:t>
      </w:r>
      <w:r w:rsidR="001A5693">
        <w:t xml:space="preserve">. </w:t>
      </w:r>
      <w:r w:rsidR="0038404B">
        <w:t xml:space="preserve"> </w:t>
      </w:r>
      <w:r w:rsidR="001A5693">
        <w:t xml:space="preserve">Therefore, </w:t>
      </w:r>
      <w:r w:rsidR="00157066">
        <w:t xml:space="preserve">we must consider whether a program in a SPP </w:t>
      </w:r>
      <w:r w:rsidR="001A5693">
        <w:t xml:space="preserve">is a common utility activity or </w:t>
      </w:r>
      <w:r w:rsidR="00921DCF">
        <w:t>meets the intent</w:t>
      </w:r>
      <w:r w:rsidR="00157066">
        <w:t xml:space="preserve"> </w:t>
      </w:r>
      <w:r w:rsidR="00A1123B">
        <w:t xml:space="preserve">of </w:t>
      </w:r>
      <w:r w:rsidR="00A80DF3">
        <w:t>Section</w:t>
      </w:r>
      <w:r w:rsidR="00157066">
        <w:t xml:space="preserve"> 366.96, F.S.</w:t>
      </w:r>
      <w:r w:rsidR="0035112D">
        <w:t xml:space="preserve"> </w:t>
      </w:r>
      <w:r w:rsidR="002D6DC9" w:rsidRPr="00B33384">
        <w:t xml:space="preserve"> </w:t>
      </w:r>
      <w:r w:rsidR="00157066">
        <w:t>As proposed in DEF’s current SPP, the</w:t>
      </w:r>
      <w:r w:rsidR="007575DA">
        <w:t xml:space="preserve"> </w:t>
      </w:r>
      <w:r w:rsidR="002D6DC9" w:rsidRPr="00B33384">
        <w:t>Transmission LRFS Program</w:t>
      </w:r>
      <w:r w:rsidR="00A81DAF">
        <w:t xml:space="preserve"> </w:t>
      </w:r>
      <w:r w:rsidR="002D6DC9" w:rsidRPr="00B33384">
        <w:t>involve</w:t>
      </w:r>
      <w:r w:rsidR="001361F5">
        <w:t>s</w:t>
      </w:r>
      <w:r w:rsidR="002D6DC9" w:rsidRPr="00B33384">
        <w:t xml:space="preserve"> the construction of new redundant infrastructure, rather than the enhancement or hardening of exi</w:t>
      </w:r>
      <w:r w:rsidR="00626815">
        <w:t>sting facilities</w:t>
      </w:r>
      <w:r>
        <w:t>.</w:t>
      </w:r>
      <w:r w:rsidR="005A15C7">
        <w:t xml:space="preserve"> </w:t>
      </w:r>
      <w:r>
        <w:t xml:space="preserve"> </w:t>
      </w:r>
      <w:r w:rsidR="00626815">
        <w:t>While we</w:t>
      </w:r>
      <w:r w:rsidR="002D6DC9" w:rsidRPr="00B33384">
        <w:t xml:space="preserve"> agree that such activity may enhance a utility’s transmission system</w:t>
      </w:r>
      <w:r>
        <w:t xml:space="preserve"> for reliab</w:t>
      </w:r>
      <w:r w:rsidR="001A5693">
        <w:t>i</w:t>
      </w:r>
      <w:r>
        <w:t>lity purposes</w:t>
      </w:r>
      <w:r w:rsidR="002D6DC9" w:rsidRPr="00B33384">
        <w:t>, it does not strengthen existing transmissi</w:t>
      </w:r>
      <w:r w:rsidR="00626815">
        <w:t>on facilities</w:t>
      </w:r>
      <w:r>
        <w:t xml:space="preserve"> for storm harde</w:t>
      </w:r>
      <w:r w:rsidR="001A5693">
        <w:t>n</w:t>
      </w:r>
      <w:r>
        <w:t>ing purposes</w:t>
      </w:r>
      <w:r w:rsidR="00626815">
        <w:t xml:space="preserve">. </w:t>
      </w:r>
      <w:r w:rsidR="0035112D">
        <w:t xml:space="preserve"> </w:t>
      </w:r>
      <w:r w:rsidR="00626815">
        <w:t xml:space="preserve">Therefore, </w:t>
      </w:r>
      <w:r w:rsidR="001E4085">
        <w:t>this</w:t>
      </w:r>
      <w:r w:rsidR="002D6DC9" w:rsidRPr="00B33384">
        <w:t xml:space="preserve"> new </w:t>
      </w:r>
      <w:r w:rsidR="001E4085">
        <w:t xml:space="preserve">and </w:t>
      </w:r>
      <w:r w:rsidR="002D6DC9" w:rsidRPr="00B33384">
        <w:t>redundant infrastructure project</w:t>
      </w:r>
      <w:r w:rsidR="00157066">
        <w:t xml:space="preserve"> should be excluded from its SPP</w:t>
      </w:r>
      <w:r w:rsidR="002D6DC9" w:rsidRPr="00B33384">
        <w:t xml:space="preserve">. </w:t>
      </w:r>
    </w:p>
    <w:p w14:paraId="119F281F" w14:textId="79DAC84F" w:rsidR="00620B64" w:rsidRDefault="00AB62E1" w:rsidP="000F1F31">
      <w:pPr>
        <w:ind w:firstLine="720"/>
        <w:jc w:val="both"/>
        <w:outlineLvl w:val="2"/>
      </w:pPr>
      <w:r>
        <w:rPr>
          <w:bCs/>
        </w:rPr>
        <w:t xml:space="preserve">For these reasons, we find that </w:t>
      </w:r>
      <w:r w:rsidR="002D6DC9" w:rsidRPr="00B33384">
        <w:rPr>
          <w:bCs/>
        </w:rPr>
        <w:t>DEF’s SPP is in the public interest</w:t>
      </w:r>
      <w:r w:rsidR="00547153">
        <w:rPr>
          <w:bCs/>
        </w:rPr>
        <w:t xml:space="preserve">, with the exception </w:t>
      </w:r>
      <w:r w:rsidR="00B266D5">
        <w:rPr>
          <w:bCs/>
        </w:rPr>
        <w:t xml:space="preserve">of </w:t>
      </w:r>
      <w:r w:rsidR="00547153">
        <w:rPr>
          <w:bCs/>
        </w:rPr>
        <w:t xml:space="preserve">the </w:t>
      </w:r>
      <w:r w:rsidR="00B266D5">
        <w:rPr>
          <w:bCs/>
        </w:rPr>
        <w:t>Transmission</w:t>
      </w:r>
      <w:r w:rsidR="00B266D5" w:rsidRPr="00B266D5">
        <w:t xml:space="preserve"> </w:t>
      </w:r>
      <w:r w:rsidR="00B266D5" w:rsidRPr="00B33384">
        <w:t>LRFS</w:t>
      </w:r>
      <w:r w:rsidR="00B266D5">
        <w:rPr>
          <w:bCs/>
        </w:rPr>
        <w:t xml:space="preserve"> </w:t>
      </w:r>
      <w:r w:rsidR="00547153">
        <w:rPr>
          <w:bCs/>
        </w:rPr>
        <w:t>Program</w:t>
      </w:r>
      <w:r w:rsidR="002D6DC9" w:rsidRPr="00B33384">
        <w:rPr>
          <w:bCs/>
        </w:rPr>
        <w:t xml:space="preserve">. </w:t>
      </w:r>
      <w:r w:rsidR="00A4144C">
        <w:rPr>
          <w:bCs/>
        </w:rPr>
        <w:t xml:space="preserve"> </w:t>
      </w:r>
      <w:r w:rsidR="00626815">
        <w:t>DEF shall</w:t>
      </w:r>
      <w:r w:rsidR="002D6DC9" w:rsidRPr="00B33384">
        <w:t xml:space="preserve"> file an amended SPP within 30 days of issuance of the final order for administrative approval by Commission staff.</w:t>
      </w:r>
    </w:p>
    <w:p w14:paraId="21D2E982" w14:textId="77777777" w:rsidR="00976557" w:rsidRDefault="00976557" w:rsidP="000F1F31">
      <w:pPr>
        <w:ind w:firstLine="720"/>
        <w:jc w:val="both"/>
        <w:outlineLvl w:val="2"/>
      </w:pPr>
    </w:p>
    <w:p w14:paraId="13C7CE84" w14:textId="6EA555B6" w:rsidR="001361F5" w:rsidRDefault="00881F1A" w:rsidP="00E87A65">
      <w:pPr>
        <w:spacing w:after="240"/>
        <w:ind w:firstLine="720"/>
        <w:jc w:val="both"/>
        <w:rPr>
          <w:rFonts w:ascii="TimesNewRomanPSMT" w:eastAsiaTheme="minorHAnsi" w:hAnsi="TimesNewRomanPSMT" w:cs="TimesNewRomanPSMT"/>
        </w:rPr>
      </w:pPr>
      <w:r>
        <w:t xml:space="preserve">Walmart raised a general comment about SPPs.  </w:t>
      </w:r>
      <w:r w:rsidR="00976557" w:rsidRPr="00F672FC">
        <w:t>Walmart provided no witness testimony, but argued in its brief</w:t>
      </w:r>
      <w:r w:rsidR="00976557" w:rsidRPr="00F672FC">
        <w:rPr>
          <w:rFonts w:ascii="TimesNewRomanPSMT" w:eastAsiaTheme="minorHAnsi" w:hAnsi="TimesNewRomanPSMT" w:cs="TimesNewRomanPSMT"/>
        </w:rPr>
        <w:t xml:space="preserve"> that it would </w:t>
      </w:r>
      <w:r w:rsidR="00976557">
        <w:rPr>
          <w:rFonts w:ascii="TimesNewRomanPSMT" w:eastAsiaTheme="minorHAnsi" w:hAnsi="TimesNewRomanPSMT" w:cs="TimesNewRomanPSMT"/>
        </w:rPr>
        <w:t>be in the public interest if DEF</w:t>
      </w:r>
      <w:r w:rsidR="00976557" w:rsidRPr="00F672FC">
        <w:rPr>
          <w:rFonts w:ascii="TimesNewRomanPSMT" w:eastAsiaTheme="minorHAnsi" w:hAnsi="TimesNewRomanPSMT" w:cs="TimesNewRomanPSMT"/>
        </w:rPr>
        <w:t xml:space="preserve"> continued to collaborate with Walmart and other interested stakeholders to develop ways in which customer-sited generation m</w:t>
      </w:r>
      <w:r w:rsidR="00976557">
        <w:rPr>
          <w:rFonts w:ascii="TimesNewRomanPSMT" w:eastAsiaTheme="minorHAnsi" w:hAnsi="TimesNewRomanPSMT" w:cs="TimesNewRomanPSMT"/>
        </w:rPr>
        <w:t xml:space="preserve">ay be utilized to strengthen DEF’s system.  </w:t>
      </w:r>
      <w:r w:rsidR="00976557" w:rsidRPr="00F672FC">
        <w:rPr>
          <w:rFonts w:ascii="TimesNewRomanPSMT" w:eastAsiaTheme="minorHAnsi" w:hAnsi="TimesNewRomanPSMT" w:cs="TimesNewRomanPSMT"/>
        </w:rPr>
        <w:t xml:space="preserve">Although </w:t>
      </w:r>
      <w:r w:rsidR="00976557">
        <w:rPr>
          <w:rFonts w:ascii="TimesNewRomanPSMT" w:eastAsiaTheme="minorHAnsi" w:hAnsi="TimesNewRomanPSMT" w:cs="TimesNewRomanPSMT"/>
        </w:rPr>
        <w:t>we</w:t>
      </w:r>
      <w:r w:rsidR="00976557" w:rsidRPr="00F672FC">
        <w:rPr>
          <w:rFonts w:ascii="TimesNewRomanPSMT" w:eastAsiaTheme="minorHAnsi" w:hAnsi="TimesNewRomanPSMT" w:cs="TimesNewRomanPSMT"/>
        </w:rPr>
        <w:t xml:space="preserve"> </w:t>
      </w:r>
      <w:r w:rsidR="00976557">
        <w:rPr>
          <w:rFonts w:ascii="TimesNewRomanPSMT" w:eastAsiaTheme="minorHAnsi" w:hAnsi="TimesNewRomanPSMT" w:cs="TimesNewRomanPSMT"/>
        </w:rPr>
        <w:t>agree</w:t>
      </w:r>
      <w:r w:rsidR="00976557" w:rsidRPr="00F672FC">
        <w:rPr>
          <w:rFonts w:ascii="TimesNewRomanPSMT" w:eastAsiaTheme="minorHAnsi" w:hAnsi="TimesNewRomanPSMT" w:cs="TimesNewRomanPSMT"/>
        </w:rPr>
        <w:t xml:space="preserve"> with continuing the collaboration between utilities and interested stakeholders, the SPP Statute does not contemplate customer-sited generation. </w:t>
      </w:r>
      <w:r w:rsidR="005A15C7">
        <w:rPr>
          <w:rFonts w:ascii="TimesNewRomanPSMT" w:eastAsiaTheme="minorHAnsi" w:hAnsi="TimesNewRomanPSMT" w:cs="TimesNewRomanPSMT"/>
        </w:rPr>
        <w:t xml:space="preserve"> </w:t>
      </w:r>
      <w:r w:rsidR="00976557" w:rsidRPr="00F672FC">
        <w:rPr>
          <w:rFonts w:ascii="TimesNewRomanPSMT" w:eastAsiaTheme="minorHAnsi" w:hAnsi="TimesNewRomanPSMT" w:cs="TimesNewRomanPSMT"/>
        </w:rPr>
        <w:t>S</w:t>
      </w:r>
      <w:r w:rsidR="00976557">
        <w:rPr>
          <w:rFonts w:ascii="TimesNewRomanPSMT" w:eastAsiaTheme="minorHAnsi" w:hAnsi="TimesNewRomanPSMT" w:cs="TimesNewRomanPSMT"/>
        </w:rPr>
        <w:t>ubs</w:t>
      </w:r>
      <w:r w:rsidR="00976557" w:rsidRPr="00F672FC">
        <w:rPr>
          <w:rFonts w:ascii="TimesNewRomanPSMT" w:eastAsiaTheme="minorHAnsi" w:hAnsi="TimesNewRomanPSMT" w:cs="TimesNewRomanPSMT"/>
        </w:rPr>
        <w:t xml:space="preserve">ection 366.96(2)(b), F.S., defines a transmission and distribution storm protection plan as “a plan for the overhead hardening and increased resilience of electric transmission and distribution facilities, undergrounding of electric distribution facilities, and vegetation management.” </w:t>
      </w:r>
      <w:r w:rsidR="005A15C7">
        <w:rPr>
          <w:rFonts w:ascii="TimesNewRomanPSMT" w:eastAsiaTheme="minorHAnsi" w:hAnsi="TimesNewRomanPSMT" w:cs="TimesNewRomanPSMT"/>
        </w:rPr>
        <w:t xml:space="preserve"> </w:t>
      </w:r>
      <w:r w:rsidR="00976557" w:rsidRPr="00F672FC">
        <w:rPr>
          <w:rFonts w:ascii="TimesNewRomanPSMT" w:eastAsiaTheme="minorHAnsi" w:hAnsi="TimesNewRomanPSMT" w:cs="TimesNewRomanPSMT"/>
        </w:rPr>
        <w:t>Thus, on-site generation does not meet the defini</w:t>
      </w:r>
      <w:r w:rsidR="00E87A65">
        <w:rPr>
          <w:rFonts w:ascii="TimesNewRomanPSMT" w:eastAsiaTheme="minorHAnsi" w:hAnsi="TimesNewRomanPSMT" w:cs="TimesNewRomanPSMT"/>
        </w:rPr>
        <w:t>tion as laid out in the statute.</w:t>
      </w:r>
    </w:p>
    <w:p w14:paraId="5883EF7A" w14:textId="77777777" w:rsidR="000F1F31" w:rsidRDefault="000F1F31" w:rsidP="000F1F31">
      <w:pPr>
        <w:pStyle w:val="ListParagraph"/>
        <w:numPr>
          <w:ilvl w:val="0"/>
          <w:numId w:val="15"/>
        </w:numPr>
      </w:pPr>
      <w:r>
        <w:t>Conclusion</w:t>
      </w:r>
    </w:p>
    <w:p w14:paraId="5886EF04" w14:textId="77777777" w:rsidR="000F1F31" w:rsidRPr="00B33384" w:rsidRDefault="000F1F31" w:rsidP="000F1F31"/>
    <w:p w14:paraId="4B8C422C" w14:textId="0050EF42" w:rsidR="000F1F31" w:rsidRDefault="00C73A63" w:rsidP="000F1F31">
      <w:pPr>
        <w:ind w:firstLine="720"/>
        <w:jc w:val="both"/>
      </w:pPr>
      <w:r w:rsidRPr="00B33384">
        <w:t xml:space="preserve">With the removal of the Transmission </w:t>
      </w:r>
      <w:r w:rsidR="00B266D5" w:rsidRPr="00B33384">
        <w:t>LRFS</w:t>
      </w:r>
      <w:r w:rsidRPr="00B33384">
        <w:t xml:space="preserve"> Program, DEF’s SPP </w:t>
      </w:r>
      <w:r w:rsidR="00FF3ED8">
        <w:t>is</w:t>
      </w:r>
      <w:r w:rsidR="008B045F">
        <w:t xml:space="preserve"> approved as in the public interest.</w:t>
      </w:r>
      <w:r w:rsidRPr="00B33384">
        <w:t xml:space="preserve"> </w:t>
      </w:r>
      <w:r w:rsidR="0035112D">
        <w:t xml:space="preserve"> </w:t>
      </w:r>
      <w:r w:rsidR="006604F2">
        <w:t>DEF shall</w:t>
      </w:r>
      <w:r w:rsidR="002D6DC9" w:rsidRPr="00B33384">
        <w:t xml:space="preserve"> file an amended SPP within 30 days of issuance of the final order for administrative approval by Commission staff.</w:t>
      </w:r>
    </w:p>
    <w:p w14:paraId="3BF77731" w14:textId="62EB539A" w:rsidR="00412DD1" w:rsidRDefault="00412DD1" w:rsidP="000F1F31">
      <w:pPr>
        <w:ind w:firstLine="720"/>
        <w:jc w:val="both"/>
      </w:pPr>
    </w:p>
    <w:p w14:paraId="78F32BB6" w14:textId="67E26775" w:rsidR="00412DD1" w:rsidRDefault="00412DD1" w:rsidP="000F1F31">
      <w:pPr>
        <w:ind w:firstLine="720"/>
        <w:jc w:val="both"/>
      </w:pPr>
    </w:p>
    <w:p w14:paraId="73A7D548" w14:textId="54DC2AE2" w:rsidR="00412DD1" w:rsidRDefault="00412DD1" w:rsidP="000F1F31">
      <w:pPr>
        <w:ind w:firstLine="720"/>
        <w:jc w:val="both"/>
      </w:pPr>
    </w:p>
    <w:p w14:paraId="1D66027C" w14:textId="77777777" w:rsidR="00412DD1" w:rsidRDefault="00412DD1" w:rsidP="000F1F31">
      <w:pPr>
        <w:ind w:firstLine="720"/>
        <w:jc w:val="both"/>
      </w:pPr>
    </w:p>
    <w:p w14:paraId="5ED36408" w14:textId="77777777" w:rsidR="000F1F31" w:rsidRDefault="000F1F31" w:rsidP="000F1F31">
      <w:pPr>
        <w:ind w:firstLine="720"/>
        <w:jc w:val="both"/>
      </w:pPr>
    </w:p>
    <w:p w14:paraId="6EB15CC6" w14:textId="77777777" w:rsidR="002D6DC9" w:rsidRDefault="002D6DC9" w:rsidP="000F1F31">
      <w:pPr>
        <w:ind w:firstLine="720"/>
        <w:jc w:val="both"/>
      </w:pPr>
      <w:r w:rsidRPr="00B33384">
        <w:lastRenderedPageBreak/>
        <w:t>Based on the foregoing, it is</w:t>
      </w:r>
    </w:p>
    <w:p w14:paraId="2540F7EA" w14:textId="77777777" w:rsidR="00FA17BA" w:rsidRDefault="00FA17BA" w:rsidP="000F1F31">
      <w:pPr>
        <w:ind w:firstLine="720"/>
        <w:jc w:val="both"/>
      </w:pPr>
    </w:p>
    <w:p w14:paraId="487399B5" w14:textId="0A5E2766" w:rsidR="00FA17BA" w:rsidRPr="00FA17BA" w:rsidRDefault="00FA17BA" w:rsidP="00FA17BA">
      <w:pPr>
        <w:ind w:firstLine="720"/>
        <w:jc w:val="both"/>
        <w:rPr>
          <w:rFonts w:ascii="Times" w:hAnsi="Times" w:cs="Times"/>
          <w:sz w:val="22"/>
          <w:szCs w:val="22"/>
        </w:rPr>
      </w:pPr>
      <w:r>
        <w:t xml:space="preserve">ORDERED that with the exception of the </w:t>
      </w:r>
      <w:r w:rsidRPr="00B33384">
        <w:t>Transmission L</w:t>
      </w:r>
      <w:r w:rsidR="00DC3F56">
        <w:t xml:space="preserve">oop </w:t>
      </w:r>
      <w:r w:rsidRPr="00B33384">
        <w:t>R</w:t>
      </w:r>
      <w:r w:rsidR="00DC3F56">
        <w:t xml:space="preserve">adially </w:t>
      </w:r>
      <w:r w:rsidRPr="00B33384">
        <w:t>F</w:t>
      </w:r>
      <w:r w:rsidR="00DC3F56">
        <w:t xml:space="preserve">ed </w:t>
      </w:r>
      <w:r w:rsidRPr="00B33384">
        <w:t>S</w:t>
      </w:r>
      <w:r w:rsidR="00DC3F56">
        <w:t>ubstations</w:t>
      </w:r>
      <w:r w:rsidRPr="00B33384">
        <w:t xml:space="preserve"> Program</w:t>
      </w:r>
      <w:r>
        <w:t xml:space="preserve">, that Duke Energy Florida’s </w:t>
      </w:r>
      <w:r w:rsidR="00A1123B">
        <w:t xml:space="preserve">Storm </w:t>
      </w:r>
      <w:r>
        <w:t>Protection Plan me</w:t>
      </w:r>
      <w:r w:rsidR="00A80DF3">
        <w:t>e</w:t>
      </w:r>
      <w:r>
        <w:t>t</w:t>
      </w:r>
      <w:r w:rsidR="00A80DF3">
        <w:t>s</w:t>
      </w:r>
      <w:r>
        <w:t xml:space="preserve"> the requirements of </w:t>
      </w:r>
      <w:r w:rsidR="00A80DF3">
        <w:t xml:space="preserve">Section </w:t>
      </w:r>
      <w:r>
        <w:t>366.96, F.S., and Rule 25-6.030, F.A.C.</w:t>
      </w:r>
      <w:r w:rsidR="00A80DF3">
        <w:t>,</w:t>
      </w:r>
      <w:r>
        <w:t xml:space="preserve"> </w:t>
      </w:r>
      <w:r w:rsidR="00D344CB">
        <w:t xml:space="preserve">and is approved as </w:t>
      </w:r>
      <w:r w:rsidR="00FF3ED8">
        <w:rPr>
          <w:rFonts w:ascii="Times" w:hAnsi="Times" w:cs="Times"/>
        </w:rPr>
        <w:t>in the public interest.  It is f</w:t>
      </w:r>
      <w:r>
        <w:rPr>
          <w:rFonts w:ascii="Times" w:hAnsi="Times" w:cs="Times"/>
        </w:rPr>
        <w:t>urther</w:t>
      </w:r>
    </w:p>
    <w:p w14:paraId="15DC9C75" w14:textId="77777777" w:rsidR="00FA17BA" w:rsidRDefault="00FA17BA" w:rsidP="00FA17BA">
      <w:pPr>
        <w:jc w:val="both"/>
      </w:pPr>
      <w:r>
        <w:t xml:space="preserve">                </w:t>
      </w:r>
    </w:p>
    <w:p w14:paraId="4B6AF6F7" w14:textId="6DAB388F" w:rsidR="00FA17BA" w:rsidRDefault="00FA17BA" w:rsidP="00FA17BA">
      <w:pPr>
        <w:pStyle w:val="OrderBody"/>
      </w:pPr>
      <w:r>
        <w:t>            ORDERED that Duke Energy Florida shall file a mo</w:t>
      </w:r>
      <w:r w:rsidR="00464F6F">
        <w:t>dified Storm Protection Plan that</w:t>
      </w:r>
      <w:r>
        <w:t xml:space="preserve"> </w:t>
      </w:r>
      <w:r w:rsidR="00464F6F">
        <w:t>reflects the</w:t>
      </w:r>
      <w:r>
        <w:t xml:space="preserve"> removal of the Transmission </w:t>
      </w:r>
      <w:r w:rsidR="00E42071">
        <w:t xml:space="preserve">Loop Radially Fed Substation </w:t>
      </w:r>
      <w:r>
        <w:t>Program within 30 days of issuance of the final order for administrative approval by Commission staff.  It is further</w:t>
      </w:r>
    </w:p>
    <w:p w14:paraId="61913FFD" w14:textId="77777777" w:rsidR="00FA17BA" w:rsidRDefault="00FA17BA" w:rsidP="00FA17BA">
      <w:pPr>
        <w:pStyle w:val="OrderBody"/>
      </w:pPr>
    </w:p>
    <w:p w14:paraId="1C50BA15" w14:textId="77777777" w:rsidR="00FA17BA" w:rsidRDefault="00FA17BA" w:rsidP="00FA17BA">
      <w:pPr>
        <w:ind w:firstLine="720"/>
        <w:jc w:val="both"/>
      </w:pPr>
      <w:r>
        <w:t>ORDERED that the docket shall remain open for Commission staff’s verification that the amended Storm Protection Plan has been filed and complies with this order and may be closed administratively once these actions are complete.</w:t>
      </w:r>
    </w:p>
    <w:p w14:paraId="5FFF840E" w14:textId="77777777" w:rsidR="002D6DC9" w:rsidRPr="00B33384" w:rsidRDefault="002D6DC9" w:rsidP="002D6DC9">
      <w:pPr>
        <w:jc w:val="both"/>
      </w:pPr>
    </w:p>
    <w:p w14:paraId="175CBEA7" w14:textId="262B3256" w:rsidR="002D6DC9" w:rsidRDefault="002D6DC9" w:rsidP="002D6DC9">
      <w:pPr>
        <w:keepNext/>
        <w:keepLines/>
        <w:jc w:val="both"/>
        <w:outlineLvl w:val="2"/>
      </w:pPr>
      <w:r w:rsidRPr="00B33384">
        <w:tab/>
        <w:t xml:space="preserve">By ORDER of the Florida Public Service Commission this </w:t>
      </w:r>
      <w:bookmarkStart w:id="10" w:name="replaceDate"/>
      <w:bookmarkEnd w:id="10"/>
      <w:r w:rsidR="004C0183">
        <w:rPr>
          <w:u w:val="single"/>
        </w:rPr>
        <w:t>14th</w:t>
      </w:r>
      <w:r w:rsidR="004C0183">
        <w:t xml:space="preserve"> day of </w:t>
      </w:r>
      <w:r w:rsidR="004C0183">
        <w:rPr>
          <w:u w:val="single"/>
        </w:rPr>
        <w:t>November</w:t>
      </w:r>
      <w:r w:rsidR="004C0183">
        <w:t xml:space="preserve">, </w:t>
      </w:r>
      <w:r w:rsidR="004C0183">
        <w:rPr>
          <w:u w:val="single"/>
        </w:rPr>
        <w:t>2022</w:t>
      </w:r>
      <w:r w:rsidR="004C0183">
        <w:t>.</w:t>
      </w:r>
    </w:p>
    <w:p w14:paraId="6236DAB7" w14:textId="77777777" w:rsidR="004C0183" w:rsidRPr="004C0183" w:rsidRDefault="004C0183" w:rsidP="002D6DC9">
      <w:pPr>
        <w:keepNext/>
        <w:keepLines/>
        <w:jc w:val="both"/>
        <w:outlineLvl w:val="2"/>
      </w:pPr>
    </w:p>
    <w:p w14:paraId="5C0AC29D" w14:textId="77777777" w:rsidR="002D6DC9" w:rsidRPr="00B33384" w:rsidRDefault="002D6DC9" w:rsidP="002D6DC9">
      <w:pPr>
        <w:keepNext/>
        <w:keepLines/>
        <w:jc w:val="both"/>
        <w:outlineLvl w:val="2"/>
      </w:pPr>
    </w:p>
    <w:p w14:paraId="23D8F8D9" w14:textId="77777777" w:rsidR="002D6DC9" w:rsidRPr="00B33384" w:rsidRDefault="002D6DC9" w:rsidP="002D6DC9">
      <w:pPr>
        <w:keepNext/>
        <w:keepLines/>
        <w:jc w:val="both"/>
        <w:outlineLvl w:val="2"/>
      </w:pPr>
    </w:p>
    <w:tbl>
      <w:tblPr>
        <w:tblW w:w="4720" w:type="dxa"/>
        <w:tblInd w:w="3800" w:type="dxa"/>
        <w:tblLayout w:type="fixed"/>
        <w:tblLook w:val="0000" w:firstRow="0" w:lastRow="0" w:firstColumn="0" w:lastColumn="0" w:noHBand="0" w:noVBand="0"/>
      </w:tblPr>
      <w:tblGrid>
        <w:gridCol w:w="686"/>
        <w:gridCol w:w="4034"/>
      </w:tblGrid>
      <w:tr w:rsidR="002D6DC9" w:rsidRPr="00B33384" w14:paraId="0245D316" w14:textId="77777777" w:rsidTr="002D6DC9">
        <w:tc>
          <w:tcPr>
            <w:tcW w:w="720" w:type="dxa"/>
            <w:shd w:val="clear" w:color="auto" w:fill="auto"/>
          </w:tcPr>
          <w:p w14:paraId="55CF6151" w14:textId="77777777" w:rsidR="002D6DC9" w:rsidRPr="00B33384" w:rsidRDefault="002D6DC9" w:rsidP="002D6DC9">
            <w:pPr>
              <w:keepNext/>
              <w:keepLines/>
              <w:jc w:val="both"/>
              <w:outlineLvl w:val="2"/>
            </w:pPr>
            <w:bookmarkStart w:id="11" w:name="bkmrkSignature" w:colFirst="0" w:colLast="0"/>
          </w:p>
        </w:tc>
        <w:tc>
          <w:tcPr>
            <w:tcW w:w="4320" w:type="dxa"/>
            <w:tcBorders>
              <w:bottom w:val="single" w:sz="4" w:space="0" w:color="auto"/>
            </w:tcBorders>
            <w:shd w:val="clear" w:color="auto" w:fill="auto"/>
          </w:tcPr>
          <w:p w14:paraId="0FD53B04" w14:textId="170BA7AB" w:rsidR="002D6DC9" w:rsidRPr="00B33384" w:rsidRDefault="004C0183" w:rsidP="002D6DC9">
            <w:pPr>
              <w:keepNext/>
              <w:keepLines/>
              <w:jc w:val="both"/>
              <w:outlineLvl w:val="2"/>
            </w:pPr>
            <w:r>
              <w:t>/s/ Adam J. Teitzman</w:t>
            </w:r>
            <w:bookmarkStart w:id="12" w:name="_GoBack"/>
            <w:bookmarkEnd w:id="12"/>
          </w:p>
        </w:tc>
      </w:tr>
      <w:bookmarkEnd w:id="11"/>
      <w:tr w:rsidR="002D6DC9" w:rsidRPr="00B33384" w14:paraId="5235EB51" w14:textId="77777777" w:rsidTr="002D6DC9">
        <w:tc>
          <w:tcPr>
            <w:tcW w:w="720" w:type="dxa"/>
            <w:shd w:val="clear" w:color="auto" w:fill="auto"/>
          </w:tcPr>
          <w:p w14:paraId="4BBFA32C" w14:textId="77777777" w:rsidR="002D6DC9" w:rsidRPr="00B33384" w:rsidRDefault="002D6DC9" w:rsidP="002D6DC9">
            <w:pPr>
              <w:keepNext/>
              <w:keepLines/>
              <w:jc w:val="both"/>
              <w:outlineLvl w:val="2"/>
            </w:pPr>
          </w:p>
        </w:tc>
        <w:tc>
          <w:tcPr>
            <w:tcW w:w="4320" w:type="dxa"/>
            <w:tcBorders>
              <w:top w:val="single" w:sz="4" w:space="0" w:color="auto"/>
            </w:tcBorders>
            <w:shd w:val="clear" w:color="auto" w:fill="auto"/>
          </w:tcPr>
          <w:p w14:paraId="11E3A0F6" w14:textId="77777777" w:rsidR="002D6DC9" w:rsidRPr="00B33384" w:rsidRDefault="002D6DC9" w:rsidP="002D6DC9">
            <w:pPr>
              <w:keepNext/>
              <w:keepLines/>
              <w:jc w:val="both"/>
              <w:outlineLvl w:val="2"/>
            </w:pPr>
            <w:r w:rsidRPr="00B33384">
              <w:t>ADAM J. TEITZMAN</w:t>
            </w:r>
          </w:p>
          <w:p w14:paraId="64A2BCE8" w14:textId="77777777" w:rsidR="002D6DC9" w:rsidRPr="00B33384" w:rsidRDefault="002D6DC9" w:rsidP="002D6DC9">
            <w:pPr>
              <w:keepNext/>
              <w:keepLines/>
              <w:jc w:val="both"/>
              <w:outlineLvl w:val="2"/>
            </w:pPr>
            <w:r w:rsidRPr="00B33384">
              <w:t>Commission Clerk</w:t>
            </w:r>
          </w:p>
        </w:tc>
      </w:tr>
    </w:tbl>
    <w:p w14:paraId="799176DC" w14:textId="77777777" w:rsidR="002D6DC9" w:rsidRPr="00B33384" w:rsidRDefault="002D6DC9" w:rsidP="002D6DC9">
      <w:pPr>
        <w:pStyle w:val="OrderSigInfo"/>
        <w:keepNext/>
        <w:keepLines/>
      </w:pPr>
      <w:r w:rsidRPr="00B33384">
        <w:t>Florida Public Service Commission</w:t>
      </w:r>
    </w:p>
    <w:p w14:paraId="5C89E076" w14:textId="77777777" w:rsidR="002D6DC9" w:rsidRPr="00B33384" w:rsidRDefault="002D6DC9" w:rsidP="002D6DC9">
      <w:pPr>
        <w:pStyle w:val="OrderSigInfo"/>
        <w:keepNext/>
        <w:keepLines/>
      </w:pPr>
      <w:r w:rsidRPr="00B33384">
        <w:t>2540 Shumard Oak Boulevard</w:t>
      </w:r>
    </w:p>
    <w:p w14:paraId="30750987" w14:textId="77777777" w:rsidR="002D6DC9" w:rsidRPr="00B33384" w:rsidRDefault="002D6DC9" w:rsidP="002D6DC9">
      <w:pPr>
        <w:pStyle w:val="OrderSigInfo"/>
        <w:keepNext/>
        <w:keepLines/>
      </w:pPr>
      <w:r w:rsidRPr="00B33384">
        <w:t>Tallahassee, Florida 32399</w:t>
      </w:r>
    </w:p>
    <w:p w14:paraId="14FB40C9" w14:textId="77777777" w:rsidR="002D6DC9" w:rsidRPr="00B33384" w:rsidRDefault="002D6DC9" w:rsidP="002D6DC9">
      <w:pPr>
        <w:pStyle w:val="OrderSigInfo"/>
        <w:keepNext/>
        <w:keepLines/>
      </w:pPr>
      <w:r w:rsidRPr="00B33384">
        <w:t>(850) 413</w:t>
      </w:r>
      <w:r w:rsidRPr="00B33384">
        <w:noBreakHyphen/>
        <w:t>6770</w:t>
      </w:r>
    </w:p>
    <w:p w14:paraId="05F1101A" w14:textId="77777777" w:rsidR="002D6DC9" w:rsidRPr="00B33384" w:rsidRDefault="002D6DC9" w:rsidP="002D6DC9">
      <w:pPr>
        <w:pStyle w:val="OrderSigInfo"/>
        <w:keepNext/>
        <w:keepLines/>
      </w:pPr>
      <w:r w:rsidRPr="00B33384">
        <w:t>www.floridapsc.com</w:t>
      </w:r>
    </w:p>
    <w:p w14:paraId="0C0367F3" w14:textId="77777777" w:rsidR="002D6DC9" w:rsidRPr="00B33384" w:rsidRDefault="002D6DC9" w:rsidP="002D6DC9">
      <w:pPr>
        <w:pStyle w:val="OrderSigInfo"/>
        <w:keepNext/>
        <w:keepLines/>
      </w:pPr>
    </w:p>
    <w:p w14:paraId="79B79916" w14:textId="77777777" w:rsidR="002D6DC9" w:rsidRPr="00B33384" w:rsidRDefault="002D6DC9" w:rsidP="002D6DC9">
      <w:pPr>
        <w:pStyle w:val="OrderSigInfo"/>
        <w:keepNext/>
        <w:keepLines/>
      </w:pPr>
      <w:r w:rsidRPr="00B33384">
        <w:t>Copies furnished:  A copy of this document is provided to the parties of record at the time of issuance and, if applicable, interested persons.</w:t>
      </w:r>
    </w:p>
    <w:p w14:paraId="1378C998" w14:textId="77777777" w:rsidR="002D6DC9" w:rsidRPr="00B33384" w:rsidRDefault="002D6DC9" w:rsidP="002D6DC9">
      <w:pPr>
        <w:pStyle w:val="OrderBody"/>
        <w:keepNext/>
        <w:keepLines/>
      </w:pPr>
    </w:p>
    <w:p w14:paraId="1BDA9593" w14:textId="77777777" w:rsidR="002D6DC9" w:rsidRPr="00B33384" w:rsidRDefault="002D6DC9" w:rsidP="002D6DC9">
      <w:pPr>
        <w:keepNext/>
        <w:keepLines/>
        <w:jc w:val="both"/>
        <w:outlineLvl w:val="2"/>
      </w:pPr>
      <w:r w:rsidRPr="00B33384">
        <w:t>WLT/JDI</w:t>
      </w:r>
    </w:p>
    <w:p w14:paraId="2BA8FB93" w14:textId="77777777" w:rsidR="000F1F31" w:rsidRDefault="000F1F31" w:rsidP="0035112D">
      <w:pPr>
        <w:pStyle w:val="CenterUnderline"/>
        <w:jc w:val="left"/>
      </w:pPr>
    </w:p>
    <w:p w14:paraId="45E372D7" w14:textId="77777777" w:rsidR="00361F82" w:rsidRPr="00361F82" w:rsidRDefault="00361F82" w:rsidP="00361F82">
      <w:pPr>
        <w:jc w:val="both"/>
      </w:pPr>
      <w:r w:rsidRPr="00361F82">
        <w:t>COMMISSIONER PASSIDOMO DISSENTS WITH OPINION:</w:t>
      </w:r>
    </w:p>
    <w:p w14:paraId="41B975E0" w14:textId="77777777" w:rsidR="00361F82" w:rsidRPr="00361F82" w:rsidRDefault="00361F82" w:rsidP="00361F82">
      <w:pPr>
        <w:jc w:val="both"/>
      </w:pPr>
    </w:p>
    <w:p w14:paraId="02EBEF11" w14:textId="77777777" w:rsidR="00361F82" w:rsidRPr="00361F82" w:rsidRDefault="00361F82" w:rsidP="00361F82">
      <w:pPr>
        <w:ind w:firstLine="720"/>
        <w:jc w:val="both"/>
      </w:pPr>
      <w:r w:rsidRPr="00361F82">
        <w:t>Commissioner Passidomo dissents with opinion from the Commission’s decision to approve the Distribution Lateral Hardening Program at the level requested by the utility in their proposed Storm Protection Plan, as follows:</w:t>
      </w:r>
    </w:p>
    <w:p w14:paraId="303F06BD" w14:textId="77777777" w:rsidR="00361F82" w:rsidRPr="00361F82" w:rsidRDefault="00361F82" w:rsidP="00361F82">
      <w:pPr>
        <w:jc w:val="both"/>
      </w:pPr>
    </w:p>
    <w:p w14:paraId="7CF256E7" w14:textId="77777777" w:rsidR="00361F82" w:rsidRPr="00361F82" w:rsidRDefault="00361F82" w:rsidP="00361F82">
      <w:pPr>
        <w:ind w:firstLine="720"/>
        <w:jc w:val="both"/>
      </w:pPr>
      <w:r w:rsidRPr="00361F82">
        <w:t xml:space="preserve">Section 366.96(4)(d), F.S., requires the Commission to consider “[t]he estimated annual rate impact resulting from implementation of the plan during the first 3 years addressed in the plan.” Additionally, Section 366.96(4)(c), F.S., states that the Commission shall consider the estimated costs and benefits to the utility and its customers of making the improvements proposed in the plan.  </w:t>
      </w:r>
    </w:p>
    <w:p w14:paraId="77FCCF61" w14:textId="77777777" w:rsidR="00361F82" w:rsidRPr="00361F82" w:rsidRDefault="00361F82" w:rsidP="00361F82">
      <w:pPr>
        <w:jc w:val="both"/>
        <w:rPr>
          <w:rFonts w:eastAsiaTheme="minorHAnsi" w:cstheme="minorBidi"/>
          <w:szCs w:val="22"/>
        </w:rPr>
      </w:pPr>
    </w:p>
    <w:p w14:paraId="38ACB8FF" w14:textId="77777777" w:rsidR="00361F82" w:rsidRPr="00361F82" w:rsidRDefault="00361F82" w:rsidP="00361F82">
      <w:pPr>
        <w:jc w:val="both"/>
        <w:rPr>
          <w:rFonts w:eastAsiaTheme="minorHAnsi" w:cstheme="minorBidi"/>
          <w:szCs w:val="22"/>
        </w:rPr>
      </w:pPr>
      <w:r w:rsidRPr="00361F82">
        <w:rPr>
          <w:rFonts w:eastAsiaTheme="minorHAnsi" w:cstheme="minorBidi"/>
          <w:szCs w:val="22"/>
        </w:rPr>
        <w:tab/>
        <w:t xml:space="preserve">The benefits of undergrounding are indisputable; however, the proposed cost of the program must be considered.  I believe that maintaining the spending levels of the Distribution Lateral Hardening Program at the 2022 level will provide the stated benefits to the utility and customers, while moderating the rate impact to customers. By tempering the pace of these investments, the Commission will have an opportunity to reassess over time how effective this program is in various geographic areas and under different storm conditions. </w:t>
      </w:r>
    </w:p>
    <w:p w14:paraId="0CC801B5" w14:textId="51F42525" w:rsidR="00256426" w:rsidRDefault="00256426" w:rsidP="0035112D">
      <w:pPr>
        <w:pStyle w:val="CenterUnderline"/>
        <w:jc w:val="left"/>
      </w:pPr>
    </w:p>
    <w:p w14:paraId="6FF64548" w14:textId="77777777" w:rsidR="00256426" w:rsidRDefault="00256426" w:rsidP="0035112D">
      <w:pPr>
        <w:pStyle w:val="CenterUnderline"/>
        <w:jc w:val="left"/>
      </w:pPr>
    </w:p>
    <w:p w14:paraId="55CCD4C4" w14:textId="77777777" w:rsidR="002D6DC9" w:rsidRPr="00B33384" w:rsidRDefault="002D6DC9" w:rsidP="002D6DC9">
      <w:pPr>
        <w:pStyle w:val="CenterUnderline"/>
      </w:pPr>
      <w:r w:rsidRPr="00B33384">
        <w:t>NOTICE OF FURTHER PROCEEDINGS OR JUDICIAL REVIEW</w:t>
      </w:r>
    </w:p>
    <w:p w14:paraId="2E0B358D" w14:textId="77777777" w:rsidR="002D6DC9" w:rsidRPr="00B33384" w:rsidRDefault="002D6DC9" w:rsidP="002D6DC9">
      <w:pPr>
        <w:pStyle w:val="CenterUnderline"/>
      </w:pPr>
    </w:p>
    <w:p w14:paraId="7F122D99" w14:textId="77777777" w:rsidR="002D6DC9" w:rsidRPr="00B33384" w:rsidRDefault="002D6DC9" w:rsidP="002D6DC9">
      <w:pPr>
        <w:pStyle w:val="OrderBody"/>
      </w:pPr>
    </w:p>
    <w:p w14:paraId="776C3C71" w14:textId="77777777" w:rsidR="002D6DC9" w:rsidRPr="00B33384" w:rsidRDefault="002D6DC9" w:rsidP="002D6DC9">
      <w:pPr>
        <w:pStyle w:val="OrderBody"/>
      </w:pPr>
      <w:r w:rsidRPr="00B33384">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E57B09E" w14:textId="77777777" w:rsidR="002D6DC9" w:rsidRPr="00B33384" w:rsidRDefault="002D6DC9" w:rsidP="002D6DC9">
      <w:pPr>
        <w:pStyle w:val="OrderBody"/>
      </w:pPr>
    </w:p>
    <w:p w14:paraId="551F50B9" w14:textId="77777777" w:rsidR="002D6DC9" w:rsidRPr="00B33384" w:rsidRDefault="002D6DC9" w:rsidP="002D6DC9">
      <w:pPr>
        <w:pStyle w:val="OrderBody"/>
      </w:pPr>
      <w:r w:rsidRPr="00B33384">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2D68B34F" w14:textId="77777777" w:rsidR="00817D7D" w:rsidRPr="00B33384" w:rsidRDefault="00817D7D" w:rsidP="00742173">
      <w:pPr>
        <w:pStyle w:val="OrderBody"/>
        <w:framePr w:h="337" w:hRule="exact" w:wrap="auto" w:hAnchor="text"/>
        <w:sectPr w:rsidR="00817D7D" w:rsidRPr="00B33384">
          <w:headerReference w:type="default" r:id="rId7"/>
          <w:footerReference w:type="first" r:id="rId8"/>
          <w:pgSz w:w="12240" w:h="15840" w:code="1"/>
          <w:pgMar w:top="1440" w:right="1440" w:bottom="1440" w:left="1440" w:header="720" w:footer="720" w:gutter="0"/>
          <w:cols w:space="720"/>
          <w:titlePg/>
          <w:docGrid w:linePitch="360"/>
        </w:sectPr>
      </w:pPr>
    </w:p>
    <w:p w14:paraId="24B398F8" w14:textId="77777777" w:rsidR="00817D7D" w:rsidRPr="00B33384" w:rsidRDefault="00817D7D" w:rsidP="00817D7D">
      <w:pPr>
        <w:jc w:val="center"/>
        <w:rPr>
          <w:b/>
          <w:bCs/>
          <w:sz w:val="28"/>
        </w:rPr>
      </w:pPr>
      <w:r w:rsidRPr="00B33384">
        <w:rPr>
          <w:b/>
          <w:bCs/>
          <w:sz w:val="28"/>
        </w:rPr>
        <w:lastRenderedPageBreak/>
        <w:t xml:space="preserve">Duke Energy Florida, LLC </w:t>
      </w:r>
    </w:p>
    <w:p w14:paraId="19002F93" w14:textId="77777777" w:rsidR="00817D7D" w:rsidRPr="00B33384" w:rsidRDefault="00817D7D" w:rsidP="00817D7D">
      <w:pPr>
        <w:jc w:val="center"/>
        <w:rPr>
          <w:b/>
          <w:bCs/>
          <w:sz w:val="28"/>
        </w:rPr>
      </w:pPr>
      <w:r w:rsidRPr="00B33384">
        <w:rPr>
          <w:b/>
          <w:bCs/>
          <w:sz w:val="28"/>
        </w:rPr>
        <w:t>Proposed 2023-2032 Storm Protection Plan Programs</w:t>
      </w:r>
    </w:p>
    <w:p w14:paraId="372DC6D6" w14:textId="77777777" w:rsidR="00817D7D" w:rsidRPr="00B33384" w:rsidRDefault="00817D7D" w:rsidP="00817D7D">
      <w:pPr>
        <w:jc w:val="both"/>
        <w:rPr>
          <w:b/>
          <w:bCs/>
          <w:sz w:val="28"/>
        </w:rPr>
      </w:pPr>
    </w:p>
    <w:p w14:paraId="7231CE90" w14:textId="77777777" w:rsidR="00817D7D" w:rsidRPr="00B33384" w:rsidRDefault="00817D7D" w:rsidP="00817D7D">
      <w:pPr>
        <w:jc w:val="both"/>
        <w:rPr>
          <w:b/>
          <w:bCs/>
          <w:u w:val="single"/>
        </w:rPr>
      </w:pPr>
      <w:r w:rsidRPr="00B33384">
        <w:rPr>
          <w:b/>
          <w:bCs/>
          <w:u w:val="single"/>
        </w:rPr>
        <w:t>Distribution Feeder Hardening</w:t>
      </w:r>
    </w:p>
    <w:p w14:paraId="7BCE6DCF" w14:textId="77777777" w:rsidR="00817D7D" w:rsidRPr="00B33384" w:rsidRDefault="00817D7D" w:rsidP="00817D7D">
      <w:pPr>
        <w:jc w:val="both"/>
      </w:pPr>
      <w:r w:rsidRPr="00B33384">
        <w:t>By incorporating pole inspection and replacement activities, existing feeder circuits can be strengthened to better withstand extreme weather events. This includes strengthening or replacing structures, updating basic insulation levels and conductors to current standards, relocating difficult to access facilities, relocating or undergrounding facilities to address clearance encroachments, and replacing oil filled equipment as appropriate. All new structures will meet the NESC 250C extreme wind load standard.</w:t>
      </w:r>
    </w:p>
    <w:p w14:paraId="39579603" w14:textId="77777777" w:rsidR="00817D7D" w:rsidRPr="00B33384" w:rsidRDefault="00817D7D" w:rsidP="00817D7D">
      <w:pPr>
        <w:jc w:val="both"/>
      </w:pPr>
    </w:p>
    <w:p w14:paraId="7022B5A6" w14:textId="77777777" w:rsidR="00817D7D" w:rsidRPr="00B33384" w:rsidRDefault="00817D7D" w:rsidP="00817D7D">
      <w:pPr>
        <w:jc w:val="both"/>
        <w:rPr>
          <w:u w:val="single"/>
        </w:rPr>
      </w:pPr>
      <w:r w:rsidRPr="00B33384">
        <w:rPr>
          <w:b/>
          <w:bCs/>
          <w:u w:val="single"/>
        </w:rPr>
        <w:t>Distribution Lateral Hardening</w:t>
      </w:r>
    </w:p>
    <w:p w14:paraId="7E9F82DC" w14:textId="77777777" w:rsidR="00817D7D" w:rsidRPr="00B33384" w:rsidRDefault="00817D7D" w:rsidP="00817D7D">
      <w:pPr>
        <w:jc w:val="both"/>
      </w:pPr>
      <w:r w:rsidRPr="00B33384">
        <w:t>This program will enable branch lines to better withstand extreme weather events. The Lateral Hardening Program includes undergrounding of the laterals that are most prone to damage during extreme weather events and overhead hardening of those laterals less prone to damage.</w:t>
      </w:r>
    </w:p>
    <w:p w14:paraId="486C1EF1" w14:textId="77777777" w:rsidR="00817D7D" w:rsidRPr="00B33384" w:rsidRDefault="00817D7D" w:rsidP="00817D7D">
      <w:pPr>
        <w:jc w:val="both"/>
      </w:pPr>
    </w:p>
    <w:p w14:paraId="76EBE87A" w14:textId="77777777" w:rsidR="00817D7D" w:rsidRPr="00B33384" w:rsidRDefault="00817D7D" w:rsidP="00817D7D">
      <w:pPr>
        <w:jc w:val="both"/>
        <w:rPr>
          <w:b/>
          <w:bCs/>
          <w:u w:val="single"/>
        </w:rPr>
      </w:pPr>
      <w:r w:rsidRPr="00B33384">
        <w:rPr>
          <w:b/>
          <w:bCs/>
          <w:u w:val="single"/>
        </w:rPr>
        <w:t>Distribution Self-Optimizing Grid</w:t>
      </w:r>
    </w:p>
    <w:p w14:paraId="534283DC" w14:textId="77777777" w:rsidR="00817D7D" w:rsidRPr="00B33384" w:rsidRDefault="00817D7D" w:rsidP="00817D7D">
      <w:pPr>
        <w:jc w:val="both"/>
      </w:pPr>
      <w:r w:rsidRPr="00B33384">
        <w:t>This program utilizes automated switching which allows most circuits to be restored from alternate sources. In addition, the program provides segmentation such that the distribution circuits have much smaller line segments, thus reducing the number of customers that are affected by outages.</w:t>
      </w:r>
    </w:p>
    <w:p w14:paraId="39C96C5C" w14:textId="77777777" w:rsidR="00817D7D" w:rsidRPr="00B33384" w:rsidRDefault="00817D7D" w:rsidP="00817D7D">
      <w:pPr>
        <w:jc w:val="both"/>
      </w:pPr>
    </w:p>
    <w:p w14:paraId="7F4ECC4D" w14:textId="77777777" w:rsidR="00817D7D" w:rsidRPr="00B33384" w:rsidRDefault="00817D7D" w:rsidP="00817D7D">
      <w:pPr>
        <w:jc w:val="both"/>
        <w:rPr>
          <w:b/>
          <w:bCs/>
          <w:u w:val="single"/>
        </w:rPr>
      </w:pPr>
      <w:r w:rsidRPr="00B33384">
        <w:rPr>
          <w:b/>
          <w:bCs/>
          <w:u w:val="single"/>
        </w:rPr>
        <w:t>Distribution Underground Flood Mitigation</w:t>
      </w:r>
    </w:p>
    <w:p w14:paraId="0D009FBC" w14:textId="77777777" w:rsidR="00817D7D" w:rsidRPr="00B33384" w:rsidRDefault="00817D7D" w:rsidP="00817D7D">
      <w:pPr>
        <w:jc w:val="both"/>
      </w:pPr>
      <w:r w:rsidRPr="00B33384">
        <w:t>Underground facilities that are prone to storm surge will be converted to submersible lines and equipment. In some cases, the pad mounted equipment is placed on elevated structures, which raises the equipment two to four feet above grade, to mitigate potential flood impacts.</w:t>
      </w:r>
    </w:p>
    <w:p w14:paraId="6BFCA937" w14:textId="77777777" w:rsidR="00817D7D" w:rsidRPr="00B33384" w:rsidRDefault="00817D7D" w:rsidP="00817D7D">
      <w:pPr>
        <w:jc w:val="both"/>
      </w:pPr>
    </w:p>
    <w:p w14:paraId="56F48C7A" w14:textId="77777777" w:rsidR="00817D7D" w:rsidRPr="00B33384" w:rsidRDefault="00817D7D" w:rsidP="00817D7D">
      <w:pPr>
        <w:jc w:val="both"/>
        <w:rPr>
          <w:b/>
          <w:bCs/>
          <w:u w:val="single"/>
        </w:rPr>
      </w:pPr>
      <w:r w:rsidRPr="00B33384">
        <w:rPr>
          <w:b/>
          <w:bCs/>
          <w:u w:val="single"/>
        </w:rPr>
        <w:t>Distribution Vegetation Management</w:t>
      </w:r>
    </w:p>
    <w:p w14:paraId="7EBE1AEE" w14:textId="77777777" w:rsidR="00817D7D" w:rsidRPr="00B33384" w:rsidRDefault="00817D7D" w:rsidP="00817D7D">
      <w:pPr>
        <w:jc w:val="both"/>
      </w:pPr>
      <w:r w:rsidRPr="00B33384">
        <w:t>The program consists of routine maintenance trimming, hazard tree removal, herbicide applications, vine removal, customer requested work, and right-of-way brush mowing. DEF trims its feeders on a three-year cycle and trims its laterals on a five-year cycle.</w:t>
      </w:r>
    </w:p>
    <w:p w14:paraId="5E1C0AE7" w14:textId="77777777" w:rsidR="00817D7D" w:rsidRPr="00B33384" w:rsidRDefault="00817D7D" w:rsidP="00817D7D">
      <w:pPr>
        <w:jc w:val="both"/>
      </w:pPr>
    </w:p>
    <w:p w14:paraId="74DB363A" w14:textId="77777777" w:rsidR="00817D7D" w:rsidRPr="00B33384" w:rsidRDefault="00817D7D" w:rsidP="00817D7D">
      <w:pPr>
        <w:jc w:val="both"/>
        <w:rPr>
          <w:b/>
          <w:bCs/>
          <w:u w:val="single"/>
        </w:rPr>
      </w:pPr>
      <w:r w:rsidRPr="00B33384">
        <w:rPr>
          <w:b/>
          <w:bCs/>
          <w:u w:val="single"/>
        </w:rPr>
        <w:t>Transmission Structure Hardening</w:t>
      </w:r>
    </w:p>
    <w:p w14:paraId="18BC4802" w14:textId="77777777" w:rsidR="002D6DC9" w:rsidRPr="00B33384" w:rsidRDefault="00817D7D" w:rsidP="00817D7D">
      <w:pPr>
        <w:pStyle w:val="OrderBody"/>
      </w:pPr>
      <w:r w:rsidRPr="00B33384">
        <w:t>This program includes wood to non-wood upgrades, tower upgrades, adding cathodic protection, automating gang operated air break switches, overhead groundwire upgrades, and structure inspections.</w:t>
      </w:r>
    </w:p>
    <w:p w14:paraId="0A232ECD" w14:textId="77777777" w:rsidR="00817D7D" w:rsidRPr="00B33384" w:rsidRDefault="00817D7D" w:rsidP="00817D7D">
      <w:pPr>
        <w:pStyle w:val="OrderBody"/>
      </w:pPr>
    </w:p>
    <w:p w14:paraId="02C71930" w14:textId="77777777" w:rsidR="00817D7D" w:rsidRPr="00B33384" w:rsidRDefault="00817D7D" w:rsidP="00817D7D">
      <w:pPr>
        <w:jc w:val="both"/>
        <w:rPr>
          <w:b/>
          <w:bCs/>
          <w:u w:val="single"/>
        </w:rPr>
      </w:pPr>
      <w:r w:rsidRPr="00B33384">
        <w:rPr>
          <w:b/>
          <w:bCs/>
          <w:u w:val="single"/>
        </w:rPr>
        <w:t>Transmission Substation Flood Mitigation</w:t>
      </w:r>
    </w:p>
    <w:p w14:paraId="2B1DE815" w14:textId="77777777" w:rsidR="00817D7D" w:rsidRPr="00B33384" w:rsidRDefault="00817D7D" w:rsidP="008B045F">
      <w:pPr>
        <w:jc w:val="both"/>
        <w:rPr>
          <w:rFonts w:eastAsia="SimSun"/>
        </w:rPr>
      </w:pPr>
      <w:r w:rsidRPr="00B33384">
        <w:t>This program builds in protection for substations most vulnerable to flood damage using flood plain and storm surge data. It includes a systematic review and prioritization of substations at risk of flooding to determine the proper mitigation solution, which may include elevating or modifying equipment, or relocating substations altogether. New assets could include control houses, relays, or total station rebuilds to increase elevation, etc.</w:t>
      </w:r>
    </w:p>
    <w:p w14:paraId="355D3676" w14:textId="42DADF97" w:rsidR="00817D7D" w:rsidRDefault="00817D7D" w:rsidP="00817D7D">
      <w:pPr>
        <w:pStyle w:val="OrderBody"/>
      </w:pPr>
    </w:p>
    <w:p w14:paraId="2DA9DC54" w14:textId="77777777" w:rsidR="007A3794" w:rsidRDefault="007A3794" w:rsidP="007A3794">
      <w:pPr>
        <w:jc w:val="both"/>
        <w:rPr>
          <w:b/>
          <w:bCs/>
          <w:u w:val="single"/>
        </w:rPr>
      </w:pPr>
    </w:p>
    <w:p w14:paraId="663BA973" w14:textId="39AFF07E" w:rsidR="007A3794" w:rsidRPr="007A3794" w:rsidRDefault="007A3794" w:rsidP="007A3794">
      <w:pPr>
        <w:jc w:val="both"/>
        <w:rPr>
          <w:b/>
          <w:bCs/>
          <w:u w:val="single"/>
        </w:rPr>
      </w:pPr>
      <w:r w:rsidRPr="007A3794">
        <w:rPr>
          <w:b/>
          <w:bCs/>
          <w:u w:val="single"/>
        </w:rPr>
        <w:lastRenderedPageBreak/>
        <w:t>Transmission Substation Flood Mitigation</w:t>
      </w:r>
    </w:p>
    <w:p w14:paraId="19E07EE4" w14:textId="77777777" w:rsidR="007A3794" w:rsidRPr="007A3794" w:rsidRDefault="007A3794" w:rsidP="007A3794">
      <w:pPr>
        <w:jc w:val="both"/>
      </w:pPr>
      <w:r w:rsidRPr="007A3794">
        <w:t>This program builds in protection for substations most vulnerable to flood damage using flood plain and storm surge data. It includes a systematic review and prioritization of substations at risk of flooding to determine the proper mitigation solution, which may include elevating or modifying equipment, or relocating substations altogether. New assets could include control houses, relays, or total station rebuilds to increase elevation, etc.</w:t>
      </w:r>
    </w:p>
    <w:p w14:paraId="5470A9B3" w14:textId="77777777" w:rsidR="007A3794" w:rsidRPr="007A3794" w:rsidRDefault="007A3794" w:rsidP="007A3794">
      <w:pPr>
        <w:jc w:val="both"/>
      </w:pPr>
    </w:p>
    <w:p w14:paraId="012B0CB3" w14:textId="77777777" w:rsidR="007A3794" w:rsidRPr="007A3794" w:rsidRDefault="007A3794" w:rsidP="007A3794">
      <w:pPr>
        <w:jc w:val="both"/>
        <w:rPr>
          <w:b/>
          <w:bCs/>
          <w:u w:val="single"/>
        </w:rPr>
      </w:pPr>
      <w:r w:rsidRPr="007A3794">
        <w:rPr>
          <w:b/>
          <w:bCs/>
          <w:u w:val="single"/>
        </w:rPr>
        <w:t>Transmission Loop Radially-Fed Substations</w:t>
      </w:r>
    </w:p>
    <w:p w14:paraId="6B92EC3E" w14:textId="77777777" w:rsidR="007A3794" w:rsidRPr="007A3794" w:rsidRDefault="007A3794" w:rsidP="007A3794">
      <w:pPr>
        <w:jc w:val="both"/>
      </w:pPr>
      <w:r w:rsidRPr="007A3794">
        <w:t>This program builds a more resilient and networked transmission system by creating a secondary feed into substations that are more likely to experience long outage durations during extreme weather events. As part of the additional feed construction, other assets could include equipment such as breakers, switches, bus work, structures, insulators, potential transformers, lightning arresters, relays, control houses.</w:t>
      </w:r>
    </w:p>
    <w:p w14:paraId="7E7DEFB8" w14:textId="77777777" w:rsidR="007A3794" w:rsidRPr="007A3794" w:rsidRDefault="007A3794" w:rsidP="007A3794">
      <w:pPr>
        <w:jc w:val="both"/>
      </w:pPr>
    </w:p>
    <w:p w14:paraId="4062727C" w14:textId="77777777" w:rsidR="007A3794" w:rsidRPr="007A3794" w:rsidRDefault="007A3794" w:rsidP="007A3794">
      <w:pPr>
        <w:jc w:val="both"/>
        <w:rPr>
          <w:u w:val="single"/>
        </w:rPr>
      </w:pPr>
      <w:r w:rsidRPr="007A3794">
        <w:rPr>
          <w:b/>
          <w:bCs/>
          <w:u w:val="single"/>
        </w:rPr>
        <w:t>Transmission Substation Hardening</w:t>
      </w:r>
    </w:p>
    <w:p w14:paraId="1BCED6A4" w14:textId="77777777" w:rsidR="007A3794" w:rsidRPr="007A3794" w:rsidRDefault="007A3794" w:rsidP="007A3794">
      <w:pPr>
        <w:jc w:val="both"/>
      </w:pPr>
      <w:r w:rsidRPr="007A3794">
        <w:t>The replacement of electro-mechanical relays with electronic relays is designed to support rapid restoration. Electronic relays are equipped with communication capabilities and microprocessor technology, which enables a quicker recovery from events. Relay upgrades will be matched with breaker replacements when feasible.</w:t>
      </w:r>
    </w:p>
    <w:p w14:paraId="690D1204" w14:textId="77777777" w:rsidR="007A3794" w:rsidRPr="007A3794" w:rsidRDefault="007A3794" w:rsidP="007A3794">
      <w:pPr>
        <w:jc w:val="both"/>
      </w:pPr>
    </w:p>
    <w:p w14:paraId="35790563" w14:textId="77777777" w:rsidR="007A3794" w:rsidRPr="007A3794" w:rsidRDefault="007A3794" w:rsidP="007A3794">
      <w:pPr>
        <w:jc w:val="both"/>
        <w:rPr>
          <w:b/>
          <w:bCs/>
          <w:u w:val="single"/>
        </w:rPr>
      </w:pPr>
      <w:r w:rsidRPr="007A3794">
        <w:rPr>
          <w:b/>
          <w:bCs/>
          <w:u w:val="single"/>
        </w:rPr>
        <w:t>Transmission Vegetation Management</w:t>
      </w:r>
    </w:p>
    <w:p w14:paraId="7ED069F2" w14:textId="77777777" w:rsidR="007A3794" w:rsidRPr="007A3794" w:rsidRDefault="007A3794" w:rsidP="007A3794">
      <w:pPr>
        <w:spacing w:after="240"/>
        <w:jc w:val="both"/>
      </w:pPr>
      <w:r w:rsidRPr="007A3794">
        <w:t>DEF trims its transmission system on a three to six-year cycle in order to minimize vegetation related interruptions and ensures adequate conductor-to-vegetation clearances. The program consists of danger tree identification and mitigation, reactive work, herbicide, mowing, and hand cutting brush management.</w:t>
      </w:r>
    </w:p>
    <w:p w14:paraId="61C07826" w14:textId="77777777" w:rsidR="007A3794" w:rsidRPr="00B33384" w:rsidRDefault="007A3794" w:rsidP="00817D7D">
      <w:pPr>
        <w:pStyle w:val="OrderBody"/>
      </w:pPr>
    </w:p>
    <w:sectPr w:rsidR="007A3794" w:rsidRPr="00B33384" w:rsidSect="00817D7D">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7061C" w14:textId="77777777" w:rsidR="00CA3665" w:rsidRDefault="00CA3665">
      <w:r>
        <w:separator/>
      </w:r>
    </w:p>
  </w:endnote>
  <w:endnote w:type="continuationSeparator" w:id="0">
    <w:p w14:paraId="174A16B2" w14:textId="77777777" w:rsidR="00CA3665" w:rsidRDefault="00CA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B0F5" w14:textId="77777777" w:rsidR="00CA3665" w:rsidRDefault="00CA3665">
    <w:pPr>
      <w:pStyle w:val="Footer"/>
    </w:pPr>
  </w:p>
  <w:p w14:paraId="288081BE" w14:textId="77777777" w:rsidR="00CA3665" w:rsidRDefault="00CA3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13D97" w14:textId="77777777" w:rsidR="00CA3665" w:rsidRDefault="00CA3665">
      <w:r>
        <w:separator/>
      </w:r>
    </w:p>
  </w:footnote>
  <w:footnote w:type="continuationSeparator" w:id="0">
    <w:p w14:paraId="219F5908" w14:textId="77777777" w:rsidR="00CA3665" w:rsidRDefault="00CA3665">
      <w:r>
        <w:continuationSeparator/>
      </w:r>
    </w:p>
  </w:footnote>
  <w:footnote w:id="1">
    <w:p w14:paraId="5C978BEF" w14:textId="77777777" w:rsidR="00CA3665" w:rsidRDefault="00CA3665" w:rsidP="00182A37">
      <w:pPr>
        <w:pStyle w:val="FootnoteText"/>
      </w:pPr>
      <w:r>
        <w:rPr>
          <w:rStyle w:val="FootnoteReference"/>
        </w:rPr>
        <w:footnoteRef/>
      </w:r>
      <w:r>
        <w:t xml:space="preserve"> FIPUG took no position on the Joint Motion for Expedited Approval of a Stipulation and Settlement Agreement.</w:t>
      </w:r>
    </w:p>
  </w:footnote>
  <w:footnote w:id="2">
    <w:p w14:paraId="3CE03B6C" w14:textId="77777777" w:rsidR="00CA3665" w:rsidRDefault="00CA3665" w:rsidP="00695E35">
      <w:pPr>
        <w:spacing w:after="240"/>
        <w:jc w:val="both"/>
      </w:pPr>
      <w:r>
        <w:rPr>
          <w:rStyle w:val="FootnoteReference"/>
        </w:rPr>
        <w:footnoteRef/>
      </w:r>
      <w:r>
        <w:t xml:space="preserve"> </w:t>
      </w:r>
      <w:r w:rsidRPr="00695E35">
        <w:rPr>
          <w:sz w:val="20"/>
          <w:szCs w:val="20"/>
        </w:rPr>
        <w:t>Order No. PSC-2020-0293-AS-EI, issued August 28, 2020, in Docket No. 20200069-EI.</w:t>
      </w:r>
    </w:p>
  </w:footnote>
  <w:footnote w:id="3">
    <w:p w14:paraId="015471C9" w14:textId="5E47A324" w:rsidR="00CA3665" w:rsidRDefault="00CA3665" w:rsidP="00182A37">
      <w:pPr>
        <w:pStyle w:val="FootnoteText"/>
      </w:pPr>
      <w:r>
        <w:rPr>
          <w:rStyle w:val="FootnoteReference"/>
        </w:rPr>
        <w:footnoteRef/>
      </w:r>
      <w:r>
        <w:t xml:space="preserve"> DEF’s docket was consolidate</w:t>
      </w:r>
      <w:r w:rsidR="00855C8E">
        <w:t>d</w:t>
      </w:r>
      <w:r>
        <w:t xml:space="preserve"> with the SPP dockets for TECO (20220048-EI); FPUC (20220049-EI)</w:t>
      </w:r>
      <w:r w:rsidR="00855C8E">
        <w:t>;</w:t>
      </w:r>
      <w:r>
        <w:t xml:space="preserve"> and FPL (20220051-EI) for hearing purposes only.</w:t>
      </w:r>
    </w:p>
  </w:footnote>
  <w:footnote w:id="4">
    <w:p w14:paraId="1F9DCD71" w14:textId="77777777" w:rsidR="00CA3665" w:rsidRPr="00FF539E" w:rsidRDefault="00CA3665" w:rsidP="00182A37">
      <w:pPr>
        <w:pStyle w:val="FootnoteText"/>
        <w:rPr>
          <w:highlight w:val="cyan"/>
        </w:rPr>
      </w:pPr>
      <w:r w:rsidRPr="00466D76">
        <w:rPr>
          <w:rStyle w:val="FootnoteReference"/>
        </w:rPr>
        <w:footnoteRef/>
      </w:r>
      <w:r w:rsidRPr="00466D76">
        <w:t xml:space="preserve"> Order No. PSC-2022-0291-PHO-EI, issued August 1, 2022.</w:t>
      </w:r>
    </w:p>
  </w:footnote>
  <w:footnote w:id="5">
    <w:p w14:paraId="03DF1BFB" w14:textId="77777777" w:rsidR="00CA3665" w:rsidRPr="009B561C" w:rsidRDefault="00CA3665" w:rsidP="00182A37">
      <w:pPr>
        <w:autoSpaceDE w:val="0"/>
        <w:autoSpaceDN w:val="0"/>
        <w:adjustRightInd w:val="0"/>
        <w:jc w:val="both"/>
      </w:pPr>
      <w:r w:rsidRPr="009B561C">
        <w:rPr>
          <w:rStyle w:val="FootnoteReference"/>
          <w:sz w:val="20"/>
          <w:szCs w:val="20"/>
        </w:rPr>
        <w:footnoteRef/>
      </w:r>
      <w:r w:rsidRPr="009B561C">
        <w:rPr>
          <w:sz w:val="20"/>
          <w:szCs w:val="20"/>
        </w:rPr>
        <w:t xml:space="preserve"> Post-Hearing Brief at 23 (</w:t>
      </w:r>
      <w:r w:rsidRPr="009B561C">
        <w:rPr>
          <w:i/>
          <w:sz w:val="20"/>
          <w:szCs w:val="20"/>
        </w:rPr>
        <w:t xml:space="preserve">citing </w:t>
      </w:r>
      <w:r w:rsidRPr="009B561C">
        <w:rPr>
          <w:i/>
          <w:iCs/>
          <w:sz w:val="20"/>
          <w:szCs w:val="20"/>
        </w:rPr>
        <w:t>Askew v. Cross Key Waterways</w:t>
      </w:r>
      <w:r w:rsidRPr="009B561C">
        <w:rPr>
          <w:sz w:val="20"/>
          <w:szCs w:val="20"/>
        </w:rPr>
        <w:t>, 372 So. 2d 913 (Fla. 1978);</w:t>
      </w:r>
      <w:r w:rsidRPr="009B561C">
        <w:rPr>
          <w:i/>
          <w:iCs/>
          <w:sz w:val="20"/>
          <w:szCs w:val="20"/>
        </w:rPr>
        <w:t xml:space="preserve"> Microtel, Inc. v. Florida Pub. Serv. Comm’n, </w:t>
      </w:r>
      <w:r w:rsidRPr="009B561C">
        <w:rPr>
          <w:sz w:val="20"/>
          <w:szCs w:val="20"/>
        </w:rPr>
        <w:t xml:space="preserve">464 So. 2d 1189, 1191 (Fla. 1985); </w:t>
      </w:r>
      <w:r w:rsidRPr="009B561C">
        <w:rPr>
          <w:i/>
          <w:iCs/>
          <w:sz w:val="20"/>
          <w:szCs w:val="20"/>
        </w:rPr>
        <w:t>Microtel, Inc. v. Florida Pub. Serv. Comm’n</w:t>
      </w:r>
      <w:r w:rsidRPr="009B561C">
        <w:rPr>
          <w:sz w:val="20"/>
          <w:szCs w:val="20"/>
        </w:rPr>
        <w:t>, 483 So. 2d 415 (Fla. 1986)).</w:t>
      </w:r>
    </w:p>
  </w:footnote>
  <w:footnote w:id="6">
    <w:p w14:paraId="21412671" w14:textId="77777777" w:rsidR="00CA3665" w:rsidRDefault="00CA3665" w:rsidP="00182A37">
      <w:pPr>
        <w:pStyle w:val="FootnoteText"/>
      </w:pPr>
      <w:r>
        <w:rPr>
          <w:rStyle w:val="FootnoteReference"/>
        </w:rPr>
        <w:footnoteRef/>
      </w:r>
      <w:r>
        <w:t xml:space="preserve"> </w:t>
      </w:r>
      <w:r w:rsidRPr="00077B1D">
        <w:t>Subsection 366.96(1), F.S., provides that it is in the state of Florida’s interest to strengthen electric utility infrastructure to withstand extreme weather conditions by promoting the overhead hardening of electrical transmis</w:t>
      </w:r>
      <w:r>
        <w:t xml:space="preserve">sion and distribution facilities and </w:t>
      </w:r>
      <w:r w:rsidRPr="00077B1D">
        <w:t>the undergrounding of certain electrical distribution lines and vegetation management, and that it is in the state’s interest for each utility to mitigate restoration costs and outage times to utility customers when developing transmission and distribution storm protection plans.</w:t>
      </w:r>
    </w:p>
  </w:footnote>
  <w:footnote w:id="7">
    <w:p w14:paraId="72408A1F" w14:textId="28A3DF30" w:rsidR="00D2222A" w:rsidRDefault="00D2222A">
      <w:pPr>
        <w:pStyle w:val="FootnoteText"/>
      </w:pPr>
      <w:r>
        <w:rPr>
          <w:rStyle w:val="FootnoteReference"/>
        </w:rPr>
        <w:footnoteRef/>
      </w:r>
      <w:r>
        <w:t xml:space="preserve"> Specific elements of Rule 25-6.030, F.A.C., such as area for prioritization and rate impact, are discussed in more detail in Sections II through VI of this Order.</w:t>
      </w:r>
    </w:p>
  </w:footnote>
  <w:footnote w:id="8">
    <w:p w14:paraId="6E519CAB" w14:textId="77777777" w:rsidR="00CA3665" w:rsidRDefault="00CA3665" w:rsidP="00182A37">
      <w:pPr>
        <w:pStyle w:val="FootnoteText"/>
      </w:pPr>
      <w:r>
        <w:rPr>
          <w:rStyle w:val="FootnoteReference"/>
        </w:rPr>
        <w:footnoteRef/>
      </w:r>
      <w:r>
        <w:t xml:space="preserve"> </w:t>
      </w:r>
      <w:r>
        <w:rPr>
          <w:bCs/>
        </w:rPr>
        <w:t xml:space="preserve">Consider the following example: a utility spends $10 million to convert wooden poles to concrete poles. Based on the assumption that a Category 3 hurricane would strike the area every three years, the projected benefits are $15 million over 30 years for a net savings to customers of $5 million. However, if </w:t>
      </w:r>
      <w:r>
        <w:t>the utility does not experience extreme weather in these locations for a period of time (as was the case for the period 2005 through 2017) the customers may nonetheless be receiving qualitative benefits (the system is better prepared for when extreme weather does occur) that are consistent with the public interest requirements of Section 366.96, F.S.</w:t>
      </w:r>
    </w:p>
  </w:footnote>
  <w:footnote w:id="9">
    <w:p w14:paraId="5289B7C4" w14:textId="77777777" w:rsidR="005C0680" w:rsidRPr="007A4673" w:rsidRDefault="005C0680" w:rsidP="005C0680">
      <w:pPr>
        <w:pStyle w:val="FootnoteText"/>
        <w:rPr>
          <w:i/>
          <w:iCs/>
        </w:rPr>
      </w:pPr>
      <w:r>
        <w:rPr>
          <w:rStyle w:val="FootnoteReference"/>
        </w:rPr>
        <w:footnoteRef/>
      </w:r>
      <w:r>
        <w:t xml:space="preserve"> Order No. </w:t>
      </w:r>
      <w:r w:rsidRPr="00F05F89">
        <w:t>PSC-2021-0202A-AS-EI</w:t>
      </w:r>
      <w:r>
        <w:t xml:space="preserve">, issued June 28, 2021, in Docket Nos. </w:t>
      </w:r>
      <w:r w:rsidRPr="00F05F89">
        <w:t>20190110-EI</w:t>
      </w:r>
      <w:r>
        <w:t>,</w:t>
      </w:r>
      <w:r w:rsidRPr="00F05F89">
        <w:t xml:space="preserve"> </w:t>
      </w:r>
      <w:r w:rsidRPr="002B4DC4">
        <w:rPr>
          <w:i/>
          <w:iCs/>
        </w:rPr>
        <w:t>In re: Petition for limited proceeding for recovery of incremental storm restoration costs related to Hurricane Michael and approval of second implementation stipulation, by Duke Energy Florida, LLC</w:t>
      </w:r>
      <w:r>
        <w:t xml:space="preserve">, </w:t>
      </w:r>
      <w:r w:rsidRPr="00F05F89">
        <w:t>20190222-EI</w:t>
      </w:r>
      <w:r>
        <w:t xml:space="preserve">, </w:t>
      </w:r>
      <w:r w:rsidRPr="002B4DC4">
        <w:rPr>
          <w:i/>
          <w:iCs/>
        </w:rPr>
        <w:t>In re: Petition for limited proceeding for</w:t>
      </w:r>
      <w:r>
        <w:rPr>
          <w:i/>
          <w:iCs/>
        </w:rPr>
        <w:t xml:space="preserve"> </w:t>
      </w:r>
      <w:r w:rsidRPr="002B4DC4">
        <w:rPr>
          <w:i/>
          <w:iCs/>
        </w:rPr>
        <w:t>recovery of incremental storm restoration costs related to Hurricane Dorian and Tropical Storm Nestor, by Duke Energy Florida, LLC</w:t>
      </w:r>
      <w:r>
        <w:t>, 20210016-EI,</w:t>
      </w:r>
      <w:r w:rsidRPr="0002097F">
        <w:t xml:space="preserve"> </w:t>
      </w:r>
      <w:r w:rsidRPr="002B4DC4">
        <w:rPr>
          <w:i/>
          <w:iCs/>
        </w:rPr>
        <w:t>In re: Petition for limited proceeding to approve 2021 settlement agreement, including general base rate increases, by Duke Energy Florida, LLC</w:t>
      </w:r>
      <w:r>
        <w:t>.</w:t>
      </w:r>
    </w:p>
    <w:p w14:paraId="34E498E3" w14:textId="226D8F87" w:rsidR="005C0680" w:rsidRDefault="005C0680">
      <w:pPr>
        <w:pStyle w:val="FootnoteText"/>
      </w:pPr>
    </w:p>
  </w:footnote>
  <w:footnote w:id="10">
    <w:p w14:paraId="73B6D9A0" w14:textId="1AC86A13" w:rsidR="00CA3665" w:rsidRDefault="00CA3665" w:rsidP="00157066">
      <w:pPr>
        <w:pStyle w:val="FootnoteText"/>
      </w:pPr>
      <w:r>
        <w:rPr>
          <w:rStyle w:val="FootnoteReference"/>
        </w:rPr>
        <w:footnoteRef/>
      </w:r>
      <w:r>
        <w:t xml:space="preserve"> </w:t>
      </w:r>
      <w:r w:rsidRPr="00B33384">
        <w:t>The 2021 Stipulation addresses program cost recovery through the SPPCRC for 2022 and 2023, and the Joint Parties concede that though not expressly discussed, year 2024 would also be e</w:t>
      </w:r>
      <w:r>
        <w:t xml:space="preserve">ncompassed, </w:t>
      </w:r>
      <w:r w:rsidR="00A1123B">
        <w:t>except</w:t>
      </w:r>
      <w:r w:rsidRPr="00B33384">
        <w:t xml:space="preserve"> the Loop Radially-Fed Substation Program</w:t>
      </w:r>
      <w:r>
        <w:t xml:space="preserve">, which was not projected to </w:t>
      </w:r>
      <w:r w:rsidRPr="00B33384">
        <w:t>start until 2025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841F" w14:textId="0BBAA2BC" w:rsidR="00CA3665" w:rsidRDefault="00CA3665">
    <w:pPr>
      <w:pStyle w:val="OrderHeader"/>
    </w:pPr>
    <w:r>
      <w:t xml:space="preserve">ORDER NO. </w:t>
    </w:r>
    <w:fldSimple w:instr=" REF OrderNo0391 ">
      <w:r w:rsidR="004C0183">
        <w:t>PSC-2022-0388A-FOF-EI</w:t>
      </w:r>
    </w:fldSimple>
  </w:p>
  <w:p w14:paraId="128A7760" w14:textId="77777777" w:rsidR="00CA3665" w:rsidRDefault="00CA3665">
    <w:pPr>
      <w:pStyle w:val="OrderHeader"/>
    </w:pPr>
    <w:bookmarkStart w:id="13" w:name="HeaderDocketNo"/>
    <w:bookmarkEnd w:id="13"/>
    <w:r>
      <w:t>DOCKET NO. 20220050-EI</w:t>
    </w:r>
  </w:p>
  <w:p w14:paraId="651256BE" w14:textId="6AA7C9A0" w:rsidR="00CA3665" w:rsidRDefault="00CA366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0183">
      <w:rPr>
        <w:rStyle w:val="PageNumber"/>
        <w:noProof/>
      </w:rPr>
      <w:t>19</w:t>
    </w:r>
    <w:r>
      <w:rPr>
        <w:rStyle w:val="PageNumber"/>
      </w:rPr>
      <w:fldChar w:fldCharType="end"/>
    </w:r>
  </w:p>
  <w:p w14:paraId="0B96B20F" w14:textId="77777777" w:rsidR="00CA3665" w:rsidRDefault="00CA3665">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2529" w14:textId="7B7B5D76" w:rsidR="00CA3665" w:rsidRDefault="00CA3665">
    <w:pPr>
      <w:pStyle w:val="OrderHeader"/>
    </w:pPr>
    <w:r>
      <w:t xml:space="preserve">ORDER NO. </w:t>
    </w:r>
    <w:r w:rsidR="004C0183">
      <w:fldChar w:fldCharType="begin"/>
    </w:r>
    <w:r w:rsidR="004C0183">
      <w:instrText xml:space="preserve"> REF OrderNo0391 </w:instrText>
    </w:r>
    <w:r w:rsidR="004C0183">
      <w:fldChar w:fldCharType="separate"/>
    </w:r>
    <w:r w:rsidR="004C0183">
      <w:t>PSC-2022-0388A-FOF-EI</w:t>
    </w:r>
    <w:r w:rsidR="004C0183">
      <w:fldChar w:fldCharType="end"/>
    </w:r>
    <w:r>
      <w:tab/>
    </w:r>
    <w:r>
      <w:tab/>
      <w:t>Attachment A</w:t>
    </w:r>
  </w:p>
  <w:p w14:paraId="7EF44240" w14:textId="77777777" w:rsidR="00CA3665" w:rsidRDefault="00CA3665">
    <w:pPr>
      <w:pStyle w:val="OrderHeader"/>
    </w:pPr>
    <w:r>
      <w:t>DOCKET NO. 20220050-EI</w:t>
    </w:r>
  </w:p>
  <w:p w14:paraId="7B9E7F77" w14:textId="7FCF8F14" w:rsidR="00CA3665" w:rsidRDefault="00CA366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0183">
      <w:rPr>
        <w:rStyle w:val="PageNumber"/>
        <w:noProof/>
      </w:rPr>
      <w:t>22</w:t>
    </w:r>
    <w:r>
      <w:rPr>
        <w:rStyle w:val="PageNumber"/>
      </w:rPr>
      <w:fldChar w:fldCharType="end"/>
    </w:r>
  </w:p>
  <w:p w14:paraId="0A8CFFEE" w14:textId="77777777" w:rsidR="00CA3665" w:rsidRDefault="00CA3665">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CCC3213"/>
    <w:multiLevelType w:val="hybridMultilevel"/>
    <w:tmpl w:val="5E24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F395C"/>
    <w:multiLevelType w:val="hybridMultilevel"/>
    <w:tmpl w:val="2CA41EFC"/>
    <w:lvl w:ilvl="0" w:tplc="15AEFF0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E46A9A"/>
    <w:multiLevelType w:val="hybridMultilevel"/>
    <w:tmpl w:val="386E1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E2B5D"/>
    <w:multiLevelType w:val="hybridMultilevel"/>
    <w:tmpl w:val="07661768"/>
    <w:lvl w:ilvl="0" w:tplc="487087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6F7988"/>
    <w:multiLevelType w:val="hybridMultilevel"/>
    <w:tmpl w:val="147C5A12"/>
    <w:lvl w:ilvl="0" w:tplc="B69E79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E185D"/>
    <w:multiLevelType w:val="hybridMultilevel"/>
    <w:tmpl w:val="9F8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F457F"/>
    <w:multiLevelType w:val="hybridMultilevel"/>
    <w:tmpl w:val="ADE82146"/>
    <w:lvl w:ilvl="0" w:tplc="E006FE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B840E2"/>
    <w:multiLevelType w:val="hybridMultilevel"/>
    <w:tmpl w:val="B1FA5C68"/>
    <w:lvl w:ilvl="0" w:tplc="A44CA9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3C2046"/>
    <w:multiLevelType w:val="hybridMultilevel"/>
    <w:tmpl w:val="91D4E9B2"/>
    <w:lvl w:ilvl="0" w:tplc="1A70C12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082AB4"/>
    <w:multiLevelType w:val="hybridMultilevel"/>
    <w:tmpl w:val="AD923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C6D32"/>
    <w:multiLevelType w:val="hybridMultilevel"/>
    <w:tmpl w:val="300484B6"/>
    <w:lvl w:ilvl="0" w:tplc="32A66B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F6008B"/>
    <w:multiLevelType w:val="hybridMultilevel"/>
    <w:tmpl w:val="78F48F5A"/>
    <w:lvl w:ilvl="0" w:tplc="C23062C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15:restartNumberingAfterBreak="0">
    <w:nsid w:val="66650B48"/>
    <w:multiLevelType w:val="hybridMultilevel"/>
    <w:tmpl w:val="02B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6552D"/>
    <w:multiLevelType w:val="hybridMultilevel"/>
    <w:tmpl w:val="53A6682C"/>
    <w:lvl w:ilvl="0" w:tplc="9FDC5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1"/>
  </w:num>
  <w:num w:numId="4">
    <w:abstractNumId w:val="0"/>
  </w:num>
  <w:num w:numId="5">
    <w:abstractNumId w:val="12"/>
  </w:num>
  <w:num w:numId="6">
    <w:abstractNumId w:val="6"/>
  </w:num>
  <w:num w:numId="7">
    <w:abstractNumId w:val="5"/>
  </w:num>
  <w:num w:numId="8">
    <w:abstractNumId w:val="11"/>
  </w:num>
  <w:num w:numId="9">
    <w:abstractNumId w:val="14"/>
  </w:num>
  <w:num w:numId="10">
    <w:abstractNumId w:val="4"/>
  </w:num>
  <w:num w:numId="11">
    <w:abstractNumId w:val="9"/>
  </w:num>
  <w:num w:numId="12">
    <w:abstractNumId w:val="2"/>
  </w:num>
  <w:num w:numId="13">
    <w:abstractNumId w:val="3"/>
  </w:num>
  <w:num w:numId="14">
    <w:abstractNumId w:val="8"/>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0-EI"/>
  </w:docVars>
  <w:rsids>
    <w:rsidRoot w:val="00FE2788"/>
    <w:rsid w:val="000022B8"/>
    <w:rsid w:val="00002880"/>
    <w:rsid w:val="00003883"/>
    <w:rsid w:val="00011251"/>
    <w:rsid w:val="0002059E"/>
    <w:rsid w:val="00025C2A"/>
    <w:rsid w:val="00025C9D"/>
    <w:rsid w:val="0003433F"/>
    <w:rsid w:val="00035A8C"/>
    <w:rsid w:val="00035BC1"/>
    <w:rsid w:val="00036BDD"/>
    <w:rsid w:val="00041FFD"/>
    <w:rsid w:val="00042C99"/>
    <w:rsid w:val="00047498"/>
    <w:rsid w:val="00053AB9"/>
    <w:rsid w:val="00056229"/>
    <w:rsid w:val="00057AF1"/>
    <w:rsid w:val="00065CA6"/>
    <w:rsid w:val="00065FC2"/>
    <w:rsid w:val="00067685"/>
    <w:rsid w:val="00067B07"/>
    <w:rsid w:val="000724AC"/>
    <w:rsid w:val="000730D7"/>
    <w:rsid w:val="00076E6B"/>
    <w:rsid w:val="00080016"/>
    <w:rsid w:val="00081AE4"/>
    <w:rsid w:val="0008247D"/>
    <w:rsid w:val="00090AFC"/>
    <w:rsid w:val="00092C94"/>
    <w:rsid w:val="00093AD4"/>
    <w:rsid w:val="00096507"/>
    <w:rsid w:val="000A774F"/>
    <w:rsid w:val="000B1330"/>
    <w:rsid w:val="000B783E"/>
    <w:rsid w:val="000B7D81"/>
    <w:rsid w:val="000C1994"/>
    <w:rsid w:val="000C6926"/>
    <w:rsid w:val="000C7388"/>
    <w:rsid w:val="000D02B8"/>
    <w:rsid w:val="000D06E8"/>
    <w:rsid w:val="000D52C1"/>
    <w:rsid w:val="000D6E65"/>
    <w:rsid w:val="000D78FB"/>
    <w:rsid w:val="000E0273"/>
    <w:rsid w:val="000E050C"/>
    <w:rsid w:val="000E20F0"/>
    <w:rsid w:val="000E2593"/>
    <w:rsid w:val="000E344D"/>
    <w:rsid w:val="000E3F6D"/>
    <w:rsid w:val="000F11F1"/>
    <w:rsid w:val="000F1F31"/>
    <w:rsid w:val="000F359F"/>
    <w:rsid w:val="000F3B2C"/>
    <w:rsid w:val="000F3F6C"/>
    <w:rsid w:val="000F63EB"/>
    <w:rsid w:val="000F648A"/>
    <w:rsid w:val="000F7BE3"/>
    <w:rsid w:val="00103190"/>
    <w:rsid w:val="00104333"/>
    <w:rsid w:val="001052BA"/>
    <w:rsid w:val="001107B3"/>
    <w:rsid w:val="001114B1"/>
    <w:rsid w:val="001123B0"/>
    <w:rsid w:val="001139D8"/>
    <w:rsid w:val="00116903"/>
    <w:rsid w:val="00116AD3"/>
    <w:rsid w:val="00121957"/>
    <w:rsid w:val="001230E1"/>
    <w:rsid w:val="0012387E"/>
    <w:rsid w:val="001259EC"/>
    <w:rsid w:val="00126593"/>
    <w:rsid w:val="00134177"/>
    <w:rsid w:val="00136087"/>
    <w:rsid w:val="001361F5"/>
    <w:rsid w:val="00142A96"/>
    <w:rsid w:val="0014364C"/>
    <w:rsid w:val="00145738"/>
    <w:rsid w:val="001513DE"/>
    <w:rsid w:val="00154A71"/>
    <w:rsid w:val="00157066"/>
    <w:rsid w:val="001655D4"/>
    <w:rsid w:val="00165803"/>
    <w:rsid w:val="00165FE0"/>
    <w:rsid w:val="00182A37"/>
    <w:rsid w:val="00187E32"/>
    <w:rsid w:val="00190292"/>
    <w:rsid w:val="0019295C"/>
    <w:rsid w:val="00194A97"/>
    <w:rsid w:val="00194E81"/>
    <w:rsid w:val="001A15E7"/>
    <w:rsid w:val="001A33C9"/>
    <w:rsid w:val="001A5693"/>
    <w:rsid w:val="001A58F3"/>
    <w:rsid w:val="001B034E"/>
    <w:rsid w:val="001B55E3"/>
    <w:rsid w:val="001C2847"/>
    <w:rsid w:val="001C3BB5"/>
    <w:rsid w:val="001C3F8C"/>
    <w:rsid w:val="001C4867"/>
    <w:rsid w:val="001C6097"/>
    <w:rsid w:val="001C7126"/>
    <w:rsid w:val="001D008A"/>
    <w:rsid w:val="001D4163"/>
    <w:rsid w:val="001D4904"/>
    <w:rsid w:val="001E0152"/>
    <w:rsid w:val="001E0FF5"/>
    <w:rsid w:val="001E4085"/>
    <w:rsid w:val="001E794E"/>
    <w:rsid w:val="001F0095"/>
    <w:rsid w:val="001F36B0"/>
    <w:rsid w:val="001F4CA3"/>
    <w:rsid w:val="001F59E0"/>
    <w:rsid w:val="002002ED"/>
    <w:rsid w:val="0020256D"/>
    <w:rsid w:val="002033EE"/>
    <w:rsid w:val="002044DD"/>
    <w:rsid w:val="00206718"/>
    <w:rsid w:val="002170E5"/>
    <w:rsid w:val="00217BBE"/>
    <w:rsid w:val="00220D57"/>
    <w:rsid w:val="00223814"/>
    <w:rsid w:val="00223B99"/>
    <w:rsid w:val="00225970"/>
    <w:rsid w:val="0022721A"/>
    <w:rsid w:val="00230BB9"/>
    <w:rsid w:val="00241CEF"/>
    <w:rsid w:val="00246093"/>
    <w:rsid w:val="00247DD6"/>
    <w:rsid w:val="0025124E"/>
    <w:rsid w:val="00252B30"/>
    <w:rsid w:val="00255291"/>
    <w:rsid w:val="00256426"/>
    <w:rsid w:val="00256CE9"/>
    <w:rsid w:val="002613E4"/>
    <w:rsid w:val="00262669"/>
    <w:rsid w:val="00262C43"/>
    <w:rsid w:val="0026544B"/>
    <w:rsid w:val="00270F89"/>
    <w:rsid w:val="002716E5"/>
    <w:rsid w:val="002742FD"/>
    <w:rsid w:val="002765C0"/>
    <w:rsid w:val="00276CDC"/>
    <w:rsid w:val="00277655"/>
    <w:rsid w:val="002824B7"/>
    <w:rsid w:val="00282AC4"/>
    <w:rsid w:val="002903A3"/>
    <w:rsid w:val="00293DC9"/>
    <w:rsid w:val="00297C37"/>
    <w:rsid w:val="002A11AC"/>
    <w:rsid w:val="002A6F30"/>
    <w:rsid w:val="002B3111"/>
    <w:rsid w:val="002B4316"/>
    <w:rsid w:val="002C118E"/>
    <w:rsid w:val="002C2096"/>
    <w:rsid w:val="002C4F52"/>
    <w:rsid w:val="002C7908"/>
    <w:rsid w:val="002C7C5A"/>
    <w:rsid w:val="002D391B"/>
    <w:rsid w:val="002D4B1F"/>
    <w:rsid w:val="002D6DC9"/>
    <w:rsid w:val="002D7D15"/>
    <w:rsid w:val="002E1B2E"/>
    <w:rsid w:val="002E252E"/>
    <w:rsid w:val="002E27EB"/>
    <w:rsid w:val="002E4EF4"/>
    <w:rsid w:val="002F0F1C"/>
    <w:rsid w:val="002F2A9D"/>
    <w:rsid w:val="002F31C2"/>
    <w:rsid w:val="002F7BF6"/>
    <w:rsid w:val="00303FDE"/>
    <w:rsid w:val="00307351"/>
    <w:rsid w:val="00310277"/>
    <w:rsid w:val="00313C5B"/>
    <w:rsid w:val="003140E8"/>
    <w:rsid w:val="0031488D"/>
    <w:rsid w:val="003231C7"/>
    <w:rsid w:val="00323839"/>
    <w:rsid w:val="003270C4"/>
    <w:rsid w:val="00331ED0"/>
    <w:rsid w:val="00332B0A"/>
    <w:rsid w:val="00332DED"/>
    <w:rsid w:val="00333A41"/>
    <w:rsid w:val="00341036"/>
    <w:rsid w:val="00345434"/>
    <w:rsid w:val="0035112D"/>
    <w:rsid w:val="00351C22"/>
    <w:rsid w:val="0035495B"/>
    <w:rsid w:val="00354E54"/>
    <w:rsid w:val="00355A93"/>
    <w:rsid w:val="00361522"/>
    <w:rsid w:val="00361F82"/>
    <w:rsid w:val="0036334A"/>
    <w:rsid w:val="003641BA"/>
    <w:rsid w:val="00365EFB"/>
    <w:rsid w:val="0037196E"/>
    <w:rsid w:val="003744F5"/>
    <w:rsid w:val="00382C6A"/>
    <w:rsid w:val="0038404B"/>
    <w:rsid w:val="003875A9"/>
    <w:rsid w:val="00387BDE"/>
    <w:rsid w:val="00390DD8"/>
    <w:rsid w:val="00394DC6"/>
    <w:rsid w:val="003968FD"/>
    <w:rsid w:val="00397C3E"/>
    <w:rsid w:val="003A377C"/>
    <w:rsid w:val="003B1A09"/>
    <w:rsid w:val="003B6F02"/>
    <w:rsid w:val="003B733B"/>
    <w:rsid w:val="003C0431"/>
    <w:rsid w:val="003C29BB"/>
    <w:rsid w:val="003C4527"/>
    <w:rsid w:val="003C46D9"/>
    <w:rsid w:val="003D3989"/>
    <w:rsid w:val="003D4CCA"/>
    <w:rsid w:val="003D52A6"/>
    <w:rsid w:val="003D6416"/>
    <w:rsid w:val="003D647B"/>
    <w:rsid w:val="003D6FCB"/>
    <w:rsid w:val="003E0B96"/>
    <w:rsid w:val="003E1D48"/>
    <w:rsid w:val="003E711F"/>
    <w:rsid w:val="003F1D2B"/>
    <w:rsid w:val="003F49A6"/>
    <w:rsid w:val="003F518F"/>
    <w:rsid w:val="003F6BA7"/>
    <w:rsid w:val="003F7445"/>
    <w:rsid w:val="00406D1F"/>
    <w:rsid w:val="00411DF2"/>
    <w:rsid w:val="00411E8F"/>
    <w:rsid w:val="00412DD1"/>
    <w:rsid w:val="004247F5"/>
    <w:rsid w:val="0042527B"/>
    <w:rsid w:val="00427EAC"/>
    <w:rsid w:val="0043009E"/>
    <w:rsid w:val="004431B4"/>
    <w:rsid w:val="0045537F"/>
    <w:rsid w:val="00457DC7"/>
    <w:rsid w:val="004640B3"/>
    <w:rsid w:val="00464F6F"/>
    <w:rsid w:val="00472BCC"/>
    <w:rsid w:val="00477699"/>
    <w:rsid w:val="0048599B"/>
    <w:rsid w:val="004A25CD"/>
    <w:rsid w:val="004A26CC"/>
    <w:rsid w:val="004A6473"/>
    <w:rsid w:val="004B2108"/>
    <w:rsid w:val="004B3A2B"/>
    <w:rsid w:val="004B70D3"/>
    <w:rsid w:val="004C0183"/>
    <w:rsid w:val="004C1076"/>
    <w:rsid w:val="004C312D"/>
    <w:rsid w:val="004D2D1B"/>
    <w:rsid w:val="004D5067"/>
    <w:rsid w:val="004D6838"/>
    <w:rsid w:val="004D72BC"/>
    <w:rsid w:val="004E28A5"/>
    <w:rsid w:val="004E469D"/>
    <w:rsid w:val="004E7F4F"/>
    <w:rsid w:val="004F2CE3"/>
    <w:rsid w:val="004F2DDE"/>
    <w:rsid w:val="004F5A55"/>
    <w:rsid w:val="004F7826"/>
    <w:rsid w:val="0050097F"/>
    <w:rsid w:val="00506ED0"/>
    <w:rsid w:val="00514B1F"/>
    <w:rsid w:val="00521315"/>
    <w:rsid w:val="00521564"/>
    <w:rsid w:val="00523C5C"/>
    <w:rsid w:val="00524884"/>
    <w:rsid w:val="00525E93"/>
    <w:rsid w:val="0052671D"/>
    <w:rsid w:val="00526A44"/>
    <w:rsid w:val="005300C0"/>
    <w:rsid w:val="00533EF6"/>
    <w:rsid w:val="00535ED3"/>
    <w:rsid w:val="00540E6B"/>
    <w:rsid w:val="0054109E"/>
    <w:rsid w:val="00541B64"/>
    <w:rsid w:val="00547153"/>
    <w:rsid w:val="00554AA3"/>
    <w:rsid w:val="0055595D"/>
    <w:rsid w:val="00556A10"/>
    <w:rsid w:val="00557F50"/>
    <w:rsid w:val="00561EDD"/>
    <w:rsid w:val="00567038"/>
    <w:rsid w:val="00571D3D"/>
    <w:rsid w:val="0057473E"/>
    <w:rsid w:val="0058264B"/>
    <w:rsid w:val="00586368"/>
    <w:rsid w:val="005863F1"/>
    <w:rsid w:val="005868AA"/>
    <w:rsid w:val="00590845"/>
    <w:rsid w:val="005963C2"/>
    <w:rsid w:val="00596834"/>
    <w:rsid w:val="005A0D69"/>
    <w:rsid w:val="005A15C7"/>
    <w:rsid w:val="005A31F4"/>
    <w:rsid w:val="005A73EA"/>
    <w:rsid w:val="005A76F0"/>
    <w:rsid w:val="005B1205"/>
    <w:rsid w:val="005B45F7"/>
    <w:rsid w:val="005B63EA"/>
    <w:rsid w:val="005C0680"/>
    <w:rsid w:val="005C1A88"/>
    <w:rsid w:val="005C5033"/>
    <w:rsid w:val="005C7547"/>
    <w:rsid w:val="005D46B0"/>
    <w:rsid w:val="005D4E1B"/>
    <w:rsid w:val="005E17B3"/>
    <w:rsid w:val="005E751B"/>
    <w:rsid w:val="005F1B5D"/>
    <w:rsid w:val="005F2751"/>
    <w:rsid w:val="005F3354"/>
    <w:rsid w:val="005F4AD6"/>
    <w:rsid w:val="005F5BF1"/>
    <w:rsid w:val="0060005E"/>
    <w:rsid w:val="0060095B"/>
    <w:rsid w:val="00601266"/>
    <w:rsid w:val="00607FA1"/>
    <w:rsid w:val="00610221"/>
    <w:rsid w:val="00610E73"/>
    <w:rsid w:val="00612C46"/>
    <w:rsid w:val="00615F9B"/>
    <w:rsid w:val="00616DF2"/>
    <w:rsid w:val="00620B64"/>
    <w:rsid w:val="0062385D"/>
    <w:rsid w:val="00626815"/>
    <w:rsid w:val="0063168D"/>
    <w:rsid w:val="00635C79"/>
    <w:rsid w:val="006455DF"/>
    <w:rsid w:val="00647025"/>
    <w:rsid w:val="0064730A"/>
    <w:rsid w:val="006507DA"/>
    <w:rsid w:val="006531A4"/>
    <w:rsid w:val="0065402B"/>
    <w:rsid w:val="00657652"/>
    <w:rsid w:val="006604F2"/>
    <w:rsid w:val="00660774"/>
    <w:rsid w:val="0066389A"/>
    <w:rsid w:val="0066495C"/>
    <w:rsid w:val="00665CC7"/>
    <w:rsid w:val="00672612"/>
    <w:rsid w:val="00677F18"/>
    <w:rsid w:val="00691AF1"/>
    <w:rsid w:val="00693483"/>
    <w:rsid w:val="00695E35"/>
    <w:rsid w:val="006A0BF3"/>
    <w:rsid w:val="006A18AA"/>
    <w:rsid w:val="006A1AEF"/>
    <w:rsid w:val="006B0036"/>
    <w:rsid w:val="006B0DA6"/>
    <w:rsid w:val="006B3FA9"/>
    <w:rsid w:val="006C547E"/>
    <w:rsid w:val="006D2B51"/>
    <w:rsid w:val="006D5575"/>
    <w:rsid w:val="006D7191"/>
    <w:rsid w:val="006D7AB5"/>
    <w:rsid w:val="006E21C4"/>
    <w:rsid w:val="006E42BE"/>
    <w:rsid w:val="006E5D4D"/>
    <w:rsid w:val="006E6D16"/>
    <w:rsid w:val="00703F2A"/>
    <w:rsid w:val="00704C5D"/>
    <w:rsid w:val="007072BC"/>
    <w:rsid w:val="00715275"/>
    <w:rsid w:val="00721B44"/>
    <w:rsid w:val="007232A2"/>
    <w:rsid w:val="00726366"/>
    <w:rsid w:val="00731AB6"/>
    <w:rsid w:val="00733928"/>
    <w:rsid w:val="00733B6B"/>
    <w:rsid w:val="00740808"/>
    <w:rsid w:val="00742173"/>
    <w:rsid w:val="007467C4"/>
    <w:rsid w:val="007472CC"/>
    <w:rsid w:val="0075211C"/>
    <w:rsid w:val="007575DA"/>
    <w:rsid w:val="00760BE5"/>
    <w:rsid w:val="0076170F"/>
    <w:rsid w:val="0076669C"/>
    <w:rsid w:val="00766E46"/>
    <w:rsid w:val="00772CCB"/>
    <w:rsid w:val="00777727"/>
    <w:rsid w:val="0078166A"/>
    <w:rsid w:val="00781DA1"/>
    <w:rsid w:val="00782B79"/>
    <w:rsid w:val="00783811"/>
    <w:rsid w:val="007865E9"/>
    <w:rsid w:val="0079237D"/>
    <w:rsid w:val="00792383"/>
    <w:rsid w:val="00794D5A"/>
    <w:rsid w:val="00794DD9"/>
    <w:rsid w:val="007A060F"/>
    <w:rsid w:val="007A3794"/>
    <w:rsid w:val="007A4E36"/>
    <w:rsid w:val="007A58A6"/>
    <w:rsid w:val="007B1C5E"/>
    <w:rsid w:val="007B350E"/>
    <w:rsid w:val="007C0FBC"/>
    <w:rsid w:val="007C29C9"/>
    <w:rsid w:val="007C35B8"/>
    <w:rsid w:val="007C36E3"/>
    <w:rsid w:val="007C3ABB"/>
    <w:rsid w:val="007C6C96"/>
    <w:rsid w:val="007C7134"/>
    <w:rsid w:val="007C7ECF"/>
    <w:rsid w:val="007D2E94"/>
    <w:rsid w:val="007D3D20"/>
    <w:rsid w:val="007D44F9"/>
    <w:rsid w:val="007D742E"/>
    <w:rsid w:val="007E3AFD"/>
    <w:rsid w:val="007F2669"/>
    <w:rsid w:val="00801554"/>
    <w:rsid w:val="00801DAD"/>
    <w:rsid w:val="00803189"/>
    <w:rsid w:val="00804E7A"/>
    <w:rsid w:val="00805FBB"/>
    <w:rsid w:val="00814292"/>
    <w:rsid w:val="008169A4"/>
    <w:rsid w:val="00817D7D"/>
    <w:rsid w:val="008214D4"/>
    <w:rsid w:val="00824825"/>
    <w:rsid w:val="008278FE"/>
    <w:rsid w:val="00832598"/>
    <w:rsid w:val="0083397E"/>
    <w:rsid w:val="0083440F"/>
    <w:rsid w:val="0083491C"/>
    <w:rsid w:val="0083534B"/>
    <w:rsid w:val="00842035"/>
    <w:rsid w:val="00842602"/>
    <w:rsid w:val="00842B51"/>
    <w:rsid w:val="008449F0"/>
    <w:rsid w:val="00846F11"/>
    <w:rsid w:val="00847B45"/>
    <w:rsid w:val="00855C8E"/>
    <w:rsid w:val="00861D86"/>
    <w:rsid w:val="00863A66"/>
    <w:rsid w:val="00867525"/>
    <w:rsid w:val="008703D7"/>
    <w:rsid w:val="008728AD"/>
    <w:rsid w:val="00874429"/>
    <w:rsid w:val="00875D22"/>
    <w:rsid w:val="00881F1A"/>
    <w:rsid w:val="00883CC4"/>
    <w:rsid w:val="00883D9A"/>
    <w:rsid w:val="00886731"/>
    <w:rsid w:val="008919EF"/>
    <w:rsid w:val="00892B20"/>
    <w:rsid w:val="008931BC"/>
    <w:rsid w:val="0089695B"/>
    <w:rsid w:val="00897740"/>
    <w:rsid w:val="008A12EC"/>
    <w:rsid w:val="008A25AD"/>
    <w:rsid w:val="008B045F"/>
    <w:rsid w:val="008B14BE"/>
    <w:rsid w:val="008B19A6"/>
    <w:rsid w:val="008B4EFB"/>
    <w:rsid w:val="008C21C8"/>
    <w:rsid w:val="008C6375"/>
    <w:rsid w:val="008C6A5B"/>
    <w:rsid w:val="008D441D"/>
    <w:rsid w:val="008D498D"/>
    <w:rsid w:val="008D6D36"/>
    <w:rsid w:val="008E0693"/>
    <w:rsid w:val="008E1FFE"/>
    <w:rsid w:val="008E26A5"/>
    <w:rsid w:val="008E42D2"/>
    <w:rsid w:val="008E6328"/>
    <w:rsid w:val="008F1B11"/>
    <w:rsid w:val="008F578F"/>
    <w:rsid w:val="008F5D04"/>
    <w:rsid w:val="009023AA"/>
    <w:rsid w:val="009040EE"/>
    <w:rsid w:val="009057FD"/>
    <w:rsid w:val="00906FBA"/>
    <w:rsid w:val="009163E8"/>
    <w:rsid w:val="009209F0"/>
    <w:rsid w:val="00921BD3"/>
    <w:rsid w:val="00921DCF"/>
    <w:rsid w:val="009228C7"/>
    <w:rsid w:val="00922A7F"/>
    <w:rsid w:val="00923A5E"/>
    <w:rsid w:val="00924FE7"/>
    <w:rsid w:val="00926E27"/>
    <w:rsid w:val="00931C8C"/>
    <w:rsid w:val="00943134"/>
    <w:rsid w:val="00943D21"/>
    <w:rsid w:val="0094504B"/>
    <w:rsid w:val="00945623"/>
    <w:rsid w:val="00950059"/>
    <w:rsid w:val="0095164D"/>
    <w:rsid w:val="00952207"/>
    <w:rsid w:val="00954948"/>
    <w:rsid w:val="00964A38"/>
    <w:rsid w:val="00966A9D"/>
    <w:rsid w:val="0096742B"/>
    <w:rsid w:val="00967C64"/>
    <w:rsid w:val="009712BD"/>
    <w:rsid w:val="009718C5"/>
    <w:rsid w:val="0097262C"/>
    <w:rsid w:val="00975F57"/>
    <w:rsid w:val="00976557"/>
    <w:rsid w:val="00976AFF"/>
    <w:rsid w:val="00986AED"/>
    <w:rsid w:val="009924CF"/>
    <w:rsid w:val="00994100"/>
    <w:rsid w:val="009A04B7"/>
    <w:rsid w:val="009A6B17"/>
    <w:rsid w:val="009B052E"/>
    <w:rsid w:val="009B2DF9"/>
    <w:rsid w:val="009C1F29"/>
    <w:rsid w:val="009D4C29"/>
    <w:rsid w:val="009E58E9"/>
    <w:rsid w:val="009E6803"/>
    <w:rsid w:val="009F10D5"/>
    <w:rsid w:val="009F6AD2"/>
    <w:rsid w:val="009F7C1B"/>
    <w:rsid w:val="00A00B5B"/>
    <w:rsid w:val="00A00D8D"/>
    <w:rsid w:val="00A01BB6"/>
    <w:rsid w:val="00A108A7"/>
    <w:rsid w:val="00A1123B"/>
    <w:rsid w:val="00A13F6A"/>
    <w:rsid w:val="00A22B28"/>
    <w:rsid w:val="00A32502"/>
    <w:rsid w:val="00A3351E"/>
    <w:rsid w:val="00A4144C"/>
    <w:rsid w:val="00A4303C"/>
    <w:rsid w:val="00A46CAF"/>
    <w:rsid w:val="00A470FD"/>
    <w:rsid w:val="00A50662"/>
    <w:rsid w:val="00A50B5E"/>
    <w:rsid w:val="00A554F9"/>
    <w:rsid w:val="00A60BDE"/>
    <w:rsid w:val="00A62DAB"/>
    <w:rsid w:val="00A6757A"/>
    <w:rsid w:val="00A726A6"/>
    <w:rsid w:val="00A74842"/>
    <w:rsid w:val="00A80DF3"/>
    <w:rsid w:val="00A81DAF"/>
    <w:rsid w:val="00A8269A"/>
    <w:rsid w:val="00A86A50"/>
    <w:rsid w:val="00A87870"/>
    <w:rsid w:val="00A9178A"/>
    <w:rsid w:val="00A9515B"/>
    <w:rsid w:val="00A97535"/>
    <w:rsid w:val="00AA2BAA"/>
    <w:rsid w:val="00AA3A97"/>
    <w:rsid w:val="00AA3FD6"/>
    <w:rsid w:val="00AA6516"/>
    <w:rsid w:val="00AA73F1"/>
    <w:rsid w:val="00AB0E1A"/>
    <w:rsid w:val="00AB1A30"/>
    <w:rsid w:val="00AB2066"/>
    <w:rsid w:val="00AB378F"/>
    <w:rsid w:val="00AB3C36"/>
    <w:rsid w:val="00AB3D30"/>
    <w:rsid w:val="00AB62E1"/>
    <w:rsid w:val="00AB6875"/>
    <w:rsid w:val="00AC4B09"/>
    <w:rsid w:val="00AC5A01"/>
    <w:rsid w:val="00AD10EB"/>
    <w:rsid w:val="00AD1ED3"/>
    <w:rsid w:val="00AD3717"/>
    <w:rsid w:val="00AD4076"/>
    <w:rsid w:val="00AE210D"/>
    <w:rsid w:val="00AF063E"/>
    <w:rsid w:val="00B019C1"/>
    <w:rsid w:val="00B02001"/>
    <w:rsid w:val="00B03C50"/>
    <w:rsid w:val="00B0777D"/>
    <w:rsid w:val="00B11576"/>
    <w:rsid w:val="00B1195F"/>
    <w:rsid w:val="00B14D10"/>
    <w:rsid w:val="00B209C7"/>
    <w:rsid w:val="00B266D5"/>
    <w:rsid w:val="00B33384"/>
    <w:rsid w:val="00B33EC9"/>
    <w:rsid w:val="00B3644F"/>
    <w:rsid w:val="00B4057A"/>
    <w:rsid w:val="00B40894"/>
    <w:rsid w:val="00B40CE8"/>
    <w:rsid w:val="00B41039"/>
    <w:rsid w:val="00B42987"/>
    <w:rsid w:val="00B444AE"/>
    <w:rsid w:val="00B45E75"/>
    <w:rsid w:val="00B50876"/>
    <w:rsid w:val="00B51074"/>
    <w:rsid w:val="00B54DAA"/>
    <w:rsid w:val="00B552E0"/>
    <w:rsid w:val="00B55AB0"/>
    <w:rsid w:val="00B55EE5"/>
    <w:rsid w:val="00B567CA"/>
    <w:rsid w:val="00B61D42"/>
    <w:rsid w:val="00B63AB0"/>
    <w:rsid w:val="00B67A43"/>
    <w:rsid w:val="00B71D1F"/>
    <w:rsid w:val="00B727E3"/>
    <w:rsid w:val="00B72CFF"/>
    <w:rsid w:val="00B73DE6"/>
    <w:rsid w:val="00B761CD"/>
    <w:rsid w:val="00B76B66"/>
    <w:rsid w:val="00B863B7"/>
    <w:rsid w:val="00B86EF0"/>
    <w:rsid w:val="00B9381F"/>
    <w:rsid w:val="00B96969"/>
    <w:rsid w:val="00B97900"/>
    <w:rsid w:val="00BA1229"/>
    <w:rsid w:val="00BA44A8"/>
    <w:rsid w:val="00BA49C5"/>
    <w:rsid w:val="00BB0182"/>
    <w:rsid w:val="00BB2F4A"/>
    <w:rsid w:val="00BC2F28"/>
    <w:rsid w:val="00BC786E"/>
    <w:rsid w:val="00BD5C92"/>
    <w:rsid w:val="00BE50E6"/>
    <w:rsid w:val="00BE7A0C"/>
    <w:rsid w:val="00BF2928"/>
    <w:rsid w:val="00BF5D60"/>
    <w:rsid w:val="00BF6691"/>
    <w:rsid w:val="00C01991"/>
    <w:rsid w:val="00C028FC"/>
    <w:rsid w:val="00C037F2"/>
    <w:rsid w:val="00C0386D"/>
    <w:rsid w:val="00C065A1"/>
    <w:rsid w:val="00C10ED5"/>
    <w:rsid w:val="00C12574"/>
    <w:rsid w:val="00C151A6"/>
    <w:rsid w:val="00C24098"/>
    <w:rsid w:val="00C26AF0"/>
    <w:rsid w:val="00C30A4E"/>
    <w:rsid w:val="00C411F3"/>
    <w:rsid w:val="00C44105"/>
    <w:rsid w:val="00C4795E"/>
    <w:rsid w:val="00C523EC"/>
    <w:rsid w:val="00C55A33"/>
    <w:rsid w:val="00C64D49"/>
    <w:rsid w:val="00C660E6"/>
    <w:rsid w:val="00C66692"/>
    <w:rsid w:val="00C673B5"/>
    <w:rsid w:val="00C7063D"/>
    <w:rsid w:val="00C72339"/>
    <w:rsid w:val="00C7295B"/>
    <w:rsid w:val="00C73A63"/>
    <w:rsid w:val="00C7624E"/>
    <w:rsid w:val="00C830BC"/>
    <w:rsid w:val="00C8524D"/>
    <w:rsid w:val="00C87964"/>
    <w:rsid w:val="00C90904"/>
    <w:rsid w:val="00C91123"/>
    <w:rsid w:val="00CA3665"/>
    <w:rsid w:val="00CA71FF"/>
    <w:rsid w:val="00CB2393"/>
    <w:rsid w:val="00CB5276"/>
    <w:rsid w:val="00CB5BFC"/>
    <w:rsid w:val="00CB68D7"/>
    <w:rsid w:val="00CB785B"/>
    <w:rsid w:val="00CC518B"/>
    <w:rsid w:val="00CC7E68"/>
    <w:rsid w:val="00CD1708"/>
    <w:rsid w:val="00CD3D74"/>
    <w:rsid w:val="00CD7132"/>
    <w:rsid w:val="00CE0E6F"/>
    <w:rsid w:val="00CE1C57"/>
    <w:rsid w:val="00CE3B21"/>
    <w:rsid w:val="00CE56FC"/>
    <w:rsid w:val="00CE7A4D"/>
    <w:rsid w:val="00CF32D2"/>
    <w:rsid w:val="00CF4CFE"/>
    <w:rsid w:val="00D00E8E"/>
    <w:rsid w:val="00D02E0F"/>
    <w:rsid w:val="00D03EE8"/>
    <w:rsid w:val="00D10D41"/>
    <w:rsid w:val="00D13535"/>
    <w:rsid w:val="00D15497"/>
    <w:rsid w:val="00D17240"/>
    <w:rsid w:val="00D17B79"/>
    <w:rsid w:val="00D205F5"/>
    <w:rsid w:val="00D2222A"/>
    <w:rsid w:val="00D23FEA"/>
    <w:rsid w:val="00D269CA"/>
    <w:rsid w:val="00D30B48"/>
    <w:rsid w:val="00D3168A"/>
    <w:rsid w:val="00D31E17"/>
    <w:rsid w:val="00D344CB"/>
    <w:rsid w:val="00D350D1"/>
    <w:rsid w:val="00D460A1"/>
    <w:rsid w:val="00D46FAA"/>
    <w:rsid w:val="00D47A40"/>
    <w:rsid w:val="00D51D33"/>
    <w:rsid w:val="00D53D3C"/>
    <w:rsid w:val="00D54469"/>
    <w:rsid w:val="00D57BB2"/>
    <w:rsid w:val="00D57E57"/>
    <w:rsid w:val="00D70752"/>
    <w:rsid w:val="00D74D83"/>
    <w:rsid w:val="00D80E2D"/>
    <w:rsid w:val="00D84D5E"/>
    <w:rsid w:val="00D850F7"/>
    <w:rsid w:val="00D8560E"/>
    <w:rsid w:val="00D8758F"/>
    <w:rsid w:val="00D912FC"/>
    <w:rsid w:val="00D94775"/>
    <w:rsid w:val="00D959D7"/>
    <w:rsid w:val="00DA2932"/>
    <w:rsid w:val="00DA4EDD"/>
    <w:rsid w:val="00DA6B78"/>
    <w:rsid w:val="00DB122B"/>
    <w:rsid w:val="00DB6A02"/>
    <w:rsid w:val="00DC1D94"/>
    <w:rsid w:val="00DC3F56"/>
    <w:rsid w:val="00DC42CF"/>
    <w:rsid w:val="00DC738A"/>
    <w:rsid w:val="00DD382A"/>
    <w:rsid w:val="00DD4BCE"/>
    <w:rsid w:val="00DD592E"/>
    <w:rsid w:val="00DE057F"/>
    <w:rsid w:val="00DE2082"/>
    <w:rsid w:val="00DE2289"/>
    <w:rsid w:val="00DF086F"/>
    <w:rsid w:val="00DF09A7"/>
    <w:rsid w:val="00DF2B51"/>
    <w:rsid w:val="00E001D6"/>
    <w:rsid w:val="00E03A76"/>
    <w:rsid w:val="00E04410"/>
    <w:rsid w:val="00E07484"/>
    <w:rsid w:val="00E11351"/>
    <w:rsid w:val="00E30D94"/>
    <w:rsid w:val="00E33F44"/>
    <w:rsid w:val="00E377C3"/>
    <w:rsid w:val="00E37D48"/>
    <w:rsid w:val="00E42071"/>
    <w:rsid w:val="00E4225C"/>
    <w:rsid w:val="00E430BA"/>
    <w:rsid w:val="00E44879"/>
    <w:rsid w:val="00E62EDD"/>
    <w:rsid w:val="00E72914"/>
    <w:rsid w:val="00E735FF"/>
    <w:rsid w:val="00E73E63"/>
    <w:rsid w:val="00E75AE0"/>
    <w:rsid w:val="00E82A48"/>
    <w:rsid w:val="00E83C1F"/>
    <w:rsid w:val="00E850C9"/>
    <w:rsid w:val="00E85684"/>
    <w:rsid w:val="00E85A67"/>
    <w:rsid w:val="00E86193"/>
    <w:rsid w:val="00E8794B"/>
    <w:rsid w:val="00E87A65"/>
    <w:rsid w:val="00E907E0"/>
    <w:rsid w:val="00E90D47"/>
    <w:rsid w:val="00E97656"/>
    <w:rsid w:val="00EA004A"/>
    <w:rsid w:val="00EA172C"/>
    <w:rsid w:val="00EA259B"/>
    <w:rsid w:val="00EA35A3"/>
    <w:rsid w:val="00EA3E6A"/>
    <w:rsid w:val="00EA4E24"/>
    <w:rsid w:val="00EB18EF"/>
    <w:rsid w:val="00EB58F4"/>
    <w:rsid w:val="00EB7951"/>
    <w:rsid w:val="00EC18C1"/>
    <w:rsid w:val="00ED1ADD"/>
    <w:rsid w:val="00ED6A79"/>
    <w:rsid w:val="00ED6F32"/>
    <w:rsid w:val="00EE17DF"/>
    <w:rsid w:val="00EF1482"/>
    <w:rsid w:val="00EF4621"/>
    <w:rsid w:val="00EF4D52"/>
    <w:rsid w:val="00EF6312"/>
    <w:rsid w:val="00F038B0"/>
    <w:rsid w:val="00F05F34"/>
    <w:rsid w:val="00F14B6C"/>
    <w:rsid w:val="00F22B27"/>
    <w:rsid w:val="00F234A7"/>
    <w:rsid w:val="00F23CD8"/>
    <w:rsid w:val="00F277B6"/>
    <w:rsid w:val="00F27DA5"/>
    <w:rsid w:val="00F3755E"/>
    <w:rsid w:val="00F37E07"/>
    <w:rsid w:val="00F4182A"/>
    <w:rsid w:val="00F54380"/>
    <w:rsid w:val="00F54B47"/>
    <w:rsid w:val="00F61247"/>
    <w:rsid w:val="00F61F61"/>
    <w:rsid w:val="00F63191"/>
    <w:rsid w:val="00F6702E"/>
    <w:rsid w:val="00F70E84"/>
    <w:rsid w:val="00F7375B"/>
    <w:rsid w:val="00F74488"/>
    <w:rsid w:val="00F80685"/>
    <w:rsid w:val="00F94968"/>
    <w:rsid w:val="00FA092B"/>
    <w:rsid w:val="00FA17BA"/>
    <w:rsid w:val="00FA3904"/>
    <w:rsid w:val="00FA4F6C"/>
    <w:rsid w:val="00FA6EFD"/>
    <w:rsid w:val="00FB3791"/>
    <w:rsid w:val="00FB6780"/>
    <w:rsid w:val="00FB74EA"/>
    <w:rsid w:val="00FC0248"/>
    <w:rsid w:val="00FC7915"/>
    <w:rsid w:val="00FD03FA"/>
    <w:rsid w:val="00FD0ADB"/>
    <w:rsid w:val="00FD1BA4"/>
    <w:rsid w:val="00FD2C9E"/>
    <w:rsid w:val="00FD4786"/>
    <w:rsid w:val="00FD616C"/>
    <w:rsid w:val="00FE2788"/>
    <w:rsid w:val="00FE4129"/>
    <w:rsid w:val="00FE53F2"/>
    <w:rsid w:val="00FF0A00"/>
    <w:rsid w:val="00FF1C57"/>
    <w:rsid w:val="00FF2581"/>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701F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82A37"/>
    <w:pPr>
      <w:jc w:val="center"/>
    </w:pPr>
    <w:rPr>
      <w:rFonts w:ascii="Arial" w:hAnsi="Arial"/>
      <w:b/>
    </w:rPr>
  </w:style>
  <w:style w:type="paragraph" w:styleId="ListParagraph">
    <w:name w:val="List Paragraph"/>
    <w:basedOn w:val="Normal"/>
    <w:uiPriority w:val="34"/>
    <w:qFormat/>
    <w:rsid w:val="00182A37"/>
    <w:pPr>
      <w:ind w:left="720"/>
      <w:contextualSpacing/>
    </w:pPr>
  </w:style>
  <w:style w:type="character" w:customStyle="1" w:styleId="FootnoteTextChar">
    <w:name w:val="Footnote Text Char"/>
    <w:basedOn w:val="DefaultParagraphFont"/>
    <w:link w:val="FootnoteText"/>
    <w:uiPriority w:val="99"/>
    <w:rsid w:val="00182A37"/>
  </w:style>
  <w:style w:type="paragraph" w:customStyle="1" w:styleId="PartyName">
    <w:name w:val="Party Name"/>
    <w:basedOn w:val="Normal"/>
    <w:next w:val="BodyText"/>
    <w:qFormat/>
    <w:rsid w:val="00182A37"/>
    <w:pPr>
      <w:spacing w:after="240"/>
      <w:jc w:val="both"/>
      <w:outlineLvl w:val="1"/>
    </w:pPr>
    <w:rPr>
      <w:rFonts w:ascii="Arial" w:hAnsi="Arial" w:cs="Arial"/>
      <w:b/>
      <w:bCs/>
      <w:iCs/>
      <w:szCs w:val="28"/>
    </w:rPr>
  </w:style>
  <w:style w:type="paragraph" w:customStyle="1" w:styleId="RecommendationIssueGroupingSection">
    <w:name w:val="Recommendation Issue Grouping Section"/>
    <w:basedOn w:val="RecommendationMajorSectionHeading"/>
    <w:next w:val="Normal"/>
    <w:rsid w:val="003B733B"/>
    <w:pPr>
      <w:jc w:val="left"/>
    </w:pPr>
  </w:style>
  <w:style w:type="paragraph" w:customStyle="1" w:styleId="IssueSubsectionHeading">
    <w:name w:val="Issue Subsection Heading"/>
    <w:basedOn w:val="Heading2"/>
    <w:next w:val="BodyText"/>
    <w:link w:val="IssueSubsectionHeadingChar"/>
    <w:qFormat/>
    <w:rsid w:val="00FD03FA"/>
    <w:pPr>
      <w:keepNext w:val="0"/>
    </w:pPr>
    <w:rPr>
      <w:rFonts w:ascii="Arial" w:hAnsi="Arial"/>
      <w:b/>
      <w:i/>
    </w:rPr>
  </w:style>
  <w:style w:type="character" w:customStyle="1" w:styleId="IssueSubsectionHeadingChar">
    <w:name w:val="Issue Subsection Heading Char"/>
    <w:link w:val="IssueSubsectionHeading"/>
    <w:rsid w:val="00FD03FA"/>
    <w:rPr>
      <w:rFonts w:ascii="Arial" w:hAnsi="Arial" w:cs="Arial"/>
      <w:b/>
      <w:bCs/>
      <w:i/>
      <w:iCs/>
      <w:sz w:val="24"/>
      <w:szCs w:val="28"/>
    </w:rPr>
  </w:style>
  <w:style w:type="paragraph" w:styleId="BalloonText">
    <w:name w:val="Balloon Text"/>
    <w:basedOn w:val="Normal"/>
    <w:link w:val="BalloonTextChar"/>
    <w:semiHidden/>
    <w:unhideWhenUsed/>
    <w:rsid w:val="008728AD"/>
    <w:rPr>
      <w:rFonts w:ascii="Segoe UI" w:hAnsi="Segoe UI" w:cs="Segoe UI"/>
      <w:sz w:val="18"/>
      <w:szCs w:val="18"/>
    </w:rPr>
  </w:style>
  <w:style w:type="character" w:customStyle="1" w:styleId="BalloonTextChar">
    <w:name w:val="Balloon Text Char"/>
    <w:basedOn w:val="DefaultParagraphFont"/>
    <w:link w:val="BalloonText"/>
    <w:semiHidden/>
    <w:rsid w:val="008728AD"/>
    <w:rPr>
      <w:rFonts w:ascii="Segoe UI" w:hAnsi="Segoe UI" w:cs="Segoe UI"/>
      <w:sz w:val="18"/>
      <w:szCs w:val="18"/>
    </w:rPr>
  </w:style>
  <w:style w:type="character" w:styleId="CommentReference">
    <w:name w:val="annotation reference"/>
    <w:basedOn w:val="DefaultParagraphFont"/>
    <w:semiHidden/>
    <w:unhideWhenUsed/>
    <w:rsid w:val="00DD4BCE"/>
    <w:rPr>
      <w:sz w:val="16"/>
      <w:szCs w:val="16"/>
    </w:rPr>
  </w:style>
  <w:style w:type="paragraph" w:styleId="CommentText">
    <w:name w:val="annotation text"/>
    <w:basedOn w:val="Normal"/>
    <w:link w:val="CommentTextChar"/>
    <w:uiPriority w:val="99"/>
    <w:semiHidden/>
    <w:unhideWhenUsed/>
    <w:rsid w:val="00DD4BCE"/>
    <w:rPr>
      <w:sz w:val="20"/>
      <w:szCs w:val="20"/>
    </w:rPr>
  </w:style>
  <w:style w:type="character" w:customStyle="1" w:styleId="CommentTextChar">
    <w:name w:val="Comment Text Char"/>
    <w:basedOn w:val="DefaultParagraphFont"/>
    <w:link w:val="CommentText"/>
    <w:uiPriority w:val="99"/>
    <w:semiHidden/>
    <w:rsid w:val="00DD4BCE"/>
  </w:style>
  <w:style w:type="paragraph" w:styleId="CommentSubject">
    <w:name w:val="annotation subject"/>
    <w:basedOn w:val="CommentText"/>
    <w:next w:val="CommentText"/>
    <w:link w:val="CommentSubjectChar"/>
    <w:semiHidden/>
    <w:unhideWhenUsed/>
    <w:rsid w:val="00DD4BCE"/>
    <w:rPr>
      <w:b/>
      <w:bCs/>
    </w:rPr>
  </w:style>
  <w:style w:type="character" w:customStyle="1" w:styleId="CommentSubjectChar">
    <w:name w:val="Comment Subject Char"/>
    <w:basedOn w:val="CommentTextChar"/>
    <w:link w:val="CommentSubject"/>
    <w:semiHidden/>
    <w:rsid w:val="00DD4BCE"/>
    <w:rPr>
      <w:b/>
      <w:bCs/>
    </w:rPr>
  </w:style>
  <w:style w:type="paragraph" w:styleId="Revision">
    <w:name w:val="Revision"/>
    <w:hidden/>
    <w:uiPriority w:val="99"/>
    <w:semiHidden/>
    <w:rsid w:val="009522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47435821">
      <w:bodyDiv w:val="1"/>
      <w:marLeft w:val="0"/>
      <w:marRight w:val="0"/>
      <w:marTop w:val="0"/>
      <w:marBottom w:val="0"/>
      <w:divBdr>
        <w:top w:val="none" w:sz="0" w:space="0" w:color="auto"/>
        <w:left w:val="none" w:sz="0" w:space="0" w:color="auto"/>
        <w:bottom w:val="none" w:sz="0" w:space="0" w:color="auto"/>
        <w:right w:val="none" w:sz="0" w:space="0" w:color="auto"/>
      </w:divBdr>
    </w:div>
    <w:div w:id="7193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22</Pages>
  <Words>8458</Words>
  <Characters>48211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2022-11-14T14:59:00Z</dcterms:created>
  <dcterms:modified xsi:type="dcterms:W3CDTF">2022-11-14T16:24:00Z</dcterms:modified>
</cp:coreProperties>
</file>