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1B669F" w:rsidRDefault="002E320D" w:rsidP="002E320D">
      <w:pPr>
        <w:pStyle w:val="OrderHeading"/>
      </w:pPr>
      <w:r w:rsidRPr="001B669F">
        <w:t>BEFORE THE FLORIDA PUBLIC SERVICE COMMISSION</w:t>
      </w:r>
    </w:p>
    <w:p w:rsidR="002E320D" w:rsidRPr="001B669F" w:rsidRDefault="002E320D" w:rsidP="002E320D">
      <w:pPr>
        <w:pStyle w:val="OrderBody"/>
      </w:pPr>
    </w:p>
    <w:p w:rsidR="002E320D" w:rsidRPr="001B669F" w:rsidRDefault="002E320D" w:rsidP="002E32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E320D" w:rsidRPr="001B669F" w:rsidTr="001B669F">
        <w:trPr>
          <w:trHeight w:val="828"/>
        </w:trPr>
        <w:tc>
          <w:tcPr>
            <w:tcW w:w="4788" w:type="dxa"/>
            <w:tcBorders>
              <w:bottom w:val="single" w:sz="8" w:space="0" w:color="auto"/>
              <w:right w:val="double" w:sz="6" w:space="0" w:color="auto"/>
            </w:tcBorders>
            <w:shd w:val="clear" w:color="auto" w:fill="auto"/>
          </w:tcPr>
          <w:p w:rsidR="002E320D" w:rsidRPr="001B669F" w:rsidRDefault="002E320D" w:rsidP="001B669F">
            <w:pPr>
              <w:pStyle w:val="OrderBody"/>
              <w:tabs>
                <w:tab w:val="center" w:pos="4320"/>
                <w:tab w:val="right" w:pos="8640"/>
              </w:tabs>
              <w:jc w:val="left"/>
            </w:pPr>
            <w:r w:rsidRPr="001B669F">
              <w:t xml:space="preserve">In re: </w:t>
            </w:r>
            <w:bookmarkStart w:id="0" w:name="SSInRe"/>
            <w:bookmarkEnd w:id="0"/>
            <w:r w:rsidRPr="001B669F">
              <w:t>Application for staff-assisted rate case in Marion County, and request for interim rate increase, by Leighton Estates Utilities, LLC.</w:t>
            </w:r>
          </w:p>
        </w:tc>
        <w:tc>
          <w:tcPr>
            <w:tcW w:w="4788" w:type="dxa"/>
            <w:tcBorders>
              <w:left w:val="double" w:sz="6" w:space="0" w:color="auto"/>
            </w:tcBorders>
            <w:shd w:val="clear" w:color="auto" w:fill="auto"/>
          </w:tcPr>
          <w:p w:rsidR="002E320D" w:rsidRPr="001B669F" w:rsidRDefault="002E320D" w:rsidP="002E320D">
            <w:pPr>
              <w:pStyle w:val="OrderBody"/>
            </w:pPr>
            <w:r w:rsidRPr="001B669F">
              <w:t xml:space="preserve">DOCKET NO. </w:t>
            </w:r>
            <w:bookmarkStart w:id="1" w:name="SSDocketNo"/>
            <w:bookmarkEnd w:id="1"/>
            <w:r w:rsidRPr="001B669F">
              <w:t>20220026-WU</w:t>
            </w:r>
          </w:p>
          <w:p w:rsidR="002E320D" w:rsidRPr="001B669F" w:rsidRDefault="002E320D" w:rsidP="001B669F">
            <w:pPr>
              <w:pStyle w:val="OrderBody"/>
              <w:tabs>
                <w:tab w:val="center" w:pos="4320"/>
                <w:tab w:val="right" w:pos="8640"/>
              </w:tabs>
              <w:jc w:val="left"/>
            </w:pPr>
            <w:r w:rsidRPr="001B669F">
              <w:t xml:space="preserve">ORDER NO. </w:t>
            </w:r>
            <w:bookmarkStart w:id="2" w:name="OrderNo0435"/>
            <w:r w:rsidR="00E439E0">
              <w:t>PSC-2022-0435-PAA-WU</w:t>
            </w:r>
            <w:bookmarkEnd w:id="2"/>
          </w:p>
          <w:p w:rsidR="002E320D" w:rsidRPr="001B669F" w:rsidRDefault="002E320D" w:rsidP="001B669F">
            <w:pPr>
              <w:pStyle w:val="OrderBody"/>
              <w:tabs>
                <w:tab w:val="center" w:pos="4320"/>
                <w:tab w:val="right" w:pos="8640"/>
              </w:tabs>
              <w:jc w:val="left"/>
            </w:pPr>
            <w:r w:rsidRPr="001B669F">
              <w:t xml:space="preserve">ISSUED: </w:t>
            </w:r>
            <w:r w:rsidR="00E439E0">
              <w:t>December 22, 2022</w:t>
            </w:r>
          </w:p>
        </w:tc>
      </w:tr>
    </w:tbl>
    <w:p w:rsidR="002E320D" w:rsidRPr="001B669F" w:rsidRDefault="002E320D" w:rsidP="002E320D"/>
    <w:p w:rsidR="002E320D" w:rsidRPr="001B669F" w:rsidRDefault="002E320D" w:rsidP="002E320D"/>
    <w:p w:rsidR="002E320D" w:rsidRPr="001B669F" w:rsidRDefault="002E320D" w:rsidP="00B67A43">
      <w:pPr>
        <w:ind w:firstLine="720"/>
        <w:jc w:val="both"/>
      </w:pPr>
      <w:bookmarkStart w:id="3" w:name="Commissioners"/>
      <w:bookmarkEnd w:id="3"/>
      <w:r w:rsidRPr="001B669F">
        <w:t>The following Commissioners participated in the disposition of this matter:</w:t>
      </w:r>
    </w:p>
    <w:p w:rsidR="002E320D" w:rsidRPr="001B669F" w:rsidRDefault="002E320D" w:rsidP="00B67A43"/>
    <w:p w:rsidR="002E320D" w:rsidRPr="001B669F" w:rsidRDefault="002E320D" w:rsidP="00477699">
      <w:pPr>
        <w:jc w:val="center"/>
      </w:pPr>
      <w:r w:rsidRPr="001B669F">
        <w:t>ANDREW GILES FAY, Chairman</w:t>
      </w:r>
    </w:p>
    <w:p w:rsidR="002E320D" w:rsidRPr="001B669F" w:rsidRDefault="002E320D" w:rsidP="00B67A43">
      <w:pPr>
        <w:jc w:val="center"/>
      </w:pPr>
      <w:r w:rsidRPr="001B669F">
        <w:t>ART GRAHAM</w:t>
      </w:r>
    </w:p>
    <w:p w:rsidR="002E320D" w:rsidRPr="001B669F" w:rsidRDefault="002E320D" w:rsidP="00B67A43">
      <w:pPr>
        <w:jc w:val="center"/>
      </w:pPr>
      <w:r w:rsidRPr="001B669F">
        <w:t>GARY F. CLARK</w:t>
      </w:r>
    </w:p>
    <w:p w:rsidR="002E320D" w:rsidRPr="001B669F" w:rsidRDefault="002E320D" w:rsidP="00B67A43">
      <w:pPr>
        <w:jc w:val="center"/>
      </w:pPr>
      <w:r w:rsidRPr="001B669F">
        <w:t>MIKE LA ROSA</w:t>
      </w:r>
    </w:p>
    <w:p w:rsidR="002E320D" w:rsidRPr="001B669F" w:rsidRDefault="002E320D" w:rsidP="00B67A43">
      <w:pPr>
        <w:jc w:val="center"/>
      </w:pPr>
      <w:r w:rsidRPr="001B669F">
        <w:rPr>
          <w:lang w:val="en"/>
        </w:rPr>
        <w:t>GABRIELLA PASSIDOMO</w:t>
      </w:r>
    </w:p>
    <w:p w:rsidR="002E320D" w:rsidRPr="001B669F" w:rsidRDefault="002E320D" w:rsidP="00B67A43"/>
    <w:p w:rsidR="002E320D" w:rsidRPr="001B669F" w:rsidRDefault="002E320D" w:rsidP="002E320D">
      <w:pPr>
        <w:pStyle w:val="OrderBody"/>
      </w:pPr>
    </w:p>
    <w:bookmarkStart w:id="4" w:name="OrderText"/>
    <w:bookmarkEnd w:id="4"/>
    <w:p w:rsidR="002E320D" w:rsidRPr="001B669F" w:rsidRDefault="002E320D">
      <w:pPr>
        <w:pStyle w:val="OrderBody"/>
        <w:jc w:val="center"/>
        <w:rPr>
          <w:u w:val="single"/>
        </w:rPr>
      </w:pPr>
      <w:r w:rsidRPr="001B669F">
        <w:rPr>
          <w:lang w:val="en-CA"/>
        </w:rPr>
        <w:fldChar w:fldCharType="begin"/>
      </w:r>
      <w:r w:rsidRPr="001B669F">
        <w:rPr>
          <w:lang w:val="en-CA"/>
        </w:rPr>
        <w:instrText xml:space="preserve"> SEQ CHAPTER \h \r 1</w:instrText>
      </w:r>
      <w:r w:rsidRPr="001B669F">
        <w:fldChar w:fldCharType="end"/>
      </w:r>
      <w:r w:rsidRPr="001B669F">
        <w:rPr>
          <w:u w:val="single"/>
        </w:rPr>
        <w:t>NOTICE OF PROPOSED AGENCY ACTION</w:t>
      </w:r>
    </w:p>
    <w:p w:rsidR="009B4B4D" w:rsidRDefault="002E320D">
      <w:pPr>
        <w:pStyle w:val="OrderBody"/>
        <w:jc w:val="center"/>
        <w:rPr>
          <w:u w:val="single"/>
        </w:rPr>
      </w:pPr>
      <w:r w:rsidRPr="001B669F">
        <w:rPr>
          <w:u w:val="single"/>
        </w:rPr>
        <w:t>ORDER</w:t>
      </w:r>
      <w:r w:rsidR="001B669F" w:rsidRPr="001B669F">
        <w:rPr>
          <w:u w:val="single"/>
        </w:rPr>
        <w:t xml:space="preserve"> APPROVING RATE INCREASE FOR LEIGHTON ESTATES UTILITIES, LLC. AND</w:t>
      </w:r>
    </w:p>
    <w:p w:rsidR="002E320D" w:rsidRPr="001B669F" w:rsidRDefault="001B669F">
      <w:pPr>
        <w:pStyle w:val="OrderBody"/>
        <w:jc w:val="center"/>
        <w:rPr>
          <w:u w:val="single"/>
        </w:rPr>
      </w:pPr>
      <w:r w:rsidRPr="001B669F">
        <w:rPr>
          <w:u w:val="single"/>
        </w:rPr>
        <w:t>ORDER ON RECOVERY OF RATE CASE EXPENSES, TEMPORARY RATES, AND ACCOUNTING ADJUSTMENTS</w:t>
      </w:r>
    </w:p>
    <w:p w:rsidR="002E320D" w:rsidRPr="001B669F" w:rsidRDefault="002E320D">
      <w:pPr>
        <w:pStyle w:val="OrderBody"/>
      </w:pPr>
    </w:p>
    <w:p w:rsidR="002E320D" w:rsidRPr="001B669F" w:rsidRDefault="002E320D">
      <w:pPr>
        <w:pStyle w:val="OrderBody"/>
      </w:pPr>
    </w:p>
    <w:p w:rsidR="002E320D" w:rsidRPr="001B669F" w:rsidRDefault="002E320D">
      <w:pPr>
        <w:pStyle w:val="OrderBody"/>
      </w:pPr>
      <w:r w:rsidRPr="001B669F">
        <w:t>BY THE COMMISSION:</w:t>
      </w:r>
    </w:p>
    <w:p w:rsidR="002E320D" w:rsidRPr="001B669F" w:rsidRDefault="002E320D">
      <w:pPr>
        <w:pStyle w:val="OrderBody"/>
      </w:pPr>
    </w:p>
    <w:p w:rsidR="002E320D" w:rsidRPr="001B669F" w:rsidRDefault="002E320D" w:rsidP="001B669F">
      <w:pPr>
        <w:pStyle w:val="OrderBody"/>
      </w:pPr>
      <w:r w:rsidRPr="001B669F">
        <w:tab/>
        <w:t>NOTICE is hereby given by the Florida Public Service Commission (Commission) that the actions discussed herein, except for (1) the reduction of rates after four years based upon the recovery of rate case expense, (2) the granting of temporary rates in the event of protest, and (3) the requirement for proof of adjustment of books and records, are preliminary in nature and will become final unless a person whose interests are substantially affected files a petition for a formal proceeding, pursuant to Rule 25-22.029, Florida Administrative Code (F.A.C.).</w:t>
      </w:r>
      <w:r w:rsidR="00DC2731">
        <w:t xml:space="preserve"> </w:t>
      </w:r>
      <w:r w:rsidRPr="001B669F">
        <w:t xml:space="preserve"> The reduction of rates after four years, the granting of temporary rates in the event of protest, and the requirement for proof of adjustment of books and records are procedural agency actions and subject to reconsideration and appeal as described below under the heading, “NOTICE OF FURTHER PROCEEDINGS OR JUDICIAL REVIEW.”</w:t>
      </w:r>
    </w:p>
    <w:p w:rsidR="00CB5276" w:rsidRPr="001B669F" w:rsidRDefault="00CB5276" w:rsidP="002E320D"/>
    <w:p w:rsidR="002776CA" w:rsidRPr="001B669F" w:rsidRDefault="002776CA" w:rsidP="002776CA">
      <w:pPr>
        <w:keepNext/>
        <w:spacing w:after="240"/>
        <w:jc w:val="center"/>
        <w:outlineLvl w:val="0"/>
        <w:rPr>
          <w:b/>
          <w:bCs/>
          <w:kern w:val="32"/>
          <w:szCs w:val="32"/>
        </w:rPr>
      </w:pPr>
      <w:r w:rsidRPr="001B669F">
        <w:rPr>
          <w:b/>
          <w:bCs/>
          <w:kern w:val="32"/>
          <w:szCs w:val="32"/>
        </w:rPr>
        <w:t>Case Background</w:t>
      </w:r>
      <w:r w:rsidRPr="001B669F">
        <w:rPr>
          <w:b/>
          <w:bCs/>
          <w:kern w:val="32"/>
          <w:szCs w:val="32"/>
        </w:rPr>
        <w:fldChar w:fldCharType="begin"/>
      </w:r>
      <w:r w:rsidRPr="001B669F">
        <w:rPr>
          <w:b/>
          <w:bCs/>
          <w:kern w:val="32"/>
          <w:szCs w:val="32"/>
        </w:rPr>
        <w:instrText xml:space="preserve"> TC  "</w:instrText>
      </w:r>
      <w:bookmarkStart w:id="5" w:name="_Toc119660370"/>
      <w:r w:rsidRPr="001B669F">
        <w:rPr>
          <w:b/>
          <w:bCs/>
          <w:kern w:val="32"/>
          <w:szCs w:val="32"/>
        </w:rPr>
        <w:tab/>
        <w:instrText>Case Background</w:instrText>
      </w:r>
      <w:bookmarkEnd w:id="5"/>
      <w:r w:rsidRPr="001B669F">
        <w:rPr>
          <w:b/>
          <w:bCs/>
          <w:kern w:val="32"/>
          <w:szCs w:val="32"/>
        </w:rPr>
        <w:instrText xml:space="preserve">" \l 1 </w:instrText>
      </w:r>
      <w:r w:rsidRPr="001B669F">
        <w:rPr>
          <w:b/>
          <w:bCs/>
          <w:kern w:val="32"/>
          <w:szCs w:val="32"/>
        </w:rPr>
        <w:fldChar w:fldCharType="end"/>
      </w:r>
    </w:p>
    <w:p w:rsidR="002776CA" w:rsidRPr="001B669F" w:rsidRDefault="001B669F" w:rsidP="002776CA">
      <w:pPr>
        <w:spacing w:after="240"/>
        <w:jc w:val="both"/>
      </w:pPr>
      <w:r w:rsidRPr="001B669F">
        <w:tab/>
      </w:r>
      <w:r w:rsidR="002776CA" w:rsidRPr="001B669F">
        <w:t>Leighton Estate</w:t>
      </w:r>
      <w:r w:rsidR="000960A2">
        <w:t>s Utilities, LLC. (U</w:t>
      </w:r>
      <w:r w:rsidR="002776CA" w:rsidRPr="001B669F">
        <w:t>tility</w:t>
      </w:r>
      <w:r w:rsidR="000960A2">
        <w:t xml:space="preserve"> or </w:t>
      </w:r>
      <w:r w:rsidR="000960A2" w:rsidRPr="001B669F">
        <w:t>Leighton</w:t>
      </w:r>
      <w:r w:rsidR="002776CA" w:rsidRPr="001B669F">
        <w:t>) is a Class C utility which is currently providing water only service to approximately 80 customers in Marion County.</w:t>
      </w:r>
      <w:r w:rsidR="00F379F0">
        <w:t xml:space="preserve"> </w:t>
      </w:r>
      <w:r w:rsidR="002776CA" w:rsidRPr="001B669F">
        <w:t xml:space="preserve"> Wastewater service is provided by individually owned septic tanks. Leighton is located in the St. Johns River Water Management District (S</w:t>
      </w:r>
      <w:r w:rsidRPr="001B669F">
        <w:t xml:space="preserve">JRWMD). </w:t>
      </w:r>
      <w:r w:rsidR="00F379F0">
        <w:t xml:space="preserve"> </w:t>
      </w:r>
      <w:r w:rsidRPr="001B669F">
        <w:t>On November 1, 2021, we</w:t>
      </w:r>
      <w:r w:rsidR="002776CA" w:rsidRPr="001B669F">
        <w:t xml:space="preserve"> approved the transfer of Certificate No. 652-W from Arma Water Service, LLC to Leighton Estates Utilities, </w:t>
      </w:r>
      <w:r w:rsidR="002776CA" w:rsidRPr="001B669F">
        <w:lastRenderedPageBreak/>
        <w:t>LLC.</w:t>
      </w:r>
      <w:r w:rsidR="002776CA" w:rsidRPr="001B669F">
        <w:rPr>
          <w:vertAlign w:val="superscript"/>
        </w:rPr>
        <w:footnoteReference w:id="1"/>
      </w:r>
      <w:r w:rsidR="00F379F0">
        <w:t xml:space="preserve"> </w:t>
      </w:r>
      <w:r w:rsidR="002776CA" w:rsidRPr="001B669F">
        <w:t xml:space="preserve"> According to Leighton’s 2021 Annual Report, the utility’s operating revenues were $28,105 and operating expenses were $45,069.</w:t>
      </w:r>
    </w:p>
    <w:p w:rsidR="002776CA" w:rsidRPr="001B669F" w:rsidRDefault="001B669F" w:rsidP="002776CA">
      <w:pPr>
        <w:spacing w:after="240"/>
        <w:jc w:val="both"/>
      </w:pPr>
      <w:r w:rsidRPr="001B669F">
        <w:tab/>
      </w:r>
      <w:r w:rsidR="002776CA" w:rsidRPr="001B669F">
        <w:t xml:space="preserve">On January 27, 2022, Leighton filed an application for a staff-assisted rate case and paid the appropriate filing fee on March 30, 2022. </w:t>
      </w:r>
      <w:r w:rsidR="00F379F0">
        <w:t xml:space="preserve"> </w:t>
      </w:r>
      <w:r w:rsidR="002776CA" w:rsidRPr="001B669F">
        <w:t>The official filing date was established as March 28, 2022, and the test year ended December 31, 2021.</w:t>
      </w:r>
      <w:r w:rsidR="00F379F0">
        <w:t xml:space="preserve"> </w:t>
      </w:r>
      <w:r w:rsidR="002776CA" w:rsidRPr="001B669F">
        <w:t xml:space="preserve"> A customer meeting was held on September 12, 2022. </w:t>
      </w:r>
      <w:r w:rsidR="00F379F0">
        <w:t xml:space="preserve"> </w:t>
      </w:r>
      <w:r w:rsidR="002776CA" w:rsidRPr="001B669F">
        <w:t xml:space="preserve">No customers provided comments during the meeting. </w:t>
      </w:r>
    </w:p>
    <w:p w:rsidR="005F2751" w:rsidRPr="001B669F" w:rsidRDefault="001B669F" w:rsidP="001B669F">
      <w:pPr>
        <w:jc w:val="both"/>
      </w:pPr>
      <w:r w:rsidRPr="001B669F">
        <w:tab/>
        <w:t>We have</w:t>
      </w:r>
      <w:r w:rsidR="002776CA" w:rsidRPr="001B669F">
        <w:t xml:space="preserve"> jurisdiction in this case pursuant to Sections 367.011, 367.081, 367.0812, 367.0814, 367.091, and 367.121, Florida Statutes (F.S.).</w:t>
      </w:r>
    </w:p>
    <w:p w:rsidR="002776CA" w:rsidRPr="001B669F" w:rsidRDefault="002776CA" w:rsidP="002776CA"/>
    <w:p w:rsidR="002776CA" w:rsidRPr="001B669F" w:rsidRDefault="001B669F" w:rsidP="002776CA">
      <w:pPr>
        <w:keepNext/>
        <w:spacing w:after="240"/>
        <w:jc w:val="center"/>
        <w:outlineLvl w:val="0"/>
        <w:rPr>
          <w:b/>
          <w:bCs/>
          <w:kern w:val="32"/>
          <w:szCs w:val="32"/>
        </w:rPr>
      </w:pPr>
      <w:bookmarkStart w:id="6" w:name="DiscussionOfIssues"/>
      <w:r w:rsidRPr="001B669F">
        <w:rPr>
          <w:b/>
          <w:bCs/>
          <w:kern w:val="32"/>
          <w:szCs w:val="32"/>
        </w:rPr>
        <w:t>Review and Decision</w:t>
      </w:r>
    </w:p>
    <w:bookmarkEnd w:id="6"/>
    <w:p w:rsidR="001B669F" w:rsidRPr="001B669F" w:rsidRDefault="001B669F" w:rsidP="002776CA">
      <w:pPr>
        <w:spacing w:after="240"/>
        <w:jc w:val="both"/>
        <w:outlineLvl w:val="1"/>
        <w:rPr>
          <w:bCs/>
          <w:kern w:val="32"/>
          <w:szCs w:val="32"/>
          <w:u w:val="single"/>
        </w:rPr>
      </w:pPr>
      <w:r>
        <w:rPr>
          <w:bCs/>
          <w:kern w:val="32"/>
          <w:szCs w:val="32"/>
          <w:u w:val="single"/>
        </w:rPr>
        <w:t>1. Quality of Service</w:t>
      </w:r>
    </w:p>
    <w:p w:rsidR="002776CA" w:rsidRDefault="001B669F" w:rsidP="002776CA">
      <w:pPr>
        <w:spacing w:after="240"/>
        <w:jc w:val="both"/>
      </w:pPr>
      <w:r>
        <w:rPr>
          <w:b/>
          <w:bCs/>
          <w:iCs/>
          <w:szCs w:val="28"/>
        </w:rPr>
        <w:tab/>
      </w:r>
      <w:r w:rsidR="002776CA" w:rsidRPr="001B669F">
        <w:t>Pursuant to S</w:t>
      </w:r>
      <w:r>
        <w:t>ubs</w:t>
      </w:r>
      <w:r w:rsidR="002776CA" w:rsidRPr="001B669F">
        <w:t xml:space="preserve">ection 367.081(2)(a), F.S., and Rule 25-30.433(1), Florida Administrative Code (F.A.C.), </w:t>
      </w:r>
      <w:r>
        <w:t xml:space="preserve">we </w:t>
      </w:r>
      <w:r w:rsidR="002776CA" w:rsidRPr="001B669F">
        <w:t xml:space="preserve">shall make a determination of the quality of service provided by the utility by evaluating the quality of the utility’s product (water) and the utility’s attempt to address customer satisfaction (water and wastewater). </w:t>
      </w:r>
      <w:r w:rsidR="00F379F0">
        <w:t xml:space="preserve"> </w:t>
      </w:r>
      <w:r w:rsidR="002776CA" w:rsidRPr="001B669F">
        <w:t xml:space="preserve">The Rule states that the most recent chemical analyses, outstanding citations, violations, and consent orders on file with the state’s </w:t>
      </w:r>
      <w:r>
        <w:t>Department of Environmental Protections (</w:t>
      </w:r>
      <w:r w:rsidR="002776CA" w:rsidRPr="001B669F">
        <w:t>DEP</w:t>
      </w:r>
      <w:r>
        <w:t>)</w:t>
      </w:r>
      <w:r w:rsidR="002776CA" w:rsidRPr="001B669F">
        <w:t xml:space="preserve"> and the county health departments, along with any DEP and county health department officials’ testimony concerning quality of service shall be considered. </w:t>
      </w:r>
      <w:r w:rsidR="00F379F0">
        <w:t xml:space="preserve"> </w:t>
      </w:r>
      <w:r w:rsidR="002776CA" w:rsidRPr="001B669F">
        <w:t xml:space="preserve">In addition, any customer testimony, comments, or complaints shall also be considered. </w:t>
      </w:r>
      <w:r w:rsidR="00F379F0">
        <w:t xml:space="preserve"> </w:t>
      </w:r>
      <w:r w:rsidR="002776CA" w:rsidRPr="001B669F">
        <w:t xml:space="preserve">The operating condition of the water system is addressed in </w:t>
      </w:r>
      <w:r>
        <w:t>Section</w:t>
      </w:r>
      <w:r w:rsidR="002776CA" w:rsidRPr="001B669F">
        <w:t xml:space="preserve"> 2.</w:t>
      </w:r>
    </w:p>
    <w:p w:rsidR="001B669F" w:rsidRPr="001B669F" w:rsidRDefault="001B669F" w:rsidP="001B669F">
      <w:pPr>
        <w:pStyle w:val="ListParagraph"/>
        <w:numPr>
          <w:ilvl w:val="0"/>
          <w:numId w:val="14"/>
        </w:numPr>
        <w:spacing w:after="240"/>
        <w:jc w:val="both"/>
        <w:rPr>
          <w:i/>
        </w:rPr>
      </w:pPr>
      <w:r>
        <w:rPr>
          <w:i/>
        </w:rPr>
        <w:t>Quality of Utility’s Product</w:t>
      </w:r>
    </w:p>
    <w:p w:rsidR="002776CA" w:rsidRDefault="000960A2" w:rsidP="002776CA">
      <w:pPr>
        <w:jc w:val="both"/>
      </w:pPr>
      <w:r>
        <w:rPr>
          <w:b/>
        </w:rPr>
        <w:tab/>
      </w:r>
      <w:r w:rsidR="002776CA" w:rsidRPr="001B669F">
        <w:t xml:space="preserve">In evaluating Leighton’s product quality, </w:t>
      </w:r>
      <w:r>
        <w:t>we reviewed the U</w:t>
      </w:r>
      <w:r w:rsidR="002776CA" w:rsidRPr="001B669F">
        <w:t xml:space="preserve">tility’s compliance with the DEP primary and secondary drinking water standards. </w:t>
      </w:r>
      <w:r w:rsidR="00F379F0">
        <w:t xml:space="preserve"> </w:t>
      </w:r>
      <w:r w:rsidR="002776CA" w:rsidRPr="001B669F">
        <w:t xml:space="preserve">Primary standards protect public health, while secondary standards regulate contaminants that may impact the taste, odor, and color of drinking water. </w:t>
      </w:r>
      <w:r w:rsidR="00F379F0">
        <w:t xml:space="preserve"> </w:t>
      </w:r>
      <w:r w:rsidR="002776CA" w:rsidRPr="001B669F">
        <w:t xml:space="preserve">The most recent chemical analyses were performed on June 16, 2021, and the results were in compliance with the DEP’s standards. </w:t>
      </w:r>
      <w:r w:rsidR="00F379F0">
        <w:t xml:space="preserve"> </w:t>
      </w:r>
      <w:r w:rsidR="002776CA" w:rsidRPr="001B669F">
        <w:t>These chemical analyses are performed every three years; therefore, the next scheduled analysis should be completed in 2024.</w:t>
      </w:r>
    </w:p>
    <w:p w:rsidR="000960A2" w:rsidRDefault="000960A2" w:rsidP="002776CA">
      <w:pPr>
        <w:jc w:val="both"/>
      </w:pPr>
    </w:p>
    <w:p w:rsidR="000960A2" w:rsidRPr="000960A2" w:rsidRDefault="000960A2" w:rsidP="000960A2">
      <w:pPr>
        <w:pStyle w:val="ListParagraph"/>
        <w:numPr>
          <w:ilvl w:val="0"/>
          <w:numId w:val="14"/>
        </w:numPr>
        <w:jc w:val="both"/>
        <w:rPr>
          <w:i/>
        </w:rPr>
      </w:pPr>
      <w:r>
        <w:rPr>
          <w:i/>
        </w:rPr>
        <w:t>The Utility’s Attempt to Address Customer Satisfaction</w:t>
      </w:r>
    </w:p>
    <w:p w:rsidR="002776CA" w:rsidRPr="001B669F" w:rsidRDefault="002776CA" w:rsidP="002776CA">
      <w:pPr>
        <w:jc w:val="both"/>
        <w:rPr>
          <w:b/>
        </w:rPr>
      </w:pPr>
    </w:p>
    <w:p w:rsidR="002776CA" w:rsidRDefault="000960A2" w:rsidP="002776CA">
      <w:pPr>
        <w:jc w:val="both"/>
      </w:pPr>
      <w:r>
        <w:rPr>
          <w:b/>
        </w:rPr>
        <w:tab/>
      </w:r>
      <w:r>
        <w:t>We</w:t>
      </w:r>
      <w:r w:rsidR="002776CA" w:rsidRPr="001B669F">
        <w:t xml:space="preserve"> reviewed the </w:t>
      </w:r>
      <w:r>
        <w:t xml:space="preserve">complaints filed in our </w:t>
      </w:r>
      <w:r w:rsidR="002776CA" w:rsidRPr="001B669F">
        <w:t xml:space="preserve">Consumer Activity Tracking System for the test year and four years prior and found that no complaints have been filed. </w:t>
      </w:r>
      <w:r w:rsidR="00F379F0">
        <w:t xml:space="preserve"> </w:t>
      </w:r>
      <w:r>
        <w:t>Also</w:t>
      </w:r>
      <w:r w:rsidR="002776CA" w:rsidRPr="001B669F">
        <w:t xml:space="preserve">, no customers attended the customer meeting held on September 12, 2022, and no customer correspondence has been filed in the docket as of November 15, 2022. </w:t>
      </w:r>
      <w:r w:rsidR="00F379F0">
        <w:t xml:space="preserve"> </w:t>
      </w:r>
      <w:r w:rsidR="002776CA" w:rsidRPr="001B669F">
        <w:t>Last</w:t>
      </w:r>
      <w:r>
        <w:t>ly</w:t>
      </w:r>
      <w:r w:rsidR="002776CA" w:rsidRPr="001B669F">
        <w:t>, the DEP and the utility have indicated that no customer complaints were received during the test year and four years prior.</w:t>
      </w:r>
    </w:p>
    <w:p w:rsidR="000960A2" w:rsidRDefault="000960A2" w:rsidP="002776CA">
      <w:pPr>
        <w:jc w:val="both"/>
      </w:pPr>
    </w:p>
    <w:p w:rsidR="000960A2" w:rsidRPr="000960A2" w:rsidRDefault="000960A2" w:rsidP="000960A2">
      <w:pPr>
        <w:pStyle w:val="ListParagraph"/>
        <w:numPr>
          <w:ilvl w:val="0"/>
          <w:numId w:val="14"/>
        </w:numPr>
        <w:jc w:val="both"/>
        <w:rPr>
          <w:i/>
        </w:rPr>
      </w:pPr>
      <w:r>
        <w:rPr>
          <w:i/>
        </w:rPr>
        <w:t>Conclusion</w:t>
      </w:r>
    </w:p>
    <w:p w:rsidR="000960A2" w:rsidRDefault="000960A2" w:rsidP="002776CA"/>
    <w:p w:rsidR="002776CA" w:rsidRDefault="000960A2" w:rsidP="000960A2">
      <w:pPr>
        <w:jc w:val="both"/>
        <w:rPr>
          <w:rFonts w:eastAsiaTheme="minorHAnsi"/>
          <w:szCs w:val="22"/>
        </w:rPr>
      </w:pPr>
      <w:r>
        <w:tab/>
        <w:t>Leighton</w:t>
      </w:r>
      <w:r w:rsidR="002776CA" w:rsidRPr="001B669F">
        <w:rPr>
          <w:rFonts w:eastAsiaTheme="minorHAnsi"/>
          <w:szCs w:val="22"/>
        </w:rPr>
        <w:t xml:space="preserve"> is passing all DEP primary and secondary standards and no customer complaints or comments have been received. </w:t>
      </w:r>
      <w:r w:rsidR="00F379F0">
        <w:rPr>
          <w:rFonts w:eastAsiaTheme="minorHAnsi"/>
          <w:szCs w:val="22"/>
        </w:rPr>
        <w:t xml:space="preserve"> </w:t>
      </w:r>
      <w:r w:rsidR="002776CA" w:rsidRPr="001B669F">
        <w:rPr>
          <w:rFonts w:eastAsiaTheme="minorHAnsi"/>
          <w:szCs w:val="22"/>
        </w:rPr>
        <w:t xml:space="preserve">Therefore, </w:t>
      </w:r>
      <w:r>
        <w:rPr>
          <w:rFonts w:eastAsiaTheme="minorHAnsi"/>
          <w:szCs w:val="22"/>
        </w:rPr>
        <w:t>we consider the quality of service provided by Leighton to be satisfactory.</w:t>
      </w:r>
    </w:p>
    <w:p w:rsidR="000960A2" w:rsidRDefault="000960A2" w:rsidP="000960A2">
      <w:pPr>
        <w:jc w:val="both"/>
        <w:rPr>
          <w:rFonts w:eastAsiaTheme="minorHAnsi"/>
          <w:szCs w:val="22"/>
        </w:rPr>
      </w:pPr>
    </w:p>
    <w:p w:rsidR="000960A2" w:rsidRPr="000960A2" w:rsidRDefault="000960A2" w:rsidP="000960A2">
      <w:pPr>
        <w:jc w:val="both"/>
        <w:rPr>
          <w:rFonts w:eastAsiaTheme="minorHAnsi"/>
          <w:szCs w:val="22"/>
          <w:u w:val="single"/>
        </w:rPr>
      </w:pPr>
      <w:r>
        <w:rPr>
          <w:rFonts w:eastAsiaTheme="minorHAnsi"/>
          <w:szCs w:val="22"/>
          <w:u w:val="single"/>
        </w:rPr>
        <w:t>2. Infrastructure and Operating Conditions</w:t>
      </w:r>
    </w:p>
    <w:p w:rsidR="002776CA" w:rsidRPr="001B669F" w:rsidRDefault="002776CA" w:rsidP="002776CA">
      <w:pPr>
        <w:rPr>
          <w:rFonts w:eastAsiaTheme="minorHAnsi"/>
          <w:szCs w:val="22"/>
        </w:rPr>
      </w:pPr>
    </w:p>
    <w:p w:rsidR="002776CA" w:rsidRDefault="000960A2" w:rsidP="002776CA">
      <w:pPr>
        <w:jc w:val="both"/>
        <w:rPr>
          <w:rFonts w:eastAsiaTheme="minorHAnsi"/>
          <w:szCs w:val="22"/>
        </w:rPr>
      </w:pPr>
      <w:r>
        <w:rPr>
          <w:b/>
          <w:bCs/>
          <w:i/>
          <w:kern w:val="32"/>
          <w:szCs w:val="32"/>
        </w:rPr>
        <w:tab/>
      </w:r>
      <w:r w:rsidR="002776CA" w:rsidRPr="001B669F">
        <w:rPr>
          <w:rFonts w:eastAsiaTheme="minorHAnsi"/>
          <w:szCs w:val="22"/>
        </w:rPr>
        <w:t xml:space="preserve">Rule 25-30.225, F.A.C., requires that each water utility shall operate and maintain its plant and facilities by employing qualified operators in accordance with the rules of the DEP in order to provide safe and efficient service up to and including the point of delivery into the piping owned by the customer. </w:t>
      </w:r>
      <w:r w:rsidR="00F379F0">
        <w:rPr>
          <w:rFonts w:eastAsiaTheme="minorHAnsi"/>
          <w:szCs w:val="22"/>
        </w:rPr>
        <w:t xml:space="preserve"> </w:t>
      </w:r>
      <w:r w:rsidR="002776CA" w:rsidRPr="001B669F">
        <w:rPr>
          <w:rFonts w:eastAsiaTheme="minorHAnsi"/>
          <w:szCs w:val="22"/>
        </w:rPr>
        <w:t xml:space="preserve">During a rate making proceeding, Rule 25-30.433(2), F.A.C., requires consideration of whether the infrastructure and operating conditions of the plant and facilities are in compliance with Rule 25- 30.225, F.A.C. </w:t>
      </w:r>
      <w:r w:rsidR="00F379F0">
        <w:rPr>
          <w:rFonts w:eastAsiaTheme="minorHAnsi"/>
          <w:szCs w:val="22"/>
        </w:rPr>
        <w:t xml:space="preserve"> </w:t>
      </w:r>
      <w:r w:rsidR="002776CA" w:rsidRPr="001B669F">
        <w:rPr>
          <w:rFonts w:eastAsiaTheme="minorHAnsi"/>
          <w:szCs w:val="22"/>
        </w:rPr>
        <w:t xml:space="preserve">In making this determination, </w:t>
      </w:r>
      <w:r>
        <w:rPr>
          <w:rFonts w:eastAsiaTheme="minorHAnsi"/>
          <w:szCs w:val="22"/>
        </w:rPr>
        <w:t>we</w:t>
      </w:r>
      <w:r w:rsidR="002776CA" w:rsidRPr="001B669F">
        <w:rPr>
          <w:rFonts w:eastAsiaTheme="minorHAnsi"/>
          <w:szCs w:val="22"/>
        </w:rPr>
        <w:t xml:space="preserve">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 </w:t>
      </w:r>
    </w:p>
    <w:p w:rsidR="000960A2" w:rsidRDefault="000960A2" w:rsidP="002776CA">
      <w:pPr>
        <w:jc w:val="both"/>
        <w:rPr>
          <w:rFonts w:eastAsiaTheme="minorHAnsi"/>
          <w:szCs w:val="22"/>
        </w:rPr>
      </w:pPr>
    </w:p>
    <w:p w:rsidR="000960A2" w:rsidRPr="000960A2" w:rsidRDefault="000960A2" w:rsidP="000960A2">
      <w:pPr>
        <w:pStyle w:val="ListParagraph"/>
        <w:numPr>
          <w:ilvl w:val="0"/>
          <w:numId w:val="15"/>
        </w:numPr>
        <w:jc w:val="both"/>
        <w:rPr>
          <w:rFonts w:eastAsiaTheme="minorHAnsi"/>
          <w:i/>
          <w:szCs w:val="22"/>
        </w:rPr>
      </w:pPr>
      <w:r>
        <w:rPr>
          <w:rFonts w:eastAsiaTheme="minorHAnsi"/>
          <w:i/>
          <w:szCs w:val="22"/>
        </w:rPr>
        <w:t>Water System Operating Conditions</w:t>
      </w:r>
    </w:p>
    <w:p w:rsidR="002776CA" w:rsidRPr="001B669F" w:rsidRDefault="002776CA" w:rsidP="002776CA">
      <w:pPr>
        <w:jc w:val="both"/>
        <w:rPr>
          <w:rFonts w:eastAsiaTheme="minorHAnsi"/>
          <w:szCs w:val="22"/>
        </w:rPr>
      </w:pPr>
    </w:p>
    <w:p w:rsidR="002776CA" w:rsidRDefault="000960A2" w:rsidP="002776CA">
      <w:pPr>
        <w:jc w:val="both"/>
        <w:rPr>
          <w:rFonts w:eastAsiaTheme="minorHAnsi"/>
          <w:szCs w:val="22"/>
        </w:rPr>
      </w:pPr>
      <w:r>
        <w:rPr>
          <w:rFonts w:eastAsiaTheme="minorHAnsi"/>
          <w:b/>
          <w:szCs w:val="22"/>
        </w:rPr>
        <w:tab/>
      </w:r>
      <w:r w:rsidR="002776CA" w:rsidRPr="001B669F">
        <w:rPr>
          <w:rFonts w:eastAsiaTheme="minorHAnsi"/>
          <w:szCs w:val="22"/>
        </w:rPr>
        <w:t>Leighton’s water system has a permitted design capacity of 65,</w:t>
      </w:r>
      <w:r>
        <w:rPr>
          <w:rFonts w:eastAsiaTheme="minorHAnsi"/>
          <w:szCs w:val="22"/>
        </w:rPr>
        <w:t>800 gallons per day (gpd). The U</w:t>
      </w:r>
      <w:r w:rsidR="002776CA" w:rsidRPr="001B669F">
        <w:rPr>
          <w:rFonts w:eastAsiaTheme="minorHAnsi"/>
          <w:szCs w:val="22"/>
        </w:rPr>
        <w:t xml:space="preserve">tility’s water system is supplied by one well with a rated pumping capacity of 96 gallons per minute (gpm). </w:t>
      </w:r>
      <w:r w:rsidR="00F379F0">
        <w:rPr>
          <w:rFonts w:eastAsiaTheme="minorHAnsi"/>
          <w:szCs w:val="22"/>
        </w:rPr>
        <w:t xml:space="preserve"> </w:t>
      </w:r>
      <w:r w:rsidR="002776CA" w:rsidRPr="001B669F">
        <w:rPr>
          <w:rFonts w:eastAsiaTheme="minorHAnsi"/>
          <w:szCs w:val="22"/>
        </w:rPr>
        <w:t xml:space="preserve">The treated water is pumped into a 5,000 gallon hydropneumatic storage tank before entering the distribution system. </w:t>
      </w:r>
      <w:r w:rsidR="00F379F0">
        <w:rPr>
          <w:rFonts w:eastAsiaTheme="minorHAnsi"/>
          <w:szCs w:val="22"/>
        </w:rPr>
        <w:t xml:space="preserve"> </w:t>
      </w:r>
      <w:r w:rsidR="002776CA" w:rsidRPr="001B669F">
        <w:rPr>
          <w:rFonts w:eastAsiaTheme="minorHAnsi"/>
          <w:szCs w:val="22"/>
        </w:rPr>
        <w:t xml:space="preserve">The hydropneumatic tank passed inspection on June 24, 2020. </w:t>
      </w:r>
      <w:r w:rsidR="00F379F0">
        <w:rPr>
          <w:rFonts w:eastAsiaTheme="minorHAnsi"/>
          <w:szCs w:val="22"/>
        </w:rPr>
        <w:t xml:space="preserve"> </w:t>
      </w:r>
      <w:r>
        <w:rPr>
          <w:rFonts w:eastAsiaTheme="minorHAnsi"/>
          <w:szCs w:val="22"/>
        </w:rPr>
        <w:t>We</w:t>
      </w:r>
      <w:r w:rsidR="002776CA" w:rsidRPr="001B669F">
        <w:rPr>
          <w:rFonts w:eastAsiaTheme="minorHAnsi"/>
          <w:szCs w:val="22"/>
        </w:rPr>
        <w:t xml:space="preserve"> reviewed the Sanitary Survey conducted by the DEP on September 11, 2020. </w:t>
      </w:r>
      <w:r w:rsidR="00F379F0">
        <w:rPr>
          <w:rFonts w:eastAsiaTheme="minorHAnsi"/>
          <w:szCs w:val="22"/>
        </w:rPr>
        <w:t xml:space="preserve"> </w:t>
      </w:r>
      <w:r w:rsidR="002776CA" w:rsidRPr="001B669F">
        <w:rPr>
          <w:rFonts w:eastAsiaTheme="minorHAnsi"/>
          <w:szCs w:val="22"/>
        </w:rPr>
        <w:t xml:space="preserve">The water treatment plant (WTP) was in compliance with no deficiencies indicated. </w:t>
      </w:r>
      <w:r w:rsidR="00F379F0">
        <w:rPr>
          <w:rFonts w:eastAsiaTheme="minorHAnsi"/>
          <w:szCs w:val="22"/>
        </w:rPr>
        <w:t xml:space="preserve"> </w:t>
      </w:r>
      <w:r>
        <w:rPr>
          <w:rFonts w:eastAsiaTheme="minorHAnsi"/>
          <w:szCs w:val="22"/>
        </w:rPr>
        <w:t>We</w:t>
      </w:r>
      <w:r w:rsidR="002776CA" w:rsidRPr="001B669F">
        <w:rPr>
          <w:rFonts w:eastAsiaTheme="minorHAnsi"/>
          <w:szCs w:val="22"/>
        </w:rPr>
        <w:t xml:space="preserve"> did not find any warning letters o</w:t>
      </w:r>
      <w:r>
        <w:rPr>
          <w:rFonts w:eastAsiaTheme="minorHAnsi"/>
          <w:szCs w:val="22"/>
        </w:rPr>
        <w:t>r consent orders issued to the U</w:t>
      </w:r>
      <w:r w:rsidR="002776CA" w:rsidRPr="001B669F">
        <w:rPr>
          <w:rFonts w:eastAsiaTheme="minorHAnsi"/>
          <w:szCs w:val="22"/>
        </w:rPr>
        <w:t xml:space="preserve">tility. </w:t>
      </w:r>
      <w:r w:rsidR="00F379F0">
        <w:rPr>
          <w:rFonts w:eastAsiaTheme="minorHAnsi"/>
          <w:szCs w:val="22"/>
        </w:rPr>
        <w:t xml:space="preserve"> </w:t>
      </w:r>
      <w:r w:rsidR="002776CA" w:rsidRPr="001B669F">
        <w:rPr>
          <w:rFonts w:eastAsiaTheme="minorHAnsi"/>
          <w:szCs w:val="22"/>
        </w:rPr>
        <w:t>The DEP usually conducts inspections on three-year intervals and the next should occur in 2023.</w:t>
      </w:r>
    </w:p>
    <w:p w:rsidR="000960A2" w:rsidRDefault="000960A2" w:rsidP="002776CA">
      <w:pPr>
        <w:jc w:val="both"/>
        <w:rPr>
          <w:rFonts w:eastAsiaTheme="minorHAnsi"/>
          <w:szCs w:val="22"/>
        </w:rPr>
      </w:pPr>
    </w:p>
    <w:p w:rsidR="000960A2" w:rsidRPr="000960A2" w:rsidRDefault="000960A2" w:rsidP="000960A2">
      <w:pPr>
        <w:pStyle w:val="ListParagraph"/>
        <w:numPr>
          <w:ilvl w:val="0"/>
          <w:numId w:val="15"/>
        </w:numPr>
        <w:jc w:val="both"/>
        <w:rPr>
          <w:rFonts w:eastAsiaTheme="minorHAnsi"/>
          <w:i/>
          <w:szCs w:val="22"/>
        </w:rPr>
      </w:pPr>
      <w:r>
        <w:rPr>
          <w:rFonts w:eastAsiaTheme="minorHAnsi"/>
          <w:i/>
          <w:szCs w:val="22"/>
        </w:rPr>
        <w:t>Conclusions</w:t>
      </w:r>
    </w:p>
    <w:p w:rsidR="000960A2" w:rsidRDefault="000960A2" w:rsidP="002776CA">
      <w:pPr>
        <w:rPr>
          <w:rFonts w:eastAsiaTheme="minorHAnsi"/>
          <w:szCs w:val="22"/>
        </w:rPr>
      </w:pPr>
    </w:p>
    <w:p w:rsidR="002776CA" w:rsidRDefault="000960A2" w:rsidP="002776CA">
      <w:pPr>
        <w:rPr>
          <w:rFonts w:eastAsiaTheme="minorHAnsi"/>
          <w:szCs w:val="22"/>
        </w:rPr>
      </w:pPr>
      <w:r>
        <w:rPr>
          <w:rFonts w:eastAsiaTheme="minorHAnsi"/>
          <w:szCs w:val="22"/>
        </w:rPr>
        <w:tab/>
      </w:r>
      <w:r w:rsidR="002776CA" w:rsidRPr="001B669F">
        <w:rPr>
          <w:rFonts w:eastAsiaTheme="minorHAnsi"/>
          <w:szCs w:val="22"/>
        </w:rPr>
        <w:t>Leighton’s water system is currently in compliance with DEP regulations.</w:t>
      </w:r>
    </w:p>
    <w:p w:rsidR="000960A2" w:rsidRDefault="000960A2" w:rsidP="002776CA">
      <w:pPr>
        <w:rPr>
          <w:rFonts w:eastAsiaTheme="minorHAnsi"/>
          <w:szCs w:val="22"/>
        </w:rPr>
      </w:pPr>
    </w:p>
    <w:p w:rsidR="000960A2" w:rsidRPr="000960A2" w:rsidRDefault="000960A2" w:rsidP="002776CA">
      <w:pPr>
        <w:rPr>
          <w:rFonts w:eastAsiaTheme="minorHAnsi"/>
          <w:szCs w:val="22"/>
          <w:u w:val="single"/>
        </w:rPr>
      </w:pPr>
      <w:r>
        <w:rPr>
          <w:rFonts w:eastAsiaTheme="minorHAnsi"/>
          <w:szCs w:val="22"/>
          <w:u w:val="single"/>
        </w:rPr>
        <w:t>3. Used and Useful (U&amp;U)</w:t>
      </w:r>
    </w:p>
    <w:p w:rsidR="002776CA" w:rsidRPr="001B669F" w:rsidRDefault="002776CA" w:rsidP="002776CA">
      <w:pPr>
        <w:rPr>
          <w:rFonts w:eastAsiaTheme="minorHAnsi"/>
          <w:szCs w:val="22"/>
        </w:rPr>
      </w:pPr>
    </w:p>
    <w:p w:rsidR="002776CA" w:rsidRDefault="00867CA8" w:rsidP="002776CA">
      <w:pPr>
        <w:jc w:val="both"/>
        <w:rPr>
          <w:rFonts w:eastAsiaTheme="minorHAnsi"/>
          <w:szCs w:val="22"/>
        </w:rPr>
      </w:pPr>
      <w:r>
        <w:tab/>
      </w:r>
      <w:r w:rsidR="002776CA" w:rsidRPr="001B669F">
        <w:rPr>
          <w:rFonts w:eastAsiaTheme="minorHAnsi"/>
          <w:szCs w:val="22"/>
        </w:rPr>
        <w:t xml:space="preserve">Leighton’s WTP consists of one well with a rated pumping capacity of 96 gpm. </w:t>
      </w:r>
      <w:r w:rsidR="00F379F0">
        <w:rPr>
          <w:rFonts w:eastAsiaTheme="minorHAnsi"/>
          <w:szCs w:val="22"/>
        </w:rPr>
        <w:t xml:space="preserve"> </w:t>
      </w:r>
      <w:r w:rsidR="002776CA" w:rsidRPr="001B669F">
        <w:rPr>
          <w:rFonts w:eastAsiaTheme="minorHAnsi"/>
          <w:szCs w:val="22"/>
        </w:rPr>
        <w:t xml:space="preserve">The utility’s water system does not have a storage tank, but has one hydropneumatic tank totaling 5,000 gallons in capacity. </w:t>
      </w:r>
      <w:r w:rsidR="00F379F0">
        <w:rPr>
          <w:rFonts w:eastAsiaTheme="minorHAnsi"/>
          <w:szCs w:val="22"/>
        </w:rPr>
        <w:t xml:space="preserve"> </w:t>
      </w:r>
      <w:r w:rsidR="002776CA" w:rsidRPr="001B669F">
        <w:rPr>
          <w:rFonts w:eastAsiaTheme="minorHAnsi"/>
          <w:szCs w:val="22"/>
        </w:rPr>
        <w:t xml:space="preserve">The distribution system is composed of approximately 3,520 feet of 2 inch and 4,000 feet of 4 inch polyvinyl chloride pipes. </w:t>
      </w:r>
    </w:p>
    <w:p w:rsidR="00867CA8" w:rsidRDefault="00867CA8" w:rsidP="002776CA">
      <w:pPr>
        <w:jc w:val="both"/>
        <w:rPr>
          <w:rFonts w:eastAsiaTheme="minorHAnsi"/>
          <w:szCs w:val="22"/>
        </w:rPr>
      </w:pPr>
    </w:p>
    <w:p w:rsidR="00867CA8" w:rsidRPr="00867CA8" w:rsidRDefault="00867CA8" w:rsidP="00867CA8">
      <w:pPr>
        <w:pStyle w:val="ListParagraph"/>
        <w:numPr>
          <w:ilvl w:val="0"/>
          <w:numId w:val="16"/>
        </w:numPr>
        <w:jc w:val="both"/>
        <w:rPr>
          <w:rFonts w:eastAsiaTheme="minorHAnsi"/>
          <w:i/>
          <w:szCs w:val="22"/>
        </w:rPr>
      </w:pPr>
      <w:r>
        <w:rPr>
          <w:rFonts w:eastAsiaTheme="minorHAnsi"/>
          <w:i/>
          <w:szCs w:val="22"/>
        </w:rPr>
        <w:t>Used and Useful Percentages</w:t>
      </w:r>
    </w:p>
    <w:p w:rsidR="002776CA" w:rsidRPr="001B669F" w:rsidRDefault="002776CA" w:rsidP="002776CA">
      <w:pPr>
        <w:jc w:val="both"/>
        <w:rPr>
          <w:rFonts w:eastAsiaTheme="minorHAnsi"/>
          <w:szCs w:val="22"/>
        </w:rPr>
      </w:pPr>
    </w:p>
    <w:p w:rsidR="002776CA" w:rsidRDefault="00867CA8" w:rsidP="002776CA">
      <w:pPr>
        <w:jc w:val="both"/>
        <w:rPr>
          <w:rFonts w:eastAsiaTheme="minorHAnsi"/>
          <w:szCs w:val="22"/>
        </w:rPr>
      </w:pPr>
      <w:r>
        <w:rPr>
          <w:rFonts w:eastAsiaTheme="minorHAnsi"/>
          <w:b/>
          <w:szCs w:val="22"/>
        </w:rPr>
        <w:tab/>
      </w:r>
      <w:r>
        <w:rPr>
          <w:rFonts w:eastAsiaTheme="minorHAnsi"/>
          <w:szCs w:val="22"/>
        </w:rPr>
        <w:t>Rule 25-30.4325</w:t>
      </w:r>
      <w:r w:rsidR="002776CA" w:rsidRPr="001B669F">
        <w:rPr>
          <w:rFonts w:eastAsiaTheme="minorHAnsi"/>
          <w:szCs w:val="22"/>
        </w:rPr>
        <w:t xml:space="preserve">, F.A.C., states that a water treatment system is considered 100 percent used and useful if the service territory the system is designed to serve is built out and there is no apparent potential for expansion of the service territory or the system is served by a single well. </w:t>
      </w:r>
      <w:r w:rsidR="00F379F0">
        <w:rPr>
          <w:rFonts w:eastAsiaTheme="minorHAnsi"/>
          <w:szCs w:val="22"/>
        </w:rPr>
        <w:t xml:space="preserve"> </w:t>
      </w:r>
      <w:r w:rsidR="002776CA" w:rsidRPr="001B669F">
        <w:rPr>
          <w:rFonts w:eastAsiaTheme="minorHAnsi"/>
          <w:szCs w:val="22"/>
        </w:rPr>
        <w:t xml:space="preserve">Leighton is served by a single well and therefore, Leighton’s WTP </w:t>
      </w:r>
      <w:r>
        <w:rPr>
          <w:rFonts w:eastAsiaTheme="minorHAnsi"/>
          <w:szCs w:val="22"/>
        </w:rPr>
        <w:t>shall</w:t>
      </w:r>
      <w:r w:rsidR="002776CA" w:rsidRPr="001B669F">
        <w:rPr>
          <w:rFonts w:eastAsiaTheme="minorHAnsi"/>
          <w:szCs w:val="22"/>
        </w:rPr>
        <w:t xml:space="preserve"> be considered 100 percent U&amp;U. </w:t>
      </w:r>
    </w:p>
    <w:p w:rsidR="00867CA8" w:rsidRDefault="00867CA8" w:rsidP="002776CA">
      <w:pPr>
        <w:jc w:val="both"/>
        <w:rPr>
          <w:rFonts w:eastAsiaTheme="minorHAnsi"/>
          <w:szCs w:val="22"/>
        </w:rPr>
      </w:pPr>
    </w:p>
    <w:p w:rsidR="00867CA8" w:rsidRPr="00867CA8" w:rsidRDefault="00867CA8" w:rsidP="00867CA8">
      <w:pPr>
        <w:pStyle w:val="ListParagraph"/>
        <w:numPr>
          <w:ilvl w:val="0"/>
          <w:numId w:val="16"/>
        </w:numPr>
        <w:jc w:val="both"/>
        <w:rPr>
          <w:rFonts w:eastAsiaTheme="minorHAnsi"/>
          <w:i/>
          <w:szCs w:val="22"/>
        </w:rPr>
      </w:pPr>
      <w:r>
        <w:rPr>
          <w:rFonts w:eastAsiaTheme="minorHAnsi"/>
          <w:i/>
          <w:szCs w:val="22"/>
        </w:rPr>
        <w:t>Water Distribution System Used and Useful</w:t>
      </w:r>
    </w:p>
    <w:p w:rsidR="00867CA8" w:rsidRDefault="00867CA8" w:rsidP="002776CA">
      <w:pPr>
        <w:jc w:val="both"/>
        <w:rPr>
          <w:rFonts w:eastAsiaTheme="minorHAnsi"/>
          <w:szCs w:val="22"/>
        </w:rPr>
      </w:pPr>
    </w:p>
    <w:p w:rsidR="002776CA" w:rsidRPr="001B669F" w:rsidRDefault="00867CA8" w:rsidP="002776CA">
      <w:pPr>
        <w:jc w:val="both"/>
        <w:rPr>
          <w:rFonts w:eastAsiaTheme="minorHAnsi"/>
          <w:szCs w:val="22"/>
        </w:rPr>
      </w:pPr>
      <w:r>
        <w:rPr>
          <w:rFonts w:eastAsiaTheme="minorHAnsi"/>
          <w:szCs w:val="22"/>
        </w:rPr>
        <w:tab/>
        <w:t>The U</w:t>
      </w:r>
      <w:r w:rsidR="002776CA" w:rsidRPr="001B669F">
        <w:rPr>
          <w:rFonts w:eastAsiaTheme="minorHAnsi"/>
          <w:szCs w:val="22"/>
        </w:rPr>
        <w:t>tility’s service area originally consisted of 22 duplexes, approximately 96 homes on private wells, and additional vacant lots in the Leighton Estates subdivision located in Ocala.</w:t>
      </w:r>
      <w:r w:rsidR="002776CA" w:rsidRPr="001B669F">
        <w:rPr>
          <w:rFonts w:eastAsiaTheme="minorHAnsi"/>
          <w:szCs w:val="22"/>
          <w:vertAlign w:val="superscript"/>
        </w:rPr>
        <w:footnoteReference w:id="2"/>
      </w:r>
      <w:r w:rsidR="002776CA" w:rsidRPr="001B669F">
        <w:rPr>
          <w:rFonts w:eastAsiaTheme="minorHAnsi"/>
          <w:szCs w:val="22"/>
        </w:rPr>
        <w:t xml:space="preserve"> </w:t>
      </w:r>
      <w:r w:rsidR="00F379F0">
        <w:rPr>
          <w:rFonts w:eastAsiaTheme="minorHAnsi"/>
          <w:szCs w:val="22"/>
        </w:rPr>
        <w:t xml:space="preserve"> </w:t>
      </w:r>
      <w:r w:rsidR="002776CA" w:rsidRPr="001B669F">
        <w:rPr>
          <w:rFonts w:eastAsiaTheme="minorHAnsi"/>
          <w:szCs w:val="22"/>
        </w:rPr>
        <w:t>During the test year, 80 residential cust</w:t>
      </w:r>
      <w:r>
        <w:rPr>
          <w:rFonts w:eastAsiaTheme="minorHAnsi"/>
          <w:szCs w:val="22"/>
        </w:rPr>
        <w:t>omers were being served by the U</w:t>
      </w:r>
      <w:r w:rsidR="002776CA" w:rsidRPr="001B669F">
        <w:rPr>
          <w:rFonts w:eastAsiaTheme="minorHAnsi"/>
          <w:szCs w:val="22"/>
        </w:rPr>
        <w:t xml:space="preserve">tility. </w:t>
      </w:r>
      <w:r w:rsidR="00F379F0">
        <w:rPr>
          <w:rFonts w:eastAsiaTheme="minorHAnsi"/>
          <w:szCs w:val="22"/>
        </w:rPr>
        <w:t xml:space="preserve"> </w:t>
      </w:r>
      <w:r w:rsidR="002776CA" w:rsidRPr="001B669F">
        <w:rPr>
          <w:rFonts w:eastAsiaTheme="minorHAnsi"/>
          <w:szCs w:val="22"/>
        </w:rPr>
        <w:t>At the time Leighton Estates was developed, Marion County required that new private wells could not be constructed unless the homes were on five acre tracts or the wells were owned by a permitte</w:t>
      </w:r>
      <w:r>
        <w:rPr>
          <w:rFonts w:eastAsiaTheme="minorHAnsi"/>
          <w:szCs w:val="22"/>
        </w:rPr>
        <w:t xml:space="preserve">d water system. </w:t>
      </w:r>
      <w:r w:rsidR="00F379F0">
        <w:rPr>
          <w:rFonts w:eastAsiaTheme="minorHAnsi"/>
          <w:szCs w:val="22"/>
        </w:rPr>
        <w:t xml:space="preserve"> </w:t>
      </w:r>
      <w:r>
        <w:rPr>
          <w:rFonts w:eastAsiaTheme="minorHAnsi"/>
          <w:szCs w:val="22"/>
        </w:rPr>
        <w:t>Therefore, the U</w:t>
      </w:r>
      <w:r w:rsidR="002776CA" w:rsidRPr="001B669F">
        <w:rPr>
          <w:rFonts w:eastAsiaTheme="minorHAnsi"/>
          <w:szCs w:val="22"/>
        </w:rPr>
        <w:t xml:space="preserve">tility was issued a special use permit for the construction of a community water system on 4.49 acres and the system was constructed in January 2005. </w:t>
      </w:r>
    </w:p>
    <w:p w:rsidR="002776CA" w:rsidRPr="001B669F" w:rsidRDefault="002776CA" w:rsidP="002776CA">
      <w:pPr>
        <w:jc w:val="both"/>
        <w:rPr>
          <w:rFonts w:eastAsiaTheme="minorHAnsi"/>
          <w:szCs w:val="22"/>
        </w:rPr>
      </w:pPr>
    </w:p>
    <w:p w:rsidR="002776CA" w:rsidRPr="001B669F" w:rsidRDefault="00867CA8" w:rsidP="002776CA">
      <w:pPr>
        <w:jc w:val="both"/>
        <w:rPr>
          <w:rFonts w:eastAsiaTheme="minorHAnsi"/>
          <w:szCs w:val="22"/>
        </w:rPr>
      </w:pPr>
      <w:r>
        <w:rPr>
          <w:rFonts w:eastAsiaTheme="minorHAnsi"/>
          <w:szCs w:val="22"/>
        </w:rPr>
        <w:tab/>
      </w:r>
      <w:r w:rsidR="002776CA" w:rsidRPr="001B669F">
        <w:rPr>
          <w:rFonts w:eastAsiaTheme="minorHAnsi"/>
          <w:szCs w:val="22"/>
        </w:rPr>
        <w:t xml:space="preserve">Based on </w:t>
      </w:r>
      <w:r>
        <w:rPr>
          <w:rFonts w:eastAsiaTheme="minorHAnsi"/>
          <w:szCs w:val="22"/>
        </w:rPr>
        <w:t>our</w:t>
      </w:r>
      <w:r w:rsidR="002776CA" w:rsidRPr="001B669F">
        <w:rPr>
          <w:rFonts w:eastAsiaTheme="minorHAnsi"/>
          <w:szCs w:val="22"/>
        </w:rPr>
        <w:t xml:space="preserve"> review, it does not appear that a U&amp;U percentage was </w:t>
      </w:r>
      <w:r>
        <w:rPr>
          <w:rFonts w:eastAsiaTheme="minorHAnsi"/>
          <w:szCs w:val="22"/>
        </w:rPr>
        <w:t>previously established for the U</w:t>
      </w:r>
      <w:r w:rsidR="002776CA" w:rsidRPr="001B669F">
        <w:rPr>
          <w:rFonts w:eastAsiaTheme="minorHAnsi"/>
          <w:szCs w:val="22"/>
        </w:rPr>
        <w:t xml:space="preserve">tility. </w:t>
      </w:r>
      <w:r w:rsidR="00F379F0">
        <w:rPr>
          <w:rFonts w:eastAsiaTheme="minorHAnsi"/>
          <w:szCs w:val="22"/>
        </w:rPr>
        <w:t xml:space="preserve"> </w:t>
      </w:r>
      <w:r w:rsidR="002776CA" w:rsidRPr="001B669F">
        <w:rPr>
          <w:rFonts w:eastAsiaTheme="minorHAnsi"/>
          <w:szCs w:val="22"/>
        </w:rPr>
        <w:t>The distribution system has been extended since the utility was granted its certificate, and presently serves 80 customer</w:t>
      </w:r>
      <w:r>
        <w:rPr>
          <w:rFonts w:eastAsiaTheme="minorHAnsi"/>
          <w:szCs w:val="22"/>
        </w:rPr>
        <w:t>s. Information provided by the U</w:t>
      </w:r>
      <w:r w:rsidR="002776CA" w:rsidRPr="001B669F">
        <w:rPr>
          <w:rFonts w:eastAsiaTheme="minorHAnsi"/>
          <w:szCs w:val="22"/>
        </w:rPr>
        <w:t xml:space="preserve">tility stated 18 existing homes with private wells and 16 vacant </w:t>
      </w:r>
      <w:r>
        <w:rPr>
          <w:rFonts w:eastAsiaTheme="minorHAnsi"/>
          <w:szCs w:val="22"/>
        </w:rPr>
        <w:t>lots can also be served by the U</w:t>
      </w:r>
      <w:r w:rsidR="002776CA" w:rsidRPr="001B669F">
        <w:rPr>
          <w:rFonts w:eastAsiaTheme="minorHAnsi"/>
          <w:szCs w:val="22"/>
        </w:rPr>
        <w:t xml:space="preserve">tility’s current distribution system. </w:t>
      </w:r>
      <w:r w:rsidR="00F379F0">
        <w:rPr>
          <w:rFonts w:eastAsiaTheme="minorHAnsi"/>
          <w:szCs w:val="22"/>
        </w:rPr>
        <w:t xml:space="preserve"> </w:t>
      </w:r>
      <w:r w:rsidR="002776CA" w:rsidRPr="001B669F">
        <w:rPr>
          <w:rFonts w:eastAsiaTheme="minorHAnsi"/>
          <w:szCs w:val="22"/>
        </w:rPr>
        <w:t>However, these homeowners and vacant lot owners are not req</w:t>
      </w:r>
      <w:r>
        <w:rPr>
          <w:rFonts w:eastAsiaTheme="minorHAnsi"/>
          <w:szCs w:val="22"/>
        </w:rPr>
        <w:t>uired to take service from the U</w:t>
      </w:r>
      <w:r w:rsidR="002776CA" w:rsidRPr="001B669F">
        <w:rPr>
          <w:rFonts w:eastAsiaTheme="minorHAnsi"/>
          <w:szCs w:val="22"/>
        </w:rPr>
        <w:t xml:space="preserve">tility. </w:t>
      </w:r>
      <w:r w:rsidR="00F379F0">
        <w:rPr>
          <w:rFonts w:eastAsiaTheme="minorHAnsi"/>
          <w:szCs w:val="22"/>
        </w:rPr>
        <w:t xml:space="preserve"> </w:t>
      </w:r>
      <w:r w:rsidR="002776CA" w:rsidRPr="001B669F">
        <w:rPr>
          <w:rFonts w:eastAsiaTheme="minorHAnsi"/>
          <w:szCs w:val="22"/>
        </w:rPr>
        <w:t xml:space="preserve">Therefore, the distribution system can be considered built out. </w:t>
      </w:r>
      <w:r w:rsidR="00F379F0">
        <w:rPr>
          <w:rFonts w:eastAsiaTheme="minorHAnsi"/>
          <w:szCs w:val="22"/>
        </w:rPr>
        <w:t xml:space="preserve"> </w:t>
      </w:r>
      <w:r w:rsidR="002776CA" w:rsidRPr="001B669F">
        <w:rPr>
          <w:rFonts w:eastAsiaTheme="minorHAnsi"/>
          <w:szCs w:val="22"/>
        </w:rPr>
        <w:t xml:space="preserve">Based on these circumstances, the water distribution system </w:t>
      </w:r>
      <w:r>
        <w:rPr>
          <w:rFonts w:eastAsiaTheme="minorHAnsi"/>
          <w:szCs w:val="22"/>
        </w:rPr>
        <w:t>shall</w:t>
      </w:r>
      <w:r w:rsidR="002776CA" w:rsidRPr="001B669F">
        <w:rPr>
          <w:rFonts w:eastAsiaTheme="minorHAnsi"/>
          <w:szCs w:val="22"/>
        </w:rPr>
        <w:t xml:space="preserve"> be considered 100 percent U&amp;U. </w:t>
      </w:r>
    </w:p>
    <w:p w:rsidR="002776CA" w:rsidRDefault="002776CA" w:rsidP="002776CA">
      <w:pPr>
        <w:jc w:val="both"/>
        <w:rPr>
          <w:rFonts w:eastAsiaTheme="minorHAnsi"/>
          <w:szCs w:val="22"/>
        </w:rPr>
      </w:pPr>
    </w:p>
    <w:p w:rsidR="00867CA8" w:rsidRPr="00867CA8" w:rsidRDefault="00867CA8" w:rsidP="00867CA8">
      <w:pPr>
        <w:pStyle w:val="ListParagraph"/>
        <w:numPr>
          <w:ilvl w:val="0"/>
          <w:numId w:val="16"/>
        </w:numPr>
        <w:jc w:val="both"/>
        <w:rPr>
          <w:rFonts w:eastAsiaTheme="minorHAnsi"/>
          <w:i/>
          <w:szCs w:val="22"/>
        </w:rPr>
      </w:pPr>
      <w:r>
        <w:rPr>
          <w:rFonts w:eastAsiaTheme="minorHAnsi"/>
          <w:i/>
          <w:szCs w:val="22"/>
        </w:rPr>
        <w:t>Excessive Unaccounted for Water (EUW)</w:t>
      </w:r>
    </w:p>
    <w:p w:rsidR="00867CA8" w:rsidRDefault="00867CA8" w:rsidP="002776CA">
      <w:pPr>
        <w:jc w:val="both"/>
        <w:rPr>
          <w:rFonts w:eastAsiaTheme="minorHAnsi"/>
          <w:b/>
          <w:szCs w:val="22"/>
        </w:rPr>
      </w:pPr>
    </w:p>
    <w:p w:rsidR="002776CA" w:rsidRPr="001B669F" w:rsidRDefault="00867CA8" w:rsidP="002776CA">
      <w:pPr>
        <w:jc w:val="both"/>
        <w:rPr>
          <w:rFonts w:eastAsiaTheme="minorHAnsi"/>
          <w:szCs w:val="22"/>
        </w:rPr>
      </w:pPr>
      <w:r>
        <w:rPr>
          <w:rFonts w:eastAsiaTheme="minorHAnsi"/>
          <w:b/>
          <w:szCs w:val="22"/>
        </w:rPr>
        <w:tab/>
      </w:r>
      <w:r w:rsidR="002776CA" w:rsidRPr="001B669F">
        <w:rPr>
          <w:rFonts w:eastAsiaTheme="minorHAnsi"/>
          <w:szCs w:val="22"/>
        </w:rPr>
        <w:t xml:space="preserve">Rule 25-30.4325, F.A.C., additionally provides factors to be considered in determining whether adjustments to operating expenses are necessary for EUW. EUW is defined as “unaccounted for water in excess of 10 percent of the amount produced.” </w:t>
      </w:r>
      <w:r w:rsidR="00F379F0">
        <w:rPr>
          <w:rFonts w:eastAsiaTheme="minorHAnsi"/>
          <w:szCs w:val="22"/>
        </w:rPr>
        <w:t xml:space="preserve"> </w:t>
      </w:r>
      <w:r w:rsidR="002776CA" w:rsidRPr="001B669F">
        <w:rPr>
          <w:rFonts w:eastAsiaTheme="minorHAnsi"/>
          <w:szCs w:val="22"/>
        </w:rPr>
        <w:t>Unaccounted for water is all water produced that is not sold, metered, or accounted for in the records o</w:t>
      </w:r>
      <w:r>
        <w:rPr>
          <w:rFonts w:eastAsiaTheme="minorHAnsi"/>
          <w:szCs w:val="22"/>
        </w:rPr>
        <w:t>f the utility.</w:t>
      </w:r>
      <w:r w:rsidR="00F379F0">
        <w:rPr>
          <w:rFonts w:eastAsiaTheme="minorHAnsi"/>
          <w:szCs w:val="22"/>
        </w:rPr>
        <w:t xml:space="preserve"> </w:t>
      </w:r>
      <w:r>
        <w:rPr>
          <w:rFonts w:eastAsiaTheme="minorHAnsi"/>
          <w:szCs w:val="22"/>
        </w:rPr>
        <w:t xml:space="preserve"> A review of the U</w:t>
      </w:r>
      <w:r w:rsidR="002776CA" w:rsidRPr="001B669F">
        <w:rPr>
          <w:rFonts w:eastAsiaTheme="minorHAnsi"/>
          <w:szCs w:val="22"/>
        </w:rPr>
        <w:t xml:space="preserve">tility’s Monthly Operating Reports, 2021 Annual Report, and audited billing data indicate that Leighton treated 4,924,400 gallons and sold 4,352,400 gallons with 572,000 gallons used for flushing during the test year. </w:t>
      </w:r>
      <w:r w:rsidR="00F379F0">
        <w:rPr>
          <w:rFonts w:eastAsiaTheme="minorHAnsi"/>
          <w:szCs w:val="22"/>
        </w:rPr>
        <w:t xml:space="preserve"> </w:t>
      </w:r>
      <w:r w:rsidR="002776CA" w:rsidRPr="001B669F">
        <w:rPr>
          <w:rFonts w:eastAsiaTheme="minorHAnsi"/>
          <w:szCs w:val="22"/>
        </w:rPr>
        <w:t>The resulting calculation ([4,924,400 – 4,352,400 – 572,000]/4,924,400) for unaccounted for water is 0 percent; therefore, there is no EUW.</w:t>
      </w:r>
    </w:p>
    <w:p w:rsidR="002776CA" w:rsidRPr="001B669F" w:rsidRDefault="002776CA" w:rsidP="002776CA">
      <w:pPr>
        <w:jc w:val="both"/>
        <w:rPr>
          <w:rFonts w:eastAsiaTheme="minorHAnsi"/>
          <w:b/>
          <w:szCs w:val="22"/>
        </w:rPr>
      </w:pPr>
    </w:p>
    <w:p w:rsidR="00867CA8" w:rsidRPr="00867CA8" w:rsidRDefault="00867CA8" w:rsidP="00867CA8">
      <w:pPr>
        <w:pStyle w:val="ListParagraph"/>
        <w:numPr>
          <w:ilvl w:val="0"/>
          <w:numId w:val="16"/>
        </w:numPr>
        <w:rPr>
          <w:rFonts w:eastAsiaTheme="minorHAnsi"/>
          <w:i/>
          <w:szCs w:val="22"/>
        </w:rPr>
      </w:pPr>
      <w:r>
        <w:rPr>
          <w:rFonts w:eastAsiaTheme="minorHAnsi"/>
          <w:i/>
          <w:szCs w:val="22"/>
        </w:rPr>
        <w:t xml:space="preserve">Conclusion </w:t>
      </w:r>
    </w:p>
    <w:p w:rsidR="00867CA8" w:rsidRDefault="00867CA8" w:rsidP="002776CA">
      <w:pPr>
        <w:rPr>
          <w:rFonts w:eastAsiaTheme="minorHAnsi"/>
          <w:szCs w:val="22"/>
        </w:rPr>
      </w:pPr>
    </w:p>
    <w:p w:rsidR="002776CA" w:rsidRDefault="00867CA8" w:rsidP="00867CA8">
      <w:pPr>
        <w:jc w:val="both"/>
        <w:rPr>
          <w:rFonts w:eastAsiaTheme="minorHAnsi"/>
          <w:szCs w:val="22"/>
        </w:rPr>
      </w:pPr>
      <w:r>
        <w:rPr>
          <w:rFonts w:eastAsiaTheme="minorHAnsi"/>
          <w:szCs w:val="22"/>
        </w:rPr>
        <w:tab/>
      </w:r>
      <w:r w:rsidR="002776CA" w:rsidRPr="001B669F">
        <w:rPr>
          <w:rFonts w:eastAsiaTheme="minorHAnsi"/>
          <w:szCs w:val="22"/>
        </w:rPr>
        <w:t xml:space="preserve">Leighton’s WTP and distribution system </w:t>
      </w:r>
      <w:r>
        <w:rPr>
          <w:rFonts w:eastAsiaTheme="minorHAnsi"/>
          <w:szCs w:val="22"/>
        </w:rPr>
        <w:t>shall</w:t>
      </w:r>
      <w:r w:rsidR="002776CA" w:rsidRPr="001B669F">
        <w:rPr>
          <w:rFonts w:eastAsiaTheme="minorHAnsi"/>
          <w:szCs w:val="22"/>
        </w:rPr>
        <w:t xml:space="preserve"> both be considered 100 percent U&amp;U. </w:t>
      </w:r>
      <w:r w:rsidR="00F379F0">
        <w:rPr>
          <w:rFonts w:eastAsiaTheme="minorHAnsi"/>
          <w:szCs w:val="22"/>
        </w:rPr>
        <w:t xml:space="preserve"> </w:t>
      </w:r>
      <w:r w:rsidR="002776CA" w:rsidRPr="001B669F">
        <w:rPr>
          <w:rFonts w:eastAsiaTheme="minorHAnsi"/>
          <w:szCs w:val="22"/>
        </w:rPr>
        <w:t>Additionally, there ap</w:t>
      </w:r>
      <w:r>
        <w:rPr>
          <w:rFonts w:eastAsiaTheme="minorHAnsi"/>
          <w:szCs w:val="22"/>
        </w:rPr>
        <w:t>pears to be no EUW; therefore, we find</w:t>
      </w:r>
      <w:r w:rsidR="002776CA" w:rsidRPr="001B669F">
        <w:rPr>
          <w:rFonts w:eastAsiaTheme="minorHAnsi"/>
          <w:szCs w:val="22"/>
        </w:rPr>
        <w:t xml:space="preserve"> that no adjustment be made to operating expenses for chemicals and purchased power.</w:t>
      </w:r>
    </w:p>
    <w:p w:rsidR="00867CA8" w:rsidRDefault="00867CA8" w:rsidP="00867CA8">
      <w:pPr>
        <w:jc w:val="both"/>
        <w:rPr>
          <w:rFonts w:eastAsiaTheme="minorHAnsi"/>
          <w:szCs w:val="22"/>
        </w:rPr>
      </w:pPr>
    </w:p>
    <w:p w:rsidR="00867CA8" w:rsidRDefault="00867CA8" w:rsidP="00867CA8">
      <w:pPr>
        <w:jc w:val="both"/>
        <w:rPr>
          <w:rFonts w:eastAsiaTheme="minorHAnsi"/>
          <w:szCs w:val="22"/>
        </w:rPr>
      </w:pPr>
    </w:p>
    <w:p w:rsidR="00867CA8" w:rsidRDefault="00867CA8" w:rsidP="00867CA8">
      <w:pPr>
        <w:jc w:val="both"/>
        <w:rPr>
          <w:rFonts w:eastAsiaTheme="minorHAnsi"/>
          <w:szCs w:val="22"/>
        </w:rPr>
      </w:pPr>
    </w:p>
    <w:p w:rsidR="00867CA8" w:rsidRPr="00867CA8" w:rsidRDefault="00867CA8" w:rsidP="00867CA8">
      <w:pPr>
        <w:jc w:val="both"/>
        <w:rPr>
          <w:rFonts w:eastAsiaTheme="minorHAnsi"/>
          <w:szCs w:val="22"/>
          <w:u w:val="single"/>
        </w:rPr>
      </w:pPr>
      <w:r>
        <w:rPr>
          <w:rFonts w:eastAsiaTheme="minorHAnsi"/>
          <w:szCs w:val="22"/>
          <w:u w:val="single"/>
        </w:rPr>
        <w:t>4. Average Test Year Rate Base</w:t>
      </w:r>
    </w:p>
    <w:p w:rsidR="002776CA" w:rsidRPr="001B669F" w:rsidRDefault="002776CA" w:rsidP="002776CA">
      <w:pPr>
        <w:rPr>
          <w:rFonts w:eastAsiaTheme="minorHAnsi"/>
          <w:szCs w:val="22"/>
        </w:rPr>
      </w:pPr>
    </w:p>
    <w:p w:rsidR="002776CA" w:rsidRDefault="00867CA8" w:rsidP="002776CA">
      <w:pPr>
        <w:spacing w:after="240"/>
        <w:jc w:val="both"/>
      </w:pPr>
      <w:r>
        <w:rPr>
          <w:b/>
          <w:bCs/>
          <w:i/>
          <w:kern w:val="32"/>
          <w:szCs w:val="32"/>
        </w:rPr>
        <w:tab/>
      </w:r>
      <w:r w:rsidR="002776CA" w:rsidRPr="001B669F">
        <w:t>The</w:t>
      </w:r>
      <w:r>
        <w:t xml:space="preserve"> appropriate components of the U</w:t>
      </w:r>
      <w:r w:rsidR="002776CA" w:rsidRPr="001B669F">
        <w:t>tility’s rate base include utility plant in service (UPIS), land, accumulated depreciation, contributions-in-aid-of-construction (CIAC), accumulated amortization of CIAC, net acquisition adjust</w:t>
      </w:r>
      <w:r>
        <w:t xml:space="preserve">ment, and working capital. </w:t>
      </w:r>
      <w:r w:rsidR="00F379F0">
        <w:t xml:space="preserve"> </w:t>
      </w:r>
      <w:r>
        <w:t>The U</w:t>
      </w:r>
      <w:r w:rsidR="002776CA" w:rsidRPr="001B669F">
        <w:t>tility’s rate base was established as part of its transfer proceeding, in Docket No. 20210043-WU.</w:t>
      </w:r>
      <w:r w:rsidR="002776CA" w:rsidRPr="001B669F">
        <w:rPr>
          <w:vertAlign w:val="superscript"/>
        </w:rPr>
        <w:footnoteReference w:id="3"/>
      </w:r>
      <w:r w:rsidR="002776CA" w:rsidRPr="001B669F">
        <w:t xml:space="preserve"> </w:t>
      </w:r>
      <w:r w:rsidR="00F379F0">
        <w:t xml:space="preserve"> </w:t>
      </w:r>
      <w:r>
        <w:t>We</w:t>
      </w:r>
      <w:r w:rsidR="002776CA" w:rsidRPr="001B669F">
        <w:t xml:space="preserve"> selected the test year ended December 31, 2021, for the instant rate case. </w:t>
      </w:r>
      <w:r w:rsidR="00F379F0">
        <w:t xml:space="preserve"> </w:t>
      </w:r>
      <w:r>
        <w:t>Our</w:t>
      </w:r>
      <w:r w:rsidR="002776CA" w:rsidRPr="001B669F">
        <w:t xml:space="preserve"> a</w:t>
      </w:r>
      <w:r>
        <w:t>udit staff determined that the U</w:t>
      </w:r>
      <w:r w:rsidR="002776CA" w:rsidRPr="001B669F">
        <w:t xml:space="preserve">tility’s books and records are in compliance with the National Association of Regulatory Utility Commissioners’ Uniform System of Accounts (NARUC USOA). </w:t>
      </w:r>
      <w:r w:rsidR="00F379F0">
        <w:t xml:space="preserve"> </w:t>
      </w:r>
      <w:r w:rsidR="002776CA" w:rsidRPr="001B669F">
        <w:t xml:space="preserve">A summary of each component and </w:t>
      </w:r>
      <w:r>
        <w:t>our</w:t>
      </w:r>
      <w:r w:rsidR="002B214A">
        <w:t xml:space="preserve"> approved</w:t>
      </w:r>
      <w:r w:rsidR="002776CA" w:rsidRPr="001B669F">
        <w:t xml:space="preserve"> adjustments are discussed below.</w:t>
      </w:r>
    </w:p>
    <w:p w:rsidR="00867CA8" w:rsidRPr="00867CA8" w:rsidRDefault="00867CA8" w:rsidP="00867CA8">
      <w:pPr>
        <w:pStyle w:val="ListParagraph"/>
        <w:numPr>
          <w:ilvl w:val="0"/>
          <w:numId w:val="17"/>
        </w:numPr>
        <w:spacing w:after="240"/>
        <w:jc w:val="both"/>
        <w:rPr>
          <w:i/>
        </w:rPr>
      </w:pPr>
      <w:r>
        <w:rPr>
          <w:i/>
        </w:rPr>
        <w:t>Utility Plant In Service (UPIS)</w:t>
      </w:r>
    </w:p>
    <w:p w:rsidR="002776CA" w:rsidRPr="001B669F" w:rsidRDefault="00867CA8" w:rsidP="002776CA">
      <w:pPr>
        <w:spacing w:after="240"/>
        <w:jc w:val="both"/>
      </w:pPr>
      <w:r>
        <w:rPr>
          <w:b/>
        </w:rPr>
        <w:tab/>
      </w:r>
      <w:r>
        <w:t>The U</w:t>
      </w:r>
      <w:r w:rsidR="002776CA" w:rsidRPr="001B669F">
        <w:t xml:space="preserve">tility recorded a UPIS balance of $366,405. </w:t>
      </w:r>
      <w:r>
        <w:t>We</w:t>
      </w:r>
      <w:r w:rsidR="002776CA" w:rsidRPr="001B669F">
        <w:t xml:space="preserve"> decreased UPIS by $2,064 to reflect an averaging adjustment.</w:t>
      </w:r>
      <w:r w:rsidR="00F379F0">
        <w:t xml:space="preserve"> </w:t>
      </w:r>
      <w:r w:rsidR="002776CA" w:rsidRPr="001B669F">
        <w:t xml:space="preserve"> Addition</w:t>
      </w:r>
      <w:r w:rsidR="002B214A">
        <w:t xml:space="preserve">ally, as shown below in Table </w:t>
      </w:r>
      <w:r w:rsidR="002776CA" w:rsidRPr="001B669F">
        <w:t xml:space="preserve">1, </w:t>
      </w:r>
      <w:r>
        <w:t>we</w:t>
      </w:r>
      <w:r w:rsidR="002776CA" w:rsidRPr="001B669F">
        <w:t xml:space="preserve"> increased UPIS by $9,871 to reflect pro forma additions, offset by a decrease of $6,193 to reflect pro forma retirement.</w:t>
      </w:r>
    </w:p>
    <w:p w:rsidR="00867CA8" w:rsidRDefault="00867CA8" w:rsidP="00867CA8">
      <w:pPr>
        <w:jc w:val="both"/>
        <w:outlineLvl w:val="3"/>
        <w:rPr>
          <w:b/>
          <w:bCs/>
          <w:i/>
          <w:iCs/>
          <w:szCs w:val="28"/>
        </w:rPr>
      </w:pPr>
      <w:r>
        <w:rPr>
          <w:b/>
          <w:bCs/>
          <w:i/>
          <w:iCs/>
          <w:szCs w:val="28"/>
        </w:rPr>
        <w:tab/>
      </w:r>
      <w:r w:rsidR="002776CA" w:rsidRPr="00867CA8">
        <w:rPr>
          <w:b/>
          <w:bCs/>
          <w:i/>
          <w:iCs/>
          <w:szCs w:val="28"/>
        </w:rPr>
        <w:t>Pro Forma Plant Additions</w:t>
      </w:r>
    </w:p>
    <w:p w:rsidR="00867CA8" w:rsidRPr="00867CA8" w:rsidRDefault="00867CA8" w:rsidP="00867CA8">
      <w:pPr>
        <w:jc w:val="both"/>
        <w:outlineLvl w:val="3"/>
        <w:rPr>
          <w:b/>
          <w:bCs/>
          <w:i/>
          <w:iCs/>
          <w:szCs w:val="28"/>
        </w:rPr>
      </w:pPr>
    </w:p>
    <w:p w:rsidR="002776CA" w:rsidRPr="001B669F" w:rsidRDefault="00867CA8" w:rsidP="002776CA">
      <w:pPr>
        <w:spacing w:after="200"/>
        <w:jc w:val="both"/>
        <w:rPr>
          <w:rFonts w:eastAsiaTheme="minorHAnsi"/>
          <w:szCs w:val="22"/>
        </w:rPr>
      </w:pPr>
      <w:r>
        <w:rPr>
          <w:rFonts w:eastAsiaTheme="minorHAnsi"/>
          <w:szCs w:val="22"/>
        </w:rPr>
        <w:tab/>
        <w:t xml:space="preserve">As shown </w:t>
      </w:r>
      <w:r w:rsidR="002B214A">
        <w:rPr>
          <w:rFonts w:eastAsiaTheme="minorHAnsi"/>
          <w:szCs w:val="22"/>
        </w:rPr>
        <w:t xml:space="preserve">in Table </w:t>
      </w:r>
      <w:r>
        <w:rPr>
          <w:rFonts w:eastAsiaTheme="minorHAnsi"/>
          <w:szCs w:val="22"/>
        </w:rPr>
        <w:t>2, the U</w:t>
      </w:r>
      <w:r w:rsidR="002776CA" w:rsidRPr="001B669F">
        <w:rPr>
          <w:rFonts w:eastAsiaTheme="minorHAnsi"/>
          <w:szCs w:val="22"/>
        </w:rPr>
        <w:t>tility requested three pro forma items be included in rate base: 1) replacement of a failed pump; 2) purchase of two 2021 Ford F150 trucks; and 3) a meter replacement program.</w:t>
      </w:r>
      <w:r w:rsidR="00F379F0">
        <w:rPr>
          <w:rFonts w:eastAsiaTheme="minorHAnsi"/>
          <w:szCs w:val="22"/>
        </w:rPr>
        <w:t xml:space="preserve"> </w:t>
      </w:r>
      <w:r w:rsidR="002776CA" w:rsidRPr="001B669F">
        <w:rPr>
          <w:rFonts w:eastAsiaTheme="minorHAnsi"/>
          <w:szCs w:val="22"/>
        </w:rPr>
        <w:t xml:space="preserve"> In June of 2022, the WTP experienced a well pump failure.</w:t>
      </w:r>
      <w:r w:rsidR="00F379F0">
        <w:rPr>
          <w:rFonts w:eastAsiaTheme="minorHAnsi"/>
          <w:szCs w:val="22"/>
        </w:rPr>
        <w:t xml:space="preserve"> </w:t>
      </w:r>
      <w:r w:rsidR="002776CA" w:rsidRPr="001B669F">
        <w:rPr>
          <w:rFonts w:eastAsiaTheme="minorHAnsi"/>
          <w:szCs w:val="22"/>
        </w:rPr>
        <w:t xml:space="preserve"> This was an emergency repair that needed to occur expeditiously. </w:t>
      </w:r>
      <w:r w:rsidR="00F379F0">
        <w:rPr>
          <w:rFonts w:eastAsiaTheme="minorHAnsi"/>
          <w:szCs w:val="22"/>
        </w:rPr>
        <w:t xml:space="preserve"> </w:t>
      </w:r>
      <w:r w:rsidR="002776CA" w:rsidRPr="001B669F">
        <w:rPr>
          <w:rFonts w:eastAsiaTheme="minorHAnsi"/>
          <w:szCs w:val="22"/>
        </w:rPr>
        <w:t xml:space="preserve">The purchase and replacement of the new well pump occurred on June 27, 2022, and a paid invoice was provided totaling $4,941. </w:t>
      </w:r>
      <w:r w:rsidR="00F379F0">
        <w:rPr>
          <w:rFonts w:eastAsiaTheme="minorHAnsi"/>
          <w:szCs w:val="22"/>
        </w:rPr>
        <w:t xml:space="preserve"> </w:t>
      </w:r>
      <w:r w:rsidR="002776CA" w:rsidRPr="001B669F">
        <w:rPr>
          <w:rFonts w:eastAsiaTheme="minorHAnsi"/>
          <w:szCs w:val="22"/>
        </w:rPr>
        <w:t>The installation cost consisted of new piping and wiring for the pump and motor, plus labor charges. The purchase and installation cost appear justified and reasonable.</w:t>
      </w:r>
    </w:p>
    <w:p w:rsidR="002776CA" w:rsidRPr="001B669F" w:rsidRDefault="0009466D" w:rsidP="002776CA">
      <w:pPr>
        <w:spacing w:after="200"/>
        <w:jc w:val="both"/>
        <w:rPr>
          <w:rFonts w:eastAsiaTheme="minorHAnsi"/>
          <w:szCs w:val="22"/>
        </w:rPr>
      </w:pPr>
      <w:r>
        <w:rPr>
          <w:rFonts w:eastAsiaTheme="minorHAnsi"/>
          <w:szCs w:val="22"/>
        </w:rPr>
        <w:tab/>
      </w:r>
      <w:r w:rsidR="002776CA" w:rsidRPr="001B669F">
        <w:rPr>
          <w:rFonts w:eastAsiaTheme="minorHAnsi"/>
          <w:szCs w:val="22"/>
        </w:rPr>
        <w:t>Florida Utility Services 1 (FUS1) purchased two 2021 Ford F-150 trucks for its service fleet and requested the cost of the vehicles be commonly allocated across al</w:t>
      </w:r>
      <w:r>
        <w:rPr>
          <w:rFonts w:eastAsiaTheme="minorHAnsi"/>
          <w:szCs w:val="22"/>
        </w:rPr>
        <w:t xml:space="preserve">l the systems it operates. </w:t>
      </w:r>
      <w:r w:rsidR="00F379F0">
        <w:rPr>
          <w:rFonts w:eastAsiaTheme="minorHAnsi"/>
          <w:szCs w:val="22"/>
        </w:rPr>
        <w:t xml:space="preserve"> </w:t>
      </w:r>
      <w:r>
        <w:rPr>
          <w:rFonts w:eastAsiaTheme="minorHAnsi"/>
          <w:szCs w:val="22"/>
        </w:rPr>
        <w:t>The U</w:t>
      </w:r>
      <w:r w:rsidR="002776CA" w:rsidRPr="001B669F">
        <w:rPr>
          <w:rFonts w:eastAsiaTheme="minorHAnsi"/>
          <w:szCs w:val="22"/>
        </w:rPr>
        <w:t xml:space="preserve">tility indicated that the addition of the trucks allows for each of FUS1’s three maintenance technicians, maintenance foreman, and officer to provide efficient and timely responses to the 17 utility systems operated by FUS1. </w:t>
      </w:r>
      <w:r w:rsidR="00F379F0">
        <w:rPr>
          <w:rFonts w:eastAsiaTheme="minorHAnsi"/>
          <w:szCs w:val="22"/>
        </w:rPr>
        <w:t xml:space="preserve"> </w:t>
      </w:r>
      <w:r w:rsidR="002776CA" w:rsidRPr="001B669F">
        <w:rPr>
          <w:rFonts w:eastAsiaTheme="minorHAnsi"/>
          <w:szCs w:val="22"/>
        </w:rPr>
        <w:t xml:space="preserve">The two additional vehicles allow for efficient service to the 17 utilities and a faster response to emergencies. </w:t>
      </w:r>
      <w:r w:rsidR="00F379F0">
        <w:rPr>
          <w:rFonts w:eastAsiaTheme="minorHAnsi"/>
          <w:szCs w:val="22"/>
        </w:rPr>
        <w:t xml:space="preserve"> </w:t>
      </w:r>
      <w:r w:rsidR="002776CA" w:rsidRPr="001B669F">
        <w:rPr>
          <w:rFonts w:eastAsiaTheme="minorHAnsi"/>
          <w:szCs w:val="22"/>
        </w:rPr>
        <w:t xml:space="preserve">The utilities served by FUS1 are located in six different counties. One truck was purchased in August 2021, and the other purchased a year later in August 2022. </w:t>
      </w:r>
      <w:r w:rsidR="00F379F0">
        <w:rPr>
          <w:rFonts w:eastAsiaTheme="minorHAnsi"/>
          <w:szCs w:val="22"/>
        </w:rPr>
        <w:t xml:space="preserve"> </w:t>
      </w:r>
      <w:r w:rsidR="002776CA" w:rsidRPr="001B669F">
        <w:rPr>
          <w:rFonts w:eastAsiaTheme="minorHAnsi"/>
          <w:szCs w:val="22"/>
        </w:rPr>
        <w:t>The utility provided a copy of the vehicles’ bill of sales.</w:t>
      </w:r>
      <w:r w:rsidR="002776CA" w:rsidRPr="001B669F">
        <w:rPr>
          <w:rFonts w:eastAsiaTheme="minorHAnsi"/>
          <w:szCs w:val="22"/>
          <w:vertAlign w:val="superscript"/>
        </w:rPr>
        <w:footnoteReference w:id="4"/>
      </w:r>
      <w:r w:rsidR="002776CA" w:rsidRPr="001B669F">
        <w:rPr>
          <w:rFonts w:eastAsiaTheme="minorHAnsi"/>
          <w:szCs w:val="22"/>
        </w:rPr>
        <w:t xml:space="preserve">  </w:t>
      </w:r>
      <w:r w:rsidR="00F379F0">
        <w:rPr>
          <w:rFonts w:eastAsiaTheme="minorHAnsi"/>
          <w:szCs w:val="22"/>
        </w:rPr>
        <w:t xml:space="preserve"> </w:t>
      </w:r>
      <w:r>
        <w:rPr>
          <w:rFonts w:eastAsiaTheme="minorHAnsi"/>
          <w:szCs w:val="22"/>
        </w:rPr>
        <w:t>We agree</w:t>
      </w:r>
      <w:r w:rsidR="002776CA" w:rsidRPr="001B669F">
        <w:rPr>
          <w:rFonts w:eastAsiaTheme="minorHAnsi"/>
          <w:szCs w:val="22"/>
        </w:rPr>
        <w:t xml:space="preserve"> with the stated purpose and the cost of the vehicles. </w:t>
      </w:r>
    </w:p>
    <w:p w:rsidR="002776CA" w:rsidRPr="001B669F" w:rsidRDefault="0009466D" w:rsidP="002776CA">
      <w:pPr>
        <w:spacing w:after="200"/>
        <w:jc w:val="both"/>
        <w:rPr>
          <w:rFonts w:eastAsiaTheme="minorHAnsi"/>
          <w:szCs w:val="22"/>
        </w:rPr>
      </w:pPr>
      <w:r>
        <w:rPr>
          <w:rFonts w:eastAsiaTheme="minorHAnsi"/>
          <w:szCs w:val="22"/>
        </w:rPr>
        <w:tab/>
        <w:t>The U</w:t>
      </w:r>
      <w:r w:rsidR="002776CA" w:rsidRPr="001B669F">
        <w:rPr>
          <w:rFonts w:eastAsiaTheme="minorHAnsi"/>
          <w:szCs w:val="22"/>
        </w:rPr>
        <w:t>tility requested to transition all of its existing standard 5/8 x 3/4” meters to Advanced Meter In</w:t>
      </w:r>
      <w:r>
        <w:rPr>
          <w:rFonts w:eastAsiaTheme="minorHAnsi"/>
          <w:szCs w:val="22"/>
        </w:rPr>
        <w:t xml:space="preserve">frastructure (AMI) meters. </w:t>
      </w:r>
      <w:r w:rsidR="00F379F0">
        <w:rPr>
          <w:rFonts w:eastAsiaTheme="minorHAnsi"/>
          <w:szCs w:val="22"/>
        </w:rPr>
        <w:t xml:space="preserve"> </w:t>
      </w:r>
      <w:r>
        <w:rPr>
          <w:rFonts w:eastAsiaTheme="minorHAnsi"/>
          <w:szCs w:val="22"/>
        </w:rPr>
        <w:t>The U</w:t>
      </w:r>
      <w:r w:rsidR="002776CA" w:rsidRPr="001B669F">
        <w:rPr>
          <w:rFonts w:eastAsiaTheme="minorHAnsi"/>
          <w:szCs w:val="22"/>
        </w:rPr>
        <w:t>tility indicated that switching</w:t>
      </w:r>
      <w:r>
        <w:rPr>
          <w:rFonts w:eastAsiaTheme="minorHAnsi"/>
          <w:szCs w:val="22"/>
        </w:rPr>
        <w:t xml:space="preserve"> to AMI meters would allow the U</w:t>
      </w:r>
      <w:r w:rsidR="002776CA" w:rsidRPr="001B669F">
        <w:rPr>
          <w:rFonts w:eastAsiaTheme="minorHAnsi"/>
          <w:szCs w:val="22"/>
        </w:rPr>
        <w:t xml:space="preserve">tility to electronically obtain meter readings, provide real-time data accessibility, reduce customer service-related calls and associated work order trips. </w:t>
      </w:r>
      <w:r w:rsidR="00F379F0">
        <w:rPr>
          <w:rFonts w:eastAsiaTheme="minorHAnsi"/>
          <w:szCs w:val="22"/>
        </w:rPr>
        <w:t xml:space="preserve"> </w:t>
      </w:r>
      <w:r w:rsidR="002776CA" w:rsidRPr="001B669F">
        <w:rPr>
          <w:rFonts w:eastAsiaTheme="minorHAnsi"/>
          <w:szCs w:val="22"/>
        </w:rPr>
        <w:t xml:space="preserve">Customers would gain the ability to monitor water usage, set leak detection alarms, and receive utility communications through a system Application, which would benefit customers. </w:t>
      </w:r>
    </w:p>
    <w:p w:rsidR="002776CA" w:rsidRPr="001B669F" w:rsidRDefault="0009466D" w:rsidP="002776CA">
      <w:pPr>
        <w:spacing w:after="200"/>
        <w:jc w:val="both"/>
        <w:rPr>
          <w:rFonts w:eastAsiaTheme="minorHAnsi"/>
          <w:szCs w:val="22"/>
        </w:rPr>
      </w:pPr>
      <w:r>
        <w:rPr>
          <w:rFonts w:eastAsiaTheme="minorHAnsi"/>
          <w:szCs w:val="22"/>
        </w:rPr>
        <w:tab/>
      </w:r>
      <w:r w:rsidR="002776CA" w:rsidRPr="001B669F">
        <w:rPr>
          <w:rFonts w:eastAsiaTheme="minorHAnsi"/>
          <w:szCs w:val="22"/>
        </w:rPr>
        <w:t>The pro</w:t>
      </w:r>
      <w:r>
        <w:rPr>
          <w:rFonts w:eastAsiaTheme="minorHAnsi"/>
          <w:szCs w:val="22"/>
        </w:rPr>
        <w:t>gram consists of upgrading the U</w:t>
      </w:r>
      <w:r w:rsidR="002776CA" w:rsidRPr="001B669F">
        <w:rPr>
          <w:rFonts w:eastAsiaTheme="minorHAnsi"/>
          <w:szCs w:val="22"/>
        </w:rPr>
        <w:t>tility’s existing 80 meters, plus two additional meters, to AMI, remote read, meters and the purchase/installation of The Beacon, Advanced Metering</w:t>
      </w:r>
      <w:r>
        <w:rPr>
          <w:rFonts w:eastAsiaTheme="minorHAnsi"/>
          <w:szCs w:val="22"/>
        </w:rPr>
        <w:t xml:space="preserve"> system software (Beacon). </w:t>
      </w:r>
      <w:r w:rsidR="00F379F0">
        <w:rPr>
          <w:rFonts w:eastAsiaTheme="minorHAnsi"/>
          <w:szCs w:val="22"/>
        </w:rPr>
        <w:t xml:space="preserve"> </w:t>
      </w:r>
      <w:r>
        <w:rPr>
          <w:rFonts w:eastAsiaTheme="minorHAnsi"/>
          <w:szCs w:val="22"/>
        </w:rPr>
        <w:t>The U</w:t>
      </w:r>
      <w:r w:rsidR="002776CA" w:rsidRPr="001B669F">
        <w:rPr>
          <w:rFonts w:eastAsiaTheme="minorHAnsi"/>
          <w:szCs w:val="22"/>
        </w:rPr>
        <w:t>tility indicated that it intends to utilize the Beacon software across its other FUS1 systems, which would result in approximately $186.30 of Beacon’s $8,208 total cost allocated to Leighton.</w:t>
      </w:r>
      <w:r w:rsidR="00F379F0">
        <w:rPr>
          <w:rFonts w:eastAsiaTheme="minorHAnsi"/>
          <w:szCs w:val="22"/>
        </w:rPr>
        <w:t xml:space="preserve"> </w:t>
      </w:r>
      <w:r w:rsidR="002776CA" w:rsidRPr="001B669F">
        <w:rPr>
          <w:rFonts w:eastAsiaTheme="minorHAnsi"/>
          <w:szCs w:val="22"/>
        </w:rPr>
        <w:t xml:space="preserve"> Once purchased, there are no reoccurring or monthly fees to utilize the software. </w:t>
      </w:r>
      <w:r w:rsidR="00F379F0">
        <w:rPr>
          <w:rFonts w:eastAsiaTheme="minorHAnsi"/>
          <w:szCs w:val="22"/>
        </w:rPr>
        <w:t xml:space="preserve"> </w:t>
      </w:r>
      <w:r>
        <w:rPr>
          <w:rFonts w:eastAsiaTheme="minorHAnsi"/>
          <w:szCs w:val="22"/>
        </w:rPr>
        <w:t>We inquired whether the U</w:t>
      </w:r>
      <w:r w:rsidR="002776CA" w:rsidRPr="001B669F">
        <w:rPr>
          <w:rFonts w:eastAsiaTheme="minorHAnsi"/>
          <w:szCs w:val="22"/>
        </w:rPr>
        <w:t xml:space="preserve">tility explored obtaining additional bids or looked into alternative manufacturers for AMI. </w:t>
      </w:r>
      <w:r w:rsidR="00F379F0">
        <w:rPr>
          <w:rFonts w:eastAsiaTheme="minorHAnsi"/>
          <w:szCs w:val="22"/>
        </w:rPr>
        <w:t xml:space="preserve"> </w:t>
      </w:r>
      <w:r w:rsidR="002776CA" w:rsidRPr="001B669F">
        <w:rPr>
          <w:rFonts w:eastAsiaTheme="minorHAnsi"/>
          <w:szCs w:val="22"/>
        </w:rPr>
        <w:t>In response, t</w:t>
      </w:r>
      <w:r>
        <w:rPr>
          <w:rFonts w:eastAsiaTheme="minorHAnsi"/>
          <w:szCs w:val="22"/>
        </w:rPr>
        <w:t>he U</w:t>
      </w:r>
      <w:r w:rsidR="002776CA" w:rsidRPr="001B669F">
        <w:rPr>
          <w:rFonts w:eastAsiaTheme="minorHAnsi"/>
          <w:szCs w:val="22"/>
        </w:rPr>
        <w:t xml:space="preserve">tility stated the Beacon product is the only software that is compatible with its existing billing system. </w:t>
      </w:r>
    </w:p>
    <w:p w:rsidR="002776CA" w:rsidRPr="001B669F" w:rsidRDefault="0009466D" w:rsidP="002776CA">
      <w:pPr>
        <w:spacing w:after="200"/>
        <w:jc w:val="both"/>
        <w:rPr>
          <w:rFonts w:eastAsiaTheme="minorHAnsi"/>
          <w:szCs w:val="22"/>
        </w:rPr>
      </w:pPr>
      <w:r>
        <w:rPr>
          <w:rFonts w:eastAsiaTheme="minorHAnsi"/>
          <w:szCs w:val="22"/>
        </w:rPr>
        <w:tab/>
      </w:r>
      <w:r w:rsidR="002776CA" w:rsidRPr="001B669F">
        <w:rPr>
          <w:rFonts w:eastAsiaTheme="minorHAnsi"/>
          <w:szCs w:val="22"/>
        </w:rPr>
        <w:t>Of the 82 meters, the utility intends to retrofit 42 meters and replace 40 meters with AMI technology.</w:t>
      </w:r>
      <w:r w:rsidR="00F379F0">
        <w:rPr>
          <w:rFonts w:eastAsiaTheme="minorHAnsi"/>
          <w:szCs w:val="22"/>
        </w:rPr>
        <w:t xml:space="preserve"> </w:t>
      </w:r>
      <w:r w:rsidR="002776CA" w:rsidRPr="001B669F">
        <w:rPr>
          <w:rFonts w:eastAsiaTheme="minorHAnsi"/>
          <w:szCs w:val="22"/>
        </w:rPr>
        <w:t xml:space="preserve"> In response to</w:t>
      </w:r>
      <w:r>
        <w:rPr>
          <w:rFonts w:eastAsiaTheme="minorHAnsi"/>
          <w:szCs w:val="22"/>
        </w:rPr>
        <w:t xml:space="preserve"> our </w:t>
      </w:r>
      <w:r w:rsidR="002776CA" w:rsidRPr="001B669F">
        <w:rPr>
          <w:rFonts w:eastAsiaTheme="minorHAnsi"/>
          <w:szCs w:val="22"/>
        </w:rPr>
        <w:t>second data reques</w:t>
      </w:r>
      <w:r>
        <w:rPr>
          <w:rFonts w:eastAsiaTheme="minorHAnsi"/>
          <w:szCs w:val="22"/>
        </w:rPr>
        <w:t>t, the U</w:t>
      </w:r>
      <w:r w:rsidR="002776CA" w:rsidRPr="001B669F">
        <w:rPr>
          <w:rFonts w:eastAsiaTheme="minorHAnsi"/>
          <w:szCs w:val="22"/>
        </w:rPr>
        <w:t xml:space="preserve">tility indicated the cost to retrofit each meter is $521.94 and the cost to replace a meter is $577.94. </w:t>
      </w:r>
      <w:r w:rsidR="00F379F0">
        <w:rPr>
          <w:rFonts w:eastAsiaTheme="minorHAnsi"/>
          <w:szCs w:val="22"/>
        </w:rPr>
        <w:t xml:space="preserve"> </w:t>
      </w:r>
      <w:r w:rsidR="002776CA" w:rsidRPr="001B669F">
        <w:rPr>
          <w:rFonts w:eastAsiaTheme="minorHAnsi"/>
          <w:szCs w:val="22"/>
        </w:rPr>
        <w:t xml:space="preserve">However, </w:t>
      </w:r>
      <w:r>
        <w:rPr>
          <w:rFonts w:eastAsiaTheme="minorHAnsi"/>
          <w:szCs w:val="22"/>
        </w:rPr>
        <w:t>we do</w:t>
      </w:r>
      <w:r w:rsidR="002776CA" w:rsidRPr="001B669F">
        <w:rPr>
          <w:rFonts w:eastAsiaTheme="minorHAnsi"/>
          <w:szCs w:val="22"/>
        </w:rPr>
        <w:t xml:space="preserve"> not bel</w:t>
      </w:r>
      <w:r>
        <w:rPr>
          <w:rFonts w:eastAsiaTheme="minorHAnsi"/>
          <w:szCs w:val="22"/>
        </w:rPr>
        <w:t>ieve it is appropriate for the U</w:t>
      </w:r>
      <w:r w:rsidR="002776CA" w:rsidRPr="001B669F">
        <w:rPr>
          <w:rFonts w:eastAsiaTheme="minorHAnsi"/>
          <w:szCs w:val="22"/>
        </w:rPr>
        <w:t xml:space="preserve">tility to recover mileage and labor costs as part of this program since this program would be implemented by full-time employees of FUS1 already accounted for through FUS1’s payroll. </w:t>
      </w:r>
      <w:r w:rsidR="00F379F0">
        <w:rPr>
          <w:rFonts w:eastAsiaTheme="minorHAnsi"/>
          <w:szCs w:val="22"/>
        </w:rPr>
        <w:t xml:space="preserve"> </w:t>
      </w:r>
      <w:r w:rsidR="002776CA" w:rsidRPr="001B669F">
        <w:rPr>
          <w:rFonts w:eastAsiaTheme="minorHAnsi"/>
          <w:szCs w:val="22"/>
        </w:rPr>
        <w:t xml:space="preserve">The proposal included $138.84 ($47 + $91.84) for a technician to travel round trip to install two meters. </w:t>
      </w:r>
      <w:r w:rsidR="00F379F0">
        <w:rPr>
          <w:rFonts w:eastAsiaTheme="minorHAnsi"/>
          <w:szCs w:val="22"/>
        </w:rPr>
        <w:t xml:space="preserve"> </w:t>
      </w:r>
      <w:r w:rsidR="002776CA" w:rsidRPr="001B669F">
        <w:rPr>
          <w:rFonts w:eastAsiaTheme="minorHAnsi"/>
          <w:szCs w:val="22"/>
        </w:rPr>
        <w:t>There was an additional $6.00 charge for the customer service manager to call and inform each customer about the new meters.</w:t>
      </w:r>
      <w:r w:rsidR="002776CA" w:rsidRPr="001B669F">
        <w:rPr>
          <w:rFonts w:eastAsiaTheme="minorHAnsi"/>
          <w:szCs w:val="22"/>
          <w:vertAlign w:val="superscript"/>
        </w:rPr>
        <w:footnoteReference w:id="5"/>
      </w:r>
      <w:r>
        <w:rPr>
          <w:rFonts w:eastAsiaTheme="minorHAnsi"/>
          <w:szCs w:val="22"/>
        </w:rPr>
        <w:t xml:space="preserve"> </w:t>
      </w:r>
      <w:r w:rsidR="00F379F0">
        <w:rPr>
          <w:rFonts w:eastAsiaTheme="minorHAnsi"/>
          <w:szCs w:val="22"/>
        </w:rPr>
        <w:t xml:space="preserve"> </w:t>
      </w:r>
      <w:r>
        <w:rPr>
          <w:rFonts w:eastAsiaTheme="minorHAnsi"/>
          <w:szCs w:val="22"/>
        </w:rPr>
        <w:t>We do not</w:t>
      </w:r>
      <w:r w:rsidR="002776CA" w:rsidRPr="001B669F">
        <w:rPr>
          <w:rFonts w:eastAsiaTheme="minorHAnsi"/>
          <w:szCs w:val="22"/>
        </w:rPr>
        <w:t xml:space="preserve"> favor the $6.00 charge. </w:t>
      </w:r>
      <w:r w:rsidR="00F379F0">
        <w:rPr>
          <w:rFonts w:eastAsiaTheme="minorHAnsi"/>
          <w:szCs w:val="22"/>
        </w:rPr>
        <w:t xml:space="preserve"> </w:t>
      </w:r>
      <w:r w:rsidR="002776CA" w:rsidRPr="001B669F">
        <w:rPr>
          <w:rFonts w:eastAsiaTheme="minorHAnsi"/>
          <w:szCs w:val="22"/>
        </w:rPr>
        <w:t xml:space="preserve">Therefore, </w:t>
      </w:r>
      <w:r>
        <w:rPr>
          <w:rFonts w:eastAsiaTheme="minorHAnsi"/>
          <w:szCs w:val="22"/>
        </w:rPr>
        <w:t>we</w:t>
      </w:r>
      <w:r w:rsidR="002776CA" w:rsidRPr="001B669F">
        <w:rPr>
          <w:rFonts w:eastAsiaTheme="minorHAnsi"/>
          <w:szCs w:val="22"/>
        </w:rPr>
        <w:t xml:space="preserve"> </w:t>
      </w:r>
      <w:r>
        <w:rPr>
          <w:rFonts w:eastAsiaTheme="minorHAnsi"/>
          <w:szCs w:val="22"/>
        </w:rPr>
        <w:t>find that</w:t>
      </w:r>
      <w:r w:rsidR="002776CA" w:rsidRPr="001B669F">
        <w:rPr>
          <w:rFonts w:eastAsiaTheme="minorHAnsi"/>
          <w:szCs w:val="22"/>
        </w:rPr>
        <w:t xml:space="preserve"> the installation cost be reduced by $144.84 resulting in a cost of $377.10 and $433.10 to retrofit or replace, respectively, a met</w:t>
      </w:r>
      <w:r w:rsidR="002B214A">
        <w:rPr>
          <w:rFonts w:eastAsiaTheme="minorHAnsi"/>
          <w:szCs w:val="22"/>
        </w:rPr>
        <w:t xml:space="preserve">er, as shown in Table </w:t>
      </w:r>
      <w:r>
        <w:rPr>
          <w:rFonts w:eastAsiaTheme="minorHAnsi"/>
          <w:szCs w:val="22"/>
        </w:rPr>
        <w:t xml:space="preserve">1. </w:t>
      </w:r>
      <w:r w:rsidR="00F379F0">
        <w:rPr>
          <w:rFonts w:eastAsiaTheme="minorHAnsi"/>
          <w:szCs w:val="22"/>
        </w:rPr>
        <w:t xml:space="preserve"> </w:t>
      </w:r>
      <w:r>
        <w:rPr>
          <w:rFonts w:eastAsiaTheme="minorHAnsi"/>
          <w:szCs w:val="22"/>
        </w:rPr>
        <w:t>The U</w:t>
      </w:r>
      <w:r w:rsidR="002776CA" w:rsidRPr="001B669F">
        <w:rPr>
          <w:rFonts w:eastAsiaTheme="minorHAnsi"/>
          <w:szCs w:val="22"/>
        </w:rPr>
        <w:t xml:space="preserve">tility stated its decision to retrofit roughly half of its meters rather than replace all 82 is based on the remaining life of the existing meters. </w:t>
      </w:r>
    </w:p>
    <w:p w:rsidR="00411116" w:rsidRDefault="0009466D" w:rsidP="00411116">
      <w:pPr>
        <w:jc w:val="both"/>
        <w:rPr>
          <w:rFonts w:eastAsiaTheme="minorHAnsi"/>
          <w:szCs w:val="22"/>
        </w:rPr>
      </w:pPr>
      <w:r>
        <w:rPr>
          <w:rFonts w:eastAsiaTheme="minorHAnsi"/>
          <w:szCs w:val="22"/>
        </w:rPr>
        <w:tab/>
      </w:r>
      <w:r w:rsidR="002776CA" w:rsidRPr="001B669F">
        <w:rPr>
          <w:rFonts w:eastAsiaTheme="minorHAnsi"/>
          <w:szCs w:val="22"/>
        </w:rPr>
        <w:t xml:space="preserve">Based on the information provided above, </w:t>
      </w:r>
      <w:r w:rsidR="00411116">
        <w:rPr>
          <w:rFonts w:eastAsiaTheme="minorHAnsi"/>
          <w:szCs w:val="22"/>
        </w:rPr>
        <w:t>we recognize</w:t>
      </w:r>
      <w:r w:rsidR="002776CA" w:rsidRPr="001B669F">
        <w:rPr>
          <w:rFonts w:eastAsiaTheme="minorHAnsi"/>
          <w:szCs w:val="22"/>
        </w:rPr>
        <w:t xml:space="preserve"> that upgrading the meters to AMI will bene</w:t>
      </w:r>
      <w:r w:rsidR="00411116">
        <w:rPr>
          <w:rFonts w:eastAsiaTheme="minorHAnsi"/>
          <w:szCs w:val="22"/>
        </w:rPr>
        <w:t xml:space="preserve">fit Leighton’s customers. </w:t>
      </w:r>
      <w:r w:rsidR="00F379F0">
        <w:rPr>
          <w:rFonts w:eastAsiaTheme="minorHAnsi"/>
          <w:szCs w:val="22"/>
        </w:rPr>
        <w:t xml:space="preserve"> </w:t>
      </w:r>
      <w:r w:rsidR="00411116">
        <w:rPr>
          <w:rFonts w:eastAsiaTheme="minorHAnsi"/>
          <w:szCs w:val="22"/>
        </w:rPr>
        <w:t>We recognize</w:t>
      </w:r>
      <w:r w:rsidR="002776CA" w:rsidRPr="001B669F">
        <w:rPr>
          <w:rFonts w:eastAsiaTheme="minorHAnsi"/>
          <w:szCs w:val="22"/>
        </w:rPr>
        <w:t xml:space="preserve"> that the ability to monitor for leakage, water theft, and pay bills online is a benefit to the customers. </w:t>
      </w:r>
      <w:r w:rsidR="00F379F0">
        <w:rPr>
          <w:rFonts w:eastAsiaTheme="minorHAnsi"/>
          <w:szCs w:val="22"/>
        </w:rPr>
        <w:t xml:space="preserve"> </w:t>
      </w:r>
      <w:r w:rsidR="002776CA" w:rsidRPr="001B669F">
        <w:rPr>
          <w:rFonts w:eastAsiaTheme="minorHAnsi"/>
          <w:szCs w:val="22"/>
        </w:rPr>
        <w:t xml:space="preserve">Therefore, </w:t>
      </w:r>
      <w:r w:rsidR="00411116">
        <w:rPr>
          <w:rFonts w:eastAsiaTheme="minorHAnsi"/>
          <w:szCs w:val="22"/>
        </w:rPr>
        <w:t>we</w:t>
      </w:r>
      <w:r w:rsidR="002776CA" w:rsidRPr="001B669F">
        <w:rPr>
          <w:rFonts w:eastAsiaTheme="minorHAnsi"/>
          <w:szCs w:val="22"/>
        </w:rPr>
        <w:t xml:space="preserve"> </w:t>
      </w:r>
      <w:r w:rsidR="00411116">
        <w:rPr>
          <w:rFonts w:eastAsiaTheme="minorHAnsi"/>
          <w:szCs w:val="22"/>
        </w:rPr>
        <w:t>find</w:t>
      </w:r>
      <w:r w:rsidR="002776CA" w:rsidRPr="001B669F">
        <w:rPr>
          <w:rFonts w:eastAsiaTheme="minorHAnsi"/>
          <w:szCs w:val="22"/>
        </w:rPr>
        <w:t xml:space="preserve"> the proposed AMI meter program is warranted.</w:t>
      </w:r>
    </w:p>
    <w:p w:rsidR="002776CA" w:rsidRPr="001B669F" w:rsidRDefault="00411116" w:rsidP="00411116">
      <w:pPr>
        <w:rPr>
          <w:rFonts w:eastAsiaTheme="minorHAnsi"/>
          <w:szCs w:val="22"/>
        </w:rPr>
      </w:pPr>
      <w:r>
        <w:rPr>
          <w:rFonts w:eastAsiaTheme="minorHAnsi"/>
          <w:szCs w:val="22"/>
        </w:rPr>
        <w:br w:type="page"/>
      </w:r>
    </w:p>
    <w:p w:rsidR="002776CA" w:rsidRPr="001B669F" w:rsidRDefault="00D967A0" w:rsidP="002776CA">
      <w:pPr>
        <w:jc w:val="center"/>
        <w:rPr>
          <w:b/>
        </w:rPr>
      </w:pPr>
      <w:r>
        <w:rPr>
          <w:b/>
        </w:rPr>
        <w:t xml:space="preserve">Table </w:t>
      </w:r>
      <w:r w:rsidR="002776CA" w:rsidRPr="001B669F">
        <w:rPr>
          <w:b/>
        </w:rPr>
        <w:t>1</w:t>
      </w:r>
    </w:p>
    <w:p w:rsidR="002776CA" w:rsidRPr="001B669F" w:rsidRDefault="002776CA" w:rsidP="002776CA">
      <w:pPr>
        <w:jc w:val="center"/>
        <w:rPr>
          <w:b/>
        </w:rPr>
      </w:pPr>
      <w:r w:rsidRPr="001B669F">
        <w:rPr>
          <w:b/>
        </w:rPr>
        <w:t>Meter Replacement Program: Meter Costs</w:t>
      </w:r>
    </w:p>
    <w:tbl>
      <w:tblPr>
        <w:tblStyle w:val="TableGrid"/>
        <w:tblW w:w="10429" w:type="dxa"/>
        <w:jc w:val="center"/>
        <w:tblLook w:val="04A0" w:firstRow="1" w:lastRow="0" w:firstColumn="1" w:lastColumn="0" w:noHBand="0" w:noVBand="1"/>
      </w:tblPr>
      <w:tblGrid>
        <w:gridCol w:w="2646"/>
        <w:gridCol w:w="2870"/>
        <w:gridCol w:w="1144"/>
        <w:gridCol w:w="2647"/>
        <w:gridCol w:w="1122"/>
      </w:tblGrid>
      <w:tr w:rsidR="002776CA" w:rsidRPr="001B669F" w:rsidTr="001B669F">
        <w:trPr>
          <w:trHeight w:val="276"/>
          <w:jc w:val="center"/>
        </w:trPr>
        <w:tc>
          <w:tcPr>
            <w:tcW w:w="2646" w:type="dxa"/>
          </w:tcPr>
          <w:p w:rsidR="002776CA" w:rsidRPr="001B669F" w:rsidRDefault="002776CA" w:rsidP="002776CA">
            <w:pPr>
              <w:jc w:val="center"/>
              <w:rPr>
                <w:b/>
              </w:rPr>
            </w:pPr>
          </w:p>
        </w:tc>
        <w:tc>
          <w:tcPr>
            <w:tcW w:w="4014" w:type="dxa"/>
            <w:gridSpan w:val="2"/>
          </w:tcPr>
          <w:p w:rsidR="002776CA" w:rsidRPr="001B669F" w:rsidRDefault="002776CA" w:rsidP="002776CA">
            <w:pPr>
              <w:jc w:val="center"/>
              <w:rPr>
                <w:b/>
              </w:rPr>
            </w:pPr>
            <w:r w:rsidRPr="001B669F">
              <w:rPr>
                <w:b/>
              </w:rPr>
              <w:t>Retrofit Meter</w:t>
            </w:r>
          </w:p>
        </w:tc>
        <w:tc>
          <w:tcPr>
            <w:tcW w:w="3769" w:type="dxa"/>
            <w:gridSpan w:val="2"/>
          </w:tcPr>
          <w:p w:rsidR="002776CA" w:rsidRPr="001B669F" w:rsidRDefault="002776CA" w:rsidP="002776CA">
            <w:pPr>
              <w:jc w:val="center"/>
              <w:rPr>
                <w:b/>
              </w:rPr>
            </w:pPr>
            <w:r w:rsidRPr="001B669F">
              <w:rPr>
                <w:b/>
              </w:rPr>
              <w:t>New Meter</w:t>
            </w:r>
          </w:p>
        </w:tc>
      </w:tr>
      <w:tr w:rsidR="002776CA" w:rsidRPr="001B669F" w:rsidTr="001B669F">
        <w:trPr>
          <w:trHeight w:val="262"/>
          <w:jc w:val="center"/>
        </w:trPr>
        <w:tc>
          <w:tcPr>
            <w:tcW w:w="2646" w:type="dxa"/>
          </w:tcPr>
          <w:p w:rsidR="002776CA" w:rsidRPr="001B669F" w:rsidRDefault="002776CA" w:rsidP="002776CA">
            <w:pPr>
              <w:jc w:val="both"/>
            </w:pPr>
            <w:r w:rsidRPr="001B669F">
              <w:t>Equipment</w:t>
            </w:r>
          </w:p>
        </w:tc>
        <w:tc>
          <w:tcPr>
            <w:tcW w:w="2870" w:type="dxa"/>
          </w:tcPr>
          <w:p w:rsidR="002776CA" w:rsidRPr="001B669F" w:rsidRDefault="002776CA" w:rsidP="002776CA">
            <w:pPr>
              <w:jc w:val="both"/>
            </w:pPr>
            <w:r w:rsidRPr="001B669F">
              <w:t>Retrofit Meter</w:t>
            </w:r>
          </w:p>
        </w:tc>
        <w:tc>
          <w:tcPr>
            <w:tcW w:w="1144" w:type="dxa"/>
          </w:tcPr>
          <w:p w:rsidR="002776CA" w:rsidRPr="001B669F" w:rsidRDefault="002776CA" w:rsidP="002776CA">
            <w:pPr>
              <w:jc w:val="right"/>
            </w:pPr>
            <w:r w:rsidRPr="001B669F">
              <w:t>$302.00</w:t>
            </w:r>
          </w:p>
        </w:tc>
        <w:tc>
          <w:tcPr>
            <w:tcW w:w="2647" w:type="dxa"/>
          </w:tcPr>
          <w:p w:rsidR="002776CA" w:rsidRPr="001B669F" w:rsidRDefault="002776CA" w:rsidP="002776CA">
            <w:pPr>
              <w:jc w:val="both"/>
            </w:pPr>
            <w:r w:rsidRPr="001B669F">
              <w:t>New Meter</w:t>
            </w:r>
          </w:p>
        </w:tc>
        <w:tc>
          <w:tcPr>
            <w:tcW w:w="1122" w:type="dxa"/>
          </w:tcPr>
          <w:p w:rsidR="002776CA" w:rsidRPr="001B669F" w:rsidRDefault="002776CA" w:rsidP="002776CA">
            <w:pPr>
              <w:jc w:val="right"/>
            </w:pPr>
            <w:r w:rsidRPr="001B669F">
              <w:t>$358.00</w:t>
            </w:r>
          </w:p>
        </w:tc>
      </w:tr>
      <w:tr w:rsidR="002776CA" w:rsidRPr="001B669F" w:rsidTr="001B669F">
        <w:trPr>
          <w:trHeight w:val="276"/>
          <w:jc w:val="center"/>
        </w:trPr>
        <w:tc>
          <w:tcPr>
            <w:tcW w:w="2646" w:type="dxa"/>
          </w:tcPr>
          <w:p w:rsidR="002776CA" w:rsidRPr="001B669F" w:rsidRDefault="002776CA" w:rsidP="002776CA">
            <w:pPr>
              <w:jc w:val="both"/>
            </w:pPr>
          </w:p>
        </w:tc>
        <w:tc>
          <w:tcPr>
            <w:tcW w:w="2870" w:type="dxa"/>
          </w:tcPr>
          <w:p w:rsidR="002776CA" w:rsidRPr="001B669F" w:rsidRDefault="002776CA" w:rsidP="002776CA">
            <w:pPr>
              <w:jc w:val="both"/>
            </w:pPr>
            <w:r w:rsidRPr="001B669F">
              <w:t>Meter Box</w:t>
            </w:r>
          </w:p>
        </w:tc>
        <w:tc>
          <w:tcPr>
            <w:tcW w:w="1144" w:type="dxa"/>
          </w:tcPr>
          <w:p w:rsidR="002776CA" w:rsidRPr="001B669F" w:rsidRDefault="002776CA" w:rsidP="002776CA">
            <w:pPr>
              <w:jc w:val="right"/>
            </w:pPr>
            <w:r w:rsidRPr="001B669F">
              <w:t>$24.56</w:t>
            </w:r>
          </w:p>
        </w:tc>
        <w:tc>
          <w:tcPr>
            <w:tcW w:w="2647" w:type="dxa"/>
          </w:tcPr>
          <w:p w:rsidR="002776CA" w:rsidRPr="001B669F" w:rsidRDefault="002776CA" w:rsidP="002776CA">
            <w:pPr>
              <w:jc w:val="both"/>
            </w:pPr>
            <w:r w:rsidRPr="001B669F">
              <w:t>Meter Box</w:t>
            </w:r>
          </w:p>
        </w:tc>
        <w:tc>
          <w:tcPr>
            <w:tcW w:w="1122" w:type="dxa"/>
          </w:tcPr>
          <w:p w:rsidR="002776CA" w:rsidRPr="001B669F" w:rsidRDefault="002776CA" w:rsidP="002776CA">
            <w:pPr>
              <w:jc w:val="right"/>
            </w:pPr>
            <w:r w:rsidRPr="001B669F">
              <w:t>$24.56</w:t>
            </w:r>
          </w:p>
        </w:tc>
      </w:tr>
      <w:tr w:rsidR="002776CA" w:rsidRPr="001B669F" w:rsidTr="001B669F">
        <w:trPr>
          <w:trHeight w:val="276"/>
          <w:jc w:val="center"/>
        </w:trPr>
        <w:tc>
          <w:tcPr>
            <w:tcW w:w="2646" w:type="dxa"/>
          </w:tcPr>
          <w:p w:rsidR="002776CA" w:rsidRPr="001B669F" w:rsidRDefault="002776CA" w:rsidP="002776CA">
            <w:pPr>
              <w:jc w:val="both"/>
            </w:pPr>
          </w:p>
        </w:tc>
        <w:tc>
          <w:tcPr>
            <w:tcW w:w="2870" w:type="dxa"/>
          </w:tcPr>
          <w:p w:rsidR="002776CA" w:rsidRPr="001B669F" w:rsidRDefault="002776CA" w:rsidP="002776CA">
            <w:pPr>
              <w:jc w:val="both"/>
            </w:pPr>
            <w:r w:rsidRPr="001B669F">
              <w:t>Meter Box Lid</w:t>
            </w:r>
          </w:p>
        </w:tc>
        <w:tc>
          <w:tcPr>
            <w:tcW w:w="1144" w:type="dxa"/>
          </w:tcPr>
          <w:p w:rsidR="002776CA" w:rsidRPr="001B669F" w:rsidRDefault="002776CA" w:rsidP="002776CA">
            <w:pPr>
              <w:jc w:val="right"/>
            </w:pPr>
            <w:r w:rsidRPr="001B669F">
              <w:t>$15.50</w:t>
            </w:r>
          </w:p>
        </w:tc>
        <w:tc>
          <w:tcPr>
            <w:tcW w:w="2647" w:type="dxa"/>
          </w:tcPr>
          <w:p w:rsidR="002776CA" w:rsidRPr="001B669F" w:rsidRDefault="002776CA" w:rsidP="002776CA">
            <w:pPr>
              <w:jc w:val="both"/>
            </w:pPr>
            <w:r w:rsidRPr="001B669F">
              <w:t>Meter Box lid</w:t>
            </w:r>
          </w:p>
        </w:tc>
        <w:tc>
          <w:tcPr>
            <w:tcW w:w="1122" w:type="dxa"/>
          </w:tcPr>
          <w:p w:rsidR="002776CA" w:rsidRPr="001B669F" w:rsidRDefault="002776CA" w:rsidP="002776CA">
            <w:pPr>
              <w:jc w:val="right"/>
            </w:pPr>
            <w:r w:rsidRPr="001B669F">
              <w:t>$15.50</w:t>
            </w:r>
          </w:p>
        </w:tc>
      </w:tr>
      <w:tr w:rsidR="002776CA" w:rsidRPr="001B669F" w:rsidTr="001B669F">
        <w:trPr>
          <w:trHeight w:val="262"/>
          <w:jc w:val="center"/>
        </w:trPr>
        <w:tc>
          <w:tcPr>
            <w:tcW w:w="2646" w:type="dxa"/>
          </w:tcPr>
          <w:p w:rsidR="002776CA" w:rsidRPr="001B669F" w:rsidRDefault="002776CA" w:rsidP="002776CA">
            <w:pPr>
              <w:jc w:val="both"/>
            </w:pPr>
          </w:p>
        </w:tc>
        <w:tc>
          <w:tcPr>
            <w:tcW w:w="2870" w:type="dxa"/>
          </w:tcPr>
          <w:p w:rsidR="002776CA" w:rsidRPr="001B669F" w:rsidRDefault="002776CA" w:rsidP="002776CA">
            <w:r w:rsidRPr="001B669F">
              <w:t>Locking Curb Stop</w:t>
            </w:r>
          </w:p>
        </w:tc>
        <w:tc>
          <w:tcPr>
            <w:tcW w:w="1144" w:type="dxa"/>
          </w:tcPr>
          <w:p w:rsidR="002776CA" w:rsidRPr="001B669F" w:rsidRDefault="002776CA" w:rsidP="002776CA">
            <w:pPr>
              <w:jc w:val="right"/>
            </w:pPr>
            <w:r w:rsidRPr="001B669F">
              <w:t>$35.04</w:t>
            </w:r>
          </w:p>
        </w:tc>
        <w:tc>
          <w:tcPr>
            <w:tcW w:w="2647" w:type="dxa"/>
          </w:tcPr>
          <w:p w:rsidR="002776CA" w:rsidRPr="001B669F" w:rsidRDefault="002776CA" w:rsidP="002776CA">
            <w:r w:rsidRPr="001B669F">
              <w:t>Locking Curb Stop</w:t>
            </w:r>
          </w:p>
        </w:tc>
        <w:tc>
          <w:tcPr>
            <w:tcW w:w="1122" w:type="dxa"/>
          </w:tcPr>
          <w:p w:rsidR="002776CA" w:rsidRPr="001B669F" w:rsidRDefault="002776CA" w:rsidP="002776CA">
            <w:pPr>
              <w:jc w:val="right"/>
            </w:pPr>
            <w:r w:rsidRPr="001B669F">
              <w:t>$35.04</w:t>
            </w:r>
          </w:p>
        </w:tc>
      </w:tr>
      <w:tr w:rsidR="002776CA" w:rsidRPr="001B669F" w:rsidTr="001B669F">
        <w:trPr>
          <w:trHeight w:val="64"/>
          <w:jc w:val="center"/>
        </w:trPr>
        <w:tc>
          <w:tcPr>
            <w:tcW w:w="2646" w:type="dxa"/>
          </w:tcPr>
          <w:p w:rsidR="002776CA" w:rsidRPr="001B669F" w:rsidRDefault="002776CA" w:rsidP="002776CA">
            <w:pPr>
              <w:jc w:val="both"/>
            </w:pPr>
            <w:r w:rsidRPr="001B669F">
              <w:t>Mileage</w:t>
            </w:r>
          </w:p>
        </w:tc>
        <w:tc>
          <w:tcPr>
            <w:tcW w:w="2870" w:type="dxa"/>
          </w:tcPr>
          <w:p w:rsidR="002776CA" w:rsidRPr="001B669F" w:rsidRDefault="002776CA" w:rsidP="002776CA">
            <w:r w:rsidRPr="001B669F">
              <w:t>Roundtrip from FUS1 to service territory</w:t>
            </w:r>
          </w:p>
        </w:tc>
        <w:tc>
          <w:tcPr>
            <w:tcW w:w="1144" w:type="dxa"/>
          </w:tcPr>
          <w:p w:rsidR="002776CA" w:rsidRPr="001B669F" w:rsidRDefault="002776CA" w:rsidP="002776CA">
            <w:pPr>
              <w:jc w:val="right"/>
            </w:pPr>
            <w:r w:rsidRPr="001B669F">
              <w:t>$91.84</w:t>
            </w:r>
          </w:p>
        </w:tc>
        <w:tc>
          <w:tcPr>
            <w:tcW w:w="2647" w:type="dxa"/>
          </w:tcPr>
          <w:p w:rsidR="002776CA" w:rsidRPr="001B669F" w:rsidRDefault="002776CA" w:rsidP="002776CA">
            <w:pPr>
              <w:jc w:val="both"/>
            </w:pPr>
            <w:r w:rsidRPr="001B669F">
              <w:t>Roundtrip from FUS1 to service territory</w:t>
            </w:r>
          </w:p>
        </w:tc>
        <w:tc>
          <w:tcPr>
            <w:tcW w:w="1122" w:type="dxa"/>
          </w:tcPr>
          <w:p w:rsidR="002776CA" w:rsidRPr="001B669F" w:rsidRDefault="002776CA" w:rsidP="002776CA">
            <w:pPr>
              <w:jc w:val="right"/>
            </w:pPr>
            <w:r w:rsidRPr="001B669F">
              <w:t>$91.84</w:t>
            </w:r>
          </w:p>
        </w:tc>
      </w:tr>
      <w:tr w:rsidR="002776CA" w:rsidRPr="001B669F" w:rsidTr="001B669F">
        <w:trPr>
          <w:trHeight w:val="64"/>
          <w:jc w:val="center"/>
        </w:trPr>
        <w:tc>
          <w:tcPr>
            <w:tcW w:w="2646" w:type="dxa"/>
          </w:tcPr>
          <w:p w:rsidR="002776CA" w:rsidRPr="001B669F" w:rsidRDefault="002776CA" w:rsidP="002776CA">
            <w:pPr>
              <w:jc w:val="both"/>
            </w:pPr>
            <w:r w:rsidRPr="001B669F">
              <w:t>Labor-Tech</w:t>
            </w:r>
          </w:p>
        </w:tc>
        <w:tc>
          <w:tcPr>
            <w:tcW w:w="2870" w:type="dxa"/>
          </w:tcPr>
          <w:p w:rsidR="002776CA" w:rsidRPr="001B669F" w:rsidRDefault="002776CA" w:rsidP="002776CA">
            <w:pPr>
              <w:jc w:val="both"/>
            </w:pPr>
            <w:r w:rsidRPr="001B669F">
              <w:t>Driving/Installation time</w:t>
            </w:r>
          </w:p>
        </w:tc>
        <w:tc>
          <w:tcPr>
            <w:tcW w:w="1144" w:type="dxa"/>
          </w:tcPr>
          <w:p w:rsidR="002776CA" w:rsidRPr="001B669F" w:rsidRDefault="002776CA" w:rsidP="002776CA">
            <w:pPr>
              <w:jc w:val="right"/>
            </w:pPr>
            <w:r w:rsidRPr="001B669F">
              <w:t>$47.00</w:t>
            </w:r>
          </w:p>
        </w:tc>
        <w:tc>
          <w:tcPr>
            <w:tcW w:w="2647" w:type="dxa"/>
          </w:tcPr>
          <w:p w:rsidR="002776CA" w:rsidRPr="001B669F" w:rsidRDefault="002776CA" w:rsidP="002776CA">
            <w:pPr>
              <w:jc w:val="both"/>
            </w:pPr>
            <w:r w:rsidRPr="001B669F">
              <w:t>Driving/Installation time</w:t>
            </w:r>
          </w:p>
        </w:tc>
        <w:tc>
          <w:tcPr>
            <w:tcW w:w="1122" w:type="dxa"/>
          </w:tcPr>
          <w:p w:rsidR="002776CA" w:rsidRPr="001B669F" w:rsidRDefault="002776CA" w:rsidP="002776CA">
            <w:pPr>
              <w:jc w:val="right"/>
            </w:pPr>
            <w:r w:rsidRPr="001B669F">
              <w:t>$47.00</w:t>
            </w:r>
          </w:p>
        </w:tc>
      </w:tr>
      <w:tr w:rsidR="002776CA" w:rsidRPr="001B669F" w:rsidTr="001B669F">
        <w:trPr>
          <w:trHeight w:val="65"/>
          <w:jc w:val="center"/>
        </w:trPr>
        <w:tc>
          <w:tcPr>
            <w:tcW w:w="2646" w:type="dxa"/>
          </w:tcPr>
          <w:p w:rsidR="002776CA" w:rsidRPr="001B669F" w:rsidRDefault="002776CA" w:rsidP="002776CA">
            <w:pPr>
              <w:jc w:val="both"/>
            </w:pPr>
            <w:r w:rsidRPr="001B669F">
              <w:t>Labor-Customer Service</w:t>
            </w:r>
          </w:p>
        </w:tc>
        <w:tc>
          <w:tcPr>
            <w:tcW w:w="2870" w:type="dxa"/>
          </w:tcPr>
          <w:p w:rsidR="002776CA" w:rsidRPr="001B669F" w:rsidRDefault="002776CA" w:rsidP="002776CA">
            <w:r w:rsidRPr="001B669F">
              <w:t>Customer service call with customer and charging billing account</w:t>
            </w:r>
          </w:p>
        </w:tc>
        <w:tc>
          <w:tcPr>
            <w:tcW w:w="1144" w:type="dxa"/>
          </w:tcPr>
          <w:p w:rsidR="002776CA" w:rsidRPr="001B669F" w:rsidRDefault="002776CA" w:rsidP="002776CA">
            <w:pPr>
              <w:jc w:val="right"/>
            </w:pPr>
            <w:r w:rsidRPr="001B669F">
              <w:t>$6.00</w:t>
            </w:r>
          </w:p>
        </w:tc>
        <w:tc>
          <w:tcPr>
            <w:tcW w:w="2647" w:type="dxa"/>
          </w:tcPr>
          <w:p w:rsidR="002776CA" w:rsidRPr="001B669F" w:rsidRDefault="002776CA" w:rsidP="002776CA">
            <w:r w:rsidRPr="001B669F">
              <w:t>Customer service call with customer and charging billing account</w:t>
            </w:r>
          </w:p>
        </w:tc>
        <w:tc>
          <w:tcPr>
            <w:tcW w:w="1122" w:type="dxa"/>
          </w:tcPr>
          <w:p w:rsidR="002776CA" w:rsidRPr="001B669F" w:rsidRDefault="002776CA" w:rsidP="002776CA">
            <w:pPr>
              <w:jc w:val="right"/>
            </w:pPr>
            <w:r w:rsidRPr="001B669F">
              <w:t>$6.00</w:t>
            </w:r>
          </w:p>
        </w:tc>
      </w:tr>
      <w:tr w:rsidR="002776CA" w:rsidRPr="001B669F" w:rsidTr="001B669F">
        <w:trPr>
          <w:trHeight w:val="64"/>
          <w:jc w:val="center"/>
        </w:trPr>
        <w:tc>
          <w:tcPr>
            <w:tcW w:w="2646" w:type="dxa"/>
          </w:tcPr>
          <w:p w:rsidR="002776CA" w:rsidRPr="001B669F" w:rsidRDefault="002776CA" w:rsidP="002776CA">
            <w:r w:rsidRPr="001B669F">
              <w:t>Utility Requested Total:</w:t>
            </w:r>
          </w:p>
        </w:tc>
        <w:tc>
          <w:tcPr>
            <w:tcW w:w="2870" w:type="dxa"/>
          </w:tcPr>
          <w:p w:rsidR="002776CA" w:rsidRPr="001B669F" w:rsidRDefault="002776CA" w:rsidP="002776CA">
            <w:pPr>
              <w:jc w:val="both"/>
            </w:pPr>
          </w:p>
        </w:tc>
        <w:tc>
          <w:tcPr>
            <w:tcW w:w="1144" w:type="dxa"/>
          </w:tcPr>
          <w:p w:rsidR="002776CA" w:rsidRPr="001B669F" w:rsidRDefault="002776CA" w:rsidP="002776CA">
            <w:pPr>
              <w:jc w:val="both"/>
            </w:pPr>
            <w:r w:rsidRPr="001B669F">
              <w:t>$521.94</w:t>
            </w:r>
          </w:p>
        </w:tc>
        <w:tc>
          <w:tcPr>
            <w:tcW w:w="2647" w:type="dxa"/>
          </w:tcPr>
          <w:p w:rsidR="002776CA" w:rsidRPr="001B669F" w:rsidRDefault="002776CA" w:rsidP="002776CA">
            <w:pPr>
              <w:jc w:val="both"/>
            </w:pPr>
          </w:p>
        </w:tc>
        <w:tc>
          <w:tcPr>
            <w:tcW w:w="1122" w:type="dxa"/>
          </w:tcPr>
          <w:p w:rsidR="002776CA" w:rsidRPr="001B669F" w:rsidRDefault="002776CA" w:rsidP="002776CA">
            <w:pPr>
              <w:jc w:val="both"/>
            </w:pPr>
            <w:r w:rsidRPr="001B669F">
              <w:t>$577.94</w:t>
            </w:r>
          </w:p>
        </w:tc>
      </w:tr>
      <w:tr w:rsidR="002776CA" w:rsidRPr="001B669F" w:rsidTr="001B669F">
        <w:trPr>
          <w:trHeight w:val="65"/>
          <w:jc w:val="center"/>
        </w:trPr>
        <w:tc>
          <w:tcPr>
            <w:tcW w:w="2646" w:type="dxa"/>
          </w:tcPr>
          <w:p w:rsidR="002776CA" w:rsidRPr="001B669F" w:rsidRDefault="002B214A" w:rsidP="002776CA">
            <w:r>
              <w:t>Commission Approv</w:t>
            </w:r>
            <w:r w:rsidR="002776CA" w:rsidRPr="001B669F">
              <w:t xml:space="preserve">ed Total: </w:t>
            </w:r>
          </w:p>
        </w:tc>
        <w:tc>
          <w:tcPr>
            <w:tcW w:w="2870" w:type="dxa"/>
          </w:tcPr>
          <w:p w:rsidR="002776CA" w:rsidRPr="001B669F" w:rsidRDefault="002776CA" w:rsidP="002776CA">
            <w:pPr>
              <w:jc w:val="both"/>
            </w:pPr>
            <w:r w:rsidRPr="001B669F">
              <w:t xml:space="preserve">  </w:t>
            </w:r>
          </w:p>
        </w:tc>
        <w:tc>
          <w:tcPr>
            <w:tcW w:w="1144" w:type="dxa"/>
          </w:tcPr>
          <w:p w:rsidR="002776CA" w:rsidRPr="001B669F" w:rsidRDefault="002776CA" w:rsidP="002776CA">
            <w:pPr>
              <w:jc w:val="both"/>
            </w:pPr>
            <w:r w:rsidRPr="001B669F">
              <w:t>$377.10</w:t>
            </w:r>
          </w:p>
          <w:p w:rsidR="002776CA" w:rsidRPr="001B669F" w:rsidRDefault="002776CA" w:rsidP="002776CA">
            <w:pPr>
              <w:jc w:val="both"/>
            </w:pPr>
          </w:p>
          <w:p w:rsidR="002776CA" w:rsidRPr="001B669F" w:rsidRDefault="002776CA" w:rsidP="002776CA">
            <w:pPr>
              <w:jc w:val="both"/>
              <w:rPr>
                <w:sz w:val="16"/>
                <w:szCs w:val="16"/>
              </w:rPr>
            </w:pPr>
            <w:r w:rsidRPr="001B669F">
              <w:rPr>
                <w:sz w:val="16"/>
                <w:szCs w:val="16"/>
              </w:rPr>
              <w:t>($521.94 - $144.84)</w:t>
            </w:r>
          </w:p>
        </w:tc>
        <w:tc>
          <w:tcPr>
            <w:tcW w:w="2647" w:type="dxa"/>
          </w:tcPr>
          <w:p w:rsidR="002776CA" w:rsidRPr="001B669F" w:rsidRDefault="002776CA" w:rsidP="002776CA">
            <w:pPr>
              <w:jc w:val="both"/>
            </w:pPr>
          </w:p>
        </w:tc>
        <w:tc>
          <w:tcPr>
            <w:tcW w:w="1122" w:type="dxa"/>
          </w:tcPr>
          <w:p w:rsidR="002776CA" w:rsidRPr="001B669F" w:rsidRDefault="002776CA" w:rsidP="002776CA">
            <w:pPr>
              <w:jc w:val="both"/>
            </w:pPr>
            <w:r w:rsidRPr="001B669F">
              <w:t>$433.10</w:t>
            </w:r>
          </w:p>
          <w:p w:rsidR="002776CA" w:rsidRPr="001B669F" w:rsidRDefault="002776CA" w:rsidP="002776CA">
            <w:pPr>
              <w:jc w:val="both"/>
            </w:pPr>
          </w:p>
          <w:p w:rsidR="002776CA" w:rsidRPr="001B669F" w:rsidRDefault="002776CA" w:rsidP="002776CA">
            <w:pPr>
              <w:jc w:val="both"/>
              <w:rPr>
                <w:sz w:val="16"/>
                <w:szCs w:val="16"/>
              </w:rPr>
            </w:pPr>
            <w:r w:rsidRPr="001B669F">
              <w:rPr>
                <w:sz w:val="16"/>
                <w:szCs w:val="16"/>
              </w:rPr>
              <w:t>($521.94 - $144.84)</w:t>
            </w:r>
          </w:p>
        </w:tc>
      </w:tr>
    </w:tbl>
    <w:p w:rsidR="002776CA" w:rsidRDefault="002776CA" w:rsidP="00411116">
      <w:pPr>
        <w:jc w:val="both"/>
        <w:rPr>
          <w:sz w:val="20"/>
          <w:szCs w:val="20"/>
        </w:rPr>
      </w:pPr>
      <w:r w:rsidRPr="001B669F">
        <w:rPr>
          <w:sz w:val="20"/>
          <w:szCs w:val="20"/>
        </w:rPr>
        <w:t>Source: Document No. 04830-2022</w:t>
      </w:r>
    </w:p>
    <w:p w:rsidR="00411116" w:rsidRPr="00411116" w:rsidRDefault="00411116" w:rsidP="00411116">
      <w:pPr>
        <w:jc w:val="both"/>
        <w:rPr>
          <w:sz w:val="20"/>
          <w:szCs w:val="20"/>
        </w:rPr>
      </w:pPr>
    </w:p>
    <w:p w:rsidR="002776CA" w:rsidRPr="001B669F" w:rsidRDefault="00D967A0" w:rsidP="002776CA">
      <w:pPr>
        <w:jc w:val="center"/>
        <w:rPr>
          <w:b/>
        </w:rPr>
      </w:pPr>
      <w:r>
        <w:rPr>
          <w:b/>
        </w:rPr>
        <w:t xml:space="preserve">Table </w:t>
      </w:r>
      <w:r w:rsidR="002776CA" w:rsidRPr="001B669F">
        <w:rPr>
          <w:b/>
        </w:rPr>
        <w:t>2</w:t>
      </w:r>
    </w:p>
    <w:p w:rsidR="002776CA" w:rsidRPr="001B669F" w:rsidRDefault="002776CA" w:rsidP="002776CA">
      <w:pPr>
        <w:keepNext/>
        <w:jc w:val="center"/>
        <w:rPr>
          <w:b/>
        </w:rPr>
      </w:pPr>
      <w:r w:rsidRPr="001B669F">
        <w:rPr>
          <w:b/>
        </w:rPr>
        <w:t>Pro Forma Plant Additions</w:t>
      </w:r>
    </w:p>
    <w:tbl>
      <w:tblPr>
        <w:tblStyle w:val="TableGrid1"/>
        <w:tblW w:w="10296" w:type="dxa"/>
        <w:jc w:val="center"/>
        <w:tblLayout w:type="fixed"/>
        <w:tblLook w:val="04A0" w:firstRow="1" w:lastRow="0" w:firstColumn="1" w:lastColumn="0" w:noHBand="0" w:noVBand="1"/>
      </w:tblPr>
      <w:tblGrid>
        <w:gridCol w:w="2735"/>
        <w:gridCol w:w="918"/>
        <w:gridCol w:w="5284"/>
        <w:gridCol w:w="1359"/>
      </w:tblGrid>
      <w:tr w:rsidR="002776CA" w:rsidRPr="001B669F" w:rsidTr="001B669F">
        <w:trPr>
          <w:trHeight w:val="300"/>
          <w:jc w:val="center"/>
        </w:trPr>
        <w:tc>
          <w:tcPr>
            <w:tcW w:w="2735" w:type="dxa"/>
            <w:vMerge w:val="restart"/>
            <w:vAlign w:val="bottom"/>
          </w:tcPr>
          <w:p w:rsidR="002776CA" w:rsidRPr="001B669F" w:rsidRDefault="002776CA" w:rsidP="002776CA">
            <w:pPr>
              <w:jc w:val="center"/>
              <w:rPr>
                <w:rFonts w:ascii="Times New Roman" w:hAnsi="Times New Roman" w:cs="Times New Roman"/>
                <w:b/>
              </w:rPr>
            </w:pPr>
            <w:r w:rsidRPr="001B669F">
              <w:rPr>
                <w:rFonts w:ascii="Times New Roman" w:hAnsi="Times New Roman" w:cs="Times New Roman"/>
                <w:b/>
              </w:rPr>
              <w:t>Project</w:t>
            </w:r>
          </w:p>
        </w:tc>
        <w:tc>
          <w:tcPr>
            <w:tcW w:w="918" w:type="dxa"/>
            <w:vMerge w:val="restart"/>
          </w:tcPr>
          <w:p w:rsidR="002776CA" w:rsidRPr="001B669F" w:rsidRDefault="002776CA" w:rsidP="002776CA">
            <w:pPr>
              <w:rPr>
                <w:rFonts w:ascii="Times New Roman" w:hAnsi="Times New Roman" w:cs="Times New Roman"/>
                <w:b/>
              </w:rPr>
            </w:pPr>
            <w:r w:rsidRPr="001B669F">
              <w:rPr>
                <w:rFonts w:ascii="Times New Roman" w:hAnsi="Times New Roman" w:cs="Times New Roman"/>
                <w:b/>
              </w:rPr>
              <w:t>Acct.</w:t>
            </w:r>
          </w:p>
          <w:p w:rsidR="002776CA" w:rsidRPr="001B669F" w:rsidRDefault="002776CA" w:rsidP="002776CA">
            <w:pPr>
              <w:jc w:val="center"/>
              <w:rPr>
                <w:rFonts w:ascii="Times New Roman" w:hAnsi="Times New Roman" w:cs="Times New Roman"/>
                <w:b/>
              </w:rPr>
            </w:pPr>
            <w:r w:rsidRPr="001B669F">
              <w:rPr>
                <w:rFonts w:ascii="Times New Roman" w:hAnsi="Times New Roman" w:cs="Times New Roman"/>
                <w:b/>
              </w:rPr>
              <w:t>No.</w:t>
            </w:r>
          </w:p>
        </w:tc>
        <w:tc>
          <w:tcPr>
            <w:tcW w:w="5284" w:type="dxa"/>
            <w:vMerge w:val="restart"/>
            <w:vAlign w:val="bottom"/>
          </w:tcPr>
          <w:p w:rsidR="002776CA" w:rsidRPr="001B669F" w:rsidRDefault="002776CA" w:rsidP="002776CA">
            <w:pPr>
              <w:jc w:val="center"/>
              <w:rPr>
                <w:rFonts w:ascii="Times New Roman" w:hAnsi="Times New Roman" w:cs="Times New Roman"/>
                <w:b/>
              </w:rPr>
            </w:pPr>
            <w:r w:rsidRPr="001B669F">
              <w:rPr>
                <w:rFonts w:ascii="Times New Roman" w:hAnsi="Times New Roman" w:cs="Times New Roman"/>
                <w:b/>
              </w:rPr>
              <w:t>Description</w:t>
            </w:r>
          </w:p>
        </w:tc>
        <w:tc>
          <w:tcPr>
            <w:tcW w:w="1359" w:type="dxa"/>
          </w:tcPr>
          <w:p w:rsidR="002776CA" w:rsidRPr="001B669F" w:rsidRDefault="002776CA" w:rsidP="002776CA">
            <w:pPr>
              <w:jc w:val="center"/>
              <w:rPr>
                <w:rFonts w:ascii="Times New Roman" w:hAnsi="Times New Roman" w:cs="Times New Roman"/>
                <w:b/>
              </w:rPr>
            </w:pPr>
            <w:r w:rsidRPr="001B669F">
              <w:rPr>
                <w:rFonts w:ascii="Times New Roman" w:hAnsi="Times New Roman" w:cs="Times New Roman"/>
                <w:b/>
              </w:rPr>
              <w:t>Amount</w:t>
            </w:r>
          </w:p>
        </w:tc>
      </w:tr>
      <w:tr w:rsidR="002776CA" w:rsidRPr="001B669F" w:rsidTr="001B669F">
        <w:trPr>
          <w:trHeight w:val="316"/>
          <w:jc w:val="center"/>
        </w:trPr>
        <w:tc>
          <w:tcPr>
            <w:tcW w:w="2735" w:type="dxa"/>
            <w:vMerge/>
          </w:tcPr>
          <w:p w:rsidR="002776CA" w:rsidRPr="001B669F" w:rsidRDefault="002776CA" w:rsidP="002776CA">
            <w:pPr>
              <w:rPr>
                <w:rFonts w:ascii="Times New Roman" w:hAnsi="Times New Roman" w:cs="Times New Roman"/>
              </w:rPr>
            </w:pPr>
          </w:p>
        </w:tc>
        <w:tc>
          <w:tcPr>
            <w:tcW w:w="918" w:type="dxa"/>
            <w:vMerge/>
          </w:tcPr>
          <w:p w:rsidR="002776CA" w:rsidRPr="001B669F" w:rsidRDefault="002776CA" w:rsidP="002776CA">
            <w:pPr>
              <w:rPr>
                <w:rFonts w:ascii="Times New Roman" w:hAnsi="Times New Roman" w:cs="Times New Roman"/>
              </w:rPr>
            </w:pPr>
          </w:p>
        </w:tc>
        <w:tc>
          <w:tcPr>
            <w:tcW w:w="5284" w:type="dxa"/>
            <w:vMerge/>
          </w:tcPr>
          <w:p w:rsidR="002776CA" w:rsidRPr="001B669F" w:rsidRDefault="002776CA" w:rsidP="002776CA">
            <w:pPr>
              <w:rPr>
                <w:rFonts w:ascii="Times New Roman" w:hAnsi="Times New Roman" w:cs="Times New Roman"/>
              </w:rPr>
            </w:pPr>
          </w:p>
        </w:tc>
        <w:tc>
          <w:tcPr>
            <w:tcW w:w="1359" w:type="dxa"/>
          </w:tcPr>
          <w:p w:rsidR="002776CA" w:rsidRPr="001B669F" w:rsidRDefault="002776CA" w:rsidP="002776CA">
            <w:pPr>
              <w:jc w:val="center"/>
              <w:rPr>
                <w:rFonts w:ascii="Times New Roman" w:hAnsi="Times New Roman" w:cs="Times New Roman"/>
              </w:rPr>
            </w:pPr>
          </w:p>
        </w:tc>
      </w:tr>
      <w:tr w:rsidR="002776CA" w:rsidRPr="001B669F" w:rsidTr="001B669F">
        <w:trPr>
          <w:trHeight w:val="260"/>
          <w:jc w:val="center"/>
        </w:trPr>
        <w:tc>
          <w:tcPr>
            <w:tcW w:w="2735"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Well Pump Replacement</w:t>
            </w:r>
          </w:p>
        </w:tc>
        <w:tc>
          <w:tcPr>
            <w:tcW w:w="918" w:type="dxa"/>
          </w:tcPr>
          <w:p w:rsidR="002776CA" w:rsidRPr="001B669F" w:rsidRDefault="002776CA" w:rsidP="002776CA">
            <w:pPr>
              <w:jc w:val="right"/>
              <w:rPr>
                <w:rFonts w:ascii="Times New Roman" w:hAnsi="Times New Roman" w:cs="Times New Roman"/>
              </w:rPr>
            </w:pPr>
            <w:r w:rsidRPr="001B669F">
              <w:rPr>
                <w:rFonts w:ascii="Times New Roman" w:hAnsi="Times New Roman" w:cs="Times New Roman"/>
              </w:rPr>
              <w:t>311</w:t>
            </w:r>
          </w:p>
        </w:tc>
        <w:tc>
          <w:tcPr>
            <w:tcW w:w="5284"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Replace failed well pump</w:t>
            </w:r>
          </w:p>
        </w:tc>
        <w:tc>
          <w:tcPr>
            <w:tcW w:w="1359" w:type="dxa"/>
            <w:vAlign w:val="bottom"/>
          </w:tcPr>
          <w:p w:rsidR="002776CA" w:rsidRPr="001B669F" w:rsidRDefault="002776CA" w:rsidP="002776CA">
            <w:pPr>
              <w:jc w:val="right"/>
              <w:rPr>
                <w:rFonts w:ascii="Times New Roman" w:hAnsi="Times New Roman" w:cs="Times New Roman"/>
              </w:rPr>
            </w:pPr>
            <w:r w:rsidRPr="001B669F">
              <w:rPr>
                <w:rFonts w:ascii="Times New Roman" w:hAnsi="Times New Roman" w:cs="Times New Roman"/>
              </w:rPr>
              <w:t>$4,941.00</w:t>
            </w:r>
          </w:p>
        </w:tc>
      </w:tr>
      <w:tr w:rsidR="002776CA" w:rsidRPr="001B669F" w:rsidTr="001B669F">
        <w:trPr>
          <w:trHeight w:val="332"/>
          <w:jc w:val="center"/>
        </w:trPr>
        <w:tc>
          <w:tcPr>
            <w:tcW w:w="2735" w:type="dxa"/>
          </w:tcPr>
          <w:p w:rsidR="002776CA" w:rsidRPr="001B669F" w:rsidRDefault="002776CA" w:rsidP="002776CA">
            <w:pPr>
              <w:rPr>
                <w:rFonts w:ascii="Times New Roman" w:hAnsi="Times New Roman" w:cs="Times New Roman"/>
              </w:rPr>
            </w:pPr>
          </w:p>
        </w:tc>
        <w:tc>
          <w:tcPr>
            <w:tcW w:w="918" w:type="dxa"/>
          </w:tcPr>
          <w:p w:rsidR="002776CA" w:rsidRPr="001B669F" w:rsidRDefault="002776CA" w:rsidP="002776CA">
            <w:pPr>
              <w:jc w:val="right"/>
              <w:rPr>
                <w:rFonts w:ascii="Times New Roman" w:hAnsi="Times New Roman" w:cs="Times New Roman"/>
              </w:rPr>
            </w:pPr>
          </w:p>
        </w:tc>
        <w:tc>
          <w:tcPr>
            <w:tcW w:w="5284"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Associated Retirement</w:t>
            </w:r>
          </w:p>
        </w:tc>
        <w:tc>
          <w:tcPr>
            <w:tcW w:w="1359" w:type="dxa"/>
            <w:vAlign w:val="bottom"/>
          </w:tcPr>
          <w:p w:rsidR="002776CA" w:rsidRPr="001B669F" w:rsidRDefault="002776CA" w:rsidP="002776CA">
            <w:pPr>
              <w:jc w:val="right"/>
              <w:rPr>
                <w:rFonts w:ascii="Times New Roman" w:hAnsi="Times New Roman" w:cs="Times New Roman"/>
              </w:rPr>
            </w:pPr>
          </w:p>
        </w:tc>
      </w:tr>
      <w:tr w:rsidR="002776CA" w:rsidRPr="001B669F" w:rsidTr="001B669F">
        <w:trPr>
          <w:trHeight w:val="359"/>
          <w:jc w:val="center"/>
        </w:trPr>
        <w:tc>
          <w:tcPr>
            <w:tcW w:w="2735"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Vehicle Purchase</w:t>
            </w:r>
          </w:p>
        </w:tc>
        <w:tc>
          <w:tcPr>
            <w:tcW w:w="918" w:type="dxa"/>
          </w:tcPr>
          <w:p w:rsidR="002776CA" w:rsidRPr="001B669F" w:rsidRDefault="002776CA" w:rsidP="002776CA">
            <w:pPr>
              <w:jc w:val="right"/>
              <w:rPr>
                <w:rFonts w:ascii="Times New Roman" w:hAnsi="Times New Roman" w:cs="Times New Roman"/>
              </w:rPr>
            </w:pPr>
            <w:r w:rsidRPr="001B669F">
              <w:rPr>
                <w:rFonts w:ascii="Times New Roman" w:hAnsi="Times New Roman" w:cs="Times New Roman"/>
              </w:rPr>
              <w:t>341</w:t>
            </w:r>
          </w:p>
        </w:tc>
        <w:tc>
          <w:tcPr>
            <w:tcW w:w="5284"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2021 Ford F150 vehicle purchase</w:t>
            </w:r>
          </w:p>
        </w:tc>
        <w:tc>
          <w:tcPr>
            <w:tcW w:w="1359" w:type="dxa"/>
            <w:vAlign w:val="bottom"/>
          </w:tcPr>
          <w:p w:rsidR="002776CA" w:rsidRPr="001B669F" w:rsidRDefault="002776CA" w:rsidP="002776CA">
            <w:pPr>
              <w:jc w:val="right"/>
              <w:rPr>
                <w:rFonts w:ascii="Times New Roman" w:hAnsi="Times New Roman" w:cs="Times New Roman"/>
              </w:rPr>
            </w:pPr>
            <w:r w:rsidRPr="001B669F">
              <w:rPr>
                <w:rFonts w:ascii="Times New Roman" w:hAnsi="Times New Roman" w:cs="Times New Roman"/>
              </w:rPr>
              <w:t>$46,030</w:t>
            </w:r>
          </w:p>
        </w:tc>
      </w:tr>
      <w:tr w:rsidR="002776CA" w:rsidRPr="001B669F" w:rsidTr="001B669F">
        <w:trPr>
          <w:trHeight w:val="65"/>
          <w:jc w:val="center"/>
        </w:trPr>
        <w:tc>
          <w:tcPr>
            <w:tcW w:w="2735"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Vehicle Purchase</w:t>
            </w:r>
          </w:p>
        </w:tc>
        <w:tc>
          <w:tcPr>
            <w:tcW w:w="918" w:type="dxa"/>
          </w:tcPr>
          <w:p w:rsidR="002776CA" w:rsidRPr="001B669F" w:rsidRDefault="002776CA" w:rsidP="002776CA">
            <w:pPr>
              <w:jc w:val="right"/>
              <w:rPr>
                <w:rFonts w:ascii="Times New Roman" w:hAnsi="Times New Roman" w:cs="Times New Roman"/>
              </w:rPr>
            </w:pPr>
            <w:r w:rsidRPr="001B669F">
              <w:rPr>
                <w:rFonts w:ascii="Times New Roman" w:hAnsi="Times New Roman" w:cs="Times New Roman"/>
              </w:rPr>
              <w:t>341</w:t>
            </w:r>
          </w:p>
        </w:tc>
        <w:tc>
          <w:tcPr>
            <w:tcW w:w="5284"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2021 Ford F150 vehicle purchase</w:t>
            </w:r>
          </w:p>
        </w:tc>
        <w:tc>
          <w:tcPr>
            <w:tcW w:w="1359" w:type="dxa"/>
            <w:vAlign w:val="bottom"/>
          </w:tcPr>
          <w:p w:rsidR="002776CA" w:rsidRPr="001B669F" w:rsidRDefault="002776CA" w:rsidP="002776CA">
            <w:pPr>
              <w:jc w:val="right"/>
              <w:rPr>
                <w:rFonts w:ascii="Times New Roman" w:hAnsi="Times New Roman" w:cs="Times New Roman"/>
              </w:rPr>
            </w:pPr>
            <w:r w:rsidRPr="001B669F">
              <w:rPr>
                <w:rFonts w:ascii="Times New Roman" w:hAnsi="Times New Roman" w:cs="Times New Roman"/>
              </w:rPr>
              <w:t>$34,558</w:t>
            </w:r>
          </w:p>
        </w:tc>
      </w:tr>
      <w:tr w:rsidR="002776CA" w:rsidRPr="001B669F" w:rsidTr="001B669F">
        <w:trPr>
          <w:trHeight w:val="65"/>
          <w:jc w:val="center"/>
        </w:trPr>
        <w:tc>
          <w:tcPr>
            <w:tcW w:w="2735"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Meter Replacement Program</w:t>
            </w:r>
          </w:p>
        </w:tc>
        <w:tc>
          <w:tcPr>
            <w:tcW w:w="918" w:type="dxa"/>
          </w:tcPr>
          <w:p w:rsidR="002776CA" w:rsidRPr="001B669F" w:rsidRDefault="002776CA" w:rsidP="002776CA">
            <w:pPr>
              <w:jc w:val="right"/>
              <w:rPr>
                <w:rFonts w:ascii="Times New Roman" w:hAnsi="Times New Roman" w:cs="Times New Roman"/>
              </w:rPr>
            </w:pPr>
            <w:r w:rsidRPr="001B669F">
              <w:rPr>
                <w:rFonts w:ascii="Times New Roman" w:hAnsi="Times New Roman" w:cs="Times New Roman"/>
              </w:rPr>
              <w:t>334</w:t>
            </w:r>
          </w:p>
        </w:tc>
        <w:tc>
          <w:tcPr>
            <w:tcW w:w="5284"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Replace or retrofit existing standard meters with AMI meters</w:t>
            </w:r>
          </w:p>
        </w:tc>
        <w:tc>
          <w:tcPr>
            <w:tcW w:w="1359" w:type="dxa"/>
            <w:vAlign w:val="bottom"/>
          </w:tcPr>
          <w:p w:rsidR="002776CA" w:rsidRPr="001B669F" w:rsidRDefault="002776CA" w:rsidP="002776CA">
            <w:pPr>
              <w:jc w:val="right"/>
              <w:rPr>
                <w:rFonts w:ascii="Times New Roman" w:hAnsi="Times New Roman" w:cs="Times New Roman"/>
              </w:rPr>
            </w:pPr>
            <w:r w:rsidRPr="001B669F">
              <w:rPr>
                <w:rFonts w:ascii="Times New Roman" w:hAnsi="Times New Roman" w:cs="Times New Roman"/>
              </w:rPr>
              <w:t>$33,349</w:t>
            </w:r>
          </w:p>
        </w:tc>
      </w:tr>
      <w:tr w:rsidR="002776CA" w:rsidRPr="001B669F" w:rsidTr="001B669F">
        <w:trPr>
          <w:trHeight w:val="65"/>
          <w:jc w:val="center"/>
        </w:trPr>
        <w:tc>
          <w:tcPr>
            <w:tcW w:w="3653" w:type="dxa"/>
            <w:gridSpan w:val="2"/>
          </w:tcPr>
          <w:p w:rsidR="002776CA" w:rsidRPr="001B669F" w:rsidRDefault="002776CA" w:rsidP="002776CA">
            <w:pPr>
              <w:rPr>
                <w:rFonts w:ascii="Times New Roman" w:hAnsi="Times New Roman" w:cs="Times New Roman"/>
              </w:rPr>
            </w:pPr>
          </w:p>
        </w:tc>
        <w:tc>
          <w:tcPr>
            <w:tcW w:w="5284" w:type="dxa"/>
          </w:tcPr>
          <w:p w:rsidR="002776CA" w:rsidRPr="001B669F" w:rsidRDefault="002776CA" w:rsidP="002776CA">
            <w:pPr>
              <w:rPr>
                <w:rFonts w:ascii="Times New Roman" w:hAnsi="Times New Roman" w:cs="Times New Roman"/>
              </w:rPr>
            </w:pPr>
            <w:r w:rsidRPr="001B669F">
              <w:rPr>
                <w:rFonts w:ascii="Times New Roman" w:hAnsi="Times New Roman" w:cs="Times New Roman"/>
              </w:rPr>
              <w:t>Associated Retirement</w:t>
            </w:r>
          </w:p>
        </w:tc>
        <w:tc>
          <w:tcPr>
            <w:tcW w:w="1359" w:type="dxa"/>
            <w:vAlign w:val="bottom"/>
          </w:tcPr>
          <w:p w:rsidR="002776CA" w:rsidRPr="001B669F" w:rsidRDefault="002776CA" w:rsidP="002776CA">
            <w:pPr>
              <w:jc w:val="right"/>
              <w:rPr>
                <w:rFonts w:ascii="Times New Roman" w:hAnsi="Times New Roman" w:cs="Times New Roman"/>
              </w:rPr>
            </w:pPr>
          </w:p>
        </w:tc>
      </w:tr>
      <w:tr w:rsidR="002776CA" w:rsidRPr="001B669F" w:rsidTr="001B669F">
        <w:trPr>
          <w:trHeight w:val="65"/>
          <w:jc w:val="center"/>
        </w:trPr>
        <w:tc>
          <w:tcPr>
            <w:tcW w:w="3653" w:type="dxa"/>
            <w:gridSpan w:val="2"/>
          </w:tcPr>
          <w:p w:rsidR="002776CA" w:rsidRPr="001B669F" w:rsidRDefault="002776CA" w:rsidP="002776CA">
            <w:pPr>
              <w:rPr>
                <w:rFonts w:ascii="Times New Roman" w:hAnsi="Times New Roman" w:cs="Times New Roman"/>
              </w:rPr>
            </w:pPr>
            <w:r w:rsidRPr="001B669F">
              <w:rPr>
                <w:rFonts w:ascii="Times New Roman" w:hAnsi="Times New Roman" w:cs="Times New Roman"/>
              </w:rPr>
              <w:t>Net Adjustment</w:t>
            </w:r>
          </w:p>
        </w:tc>
        <w:tc>
          <w:tcPr>
            <w:tcW w:w="5284" w:type="dxa"/>
          </w:tcPr>
          <w:p w:rsidR="002776CA" w:rsidRPr="001B669F" w:rsidRDefault="002776CA" w:rsidP="002776CA">
            <w:pPr>
              <w:rPr>
                <w:rFonts w:ascii="Times New Roman" w:hAnsi="Times New Roman" w:cs="Times New Roman"/>
              </w:rPr>
            </w:pPr>
          </w:p>
        </w:tc>
        <w:tc>
          <w:tcPr>
            <w:tcW w:w="1359" w:type="dxa"/>
          </w:tcPr>
          <w:p w:rsidR="002776CA" w:rsidRPr="001B669F" w:rsidRDefault="002776CA" w:rsidP="002776CA">
            <w:pPr>
              <w:jc w:val="right"/>
              <w:rPr>
                <w:rFonts w:ascii="Times New Roman" w:hAnsi="Times New Roman" w:cs="Times New Roman"/>
                <w:u w:val="double"/>
              </w:rPr>
            </w:pPr>
          </w:p>
        </w:tc>
      </w:tr>
    </w:tbl>
    <w:p w:rsidR="002776CA" w:rsidRPr="001B669F" w:rsidRDefault="002776CA" w:rsidP="002776CA">
      <w:pPr>
        <w:jc w:val="both"/>
        <w:rPr>
          <w:sz w:val="20"/>
          <w:szCs w:val="20"/>
        </w:rPr>
      </w:pPr>
      <w:r w:rsidRPr="001B669F">
        <w:t xml:space="preserve"> </w:t>
      </w:r>
      <w:r w:rsidRPr="001B669F">
        <w:rPr>
          <w:sz w:val="20"/>
          <w:szCs w:val="20"/>
        </w:rPr>
        <w:t xml:space="preserve"> Source: Document Nos. 04830-2022, 06031-2022, and 04830-2022</w:t>
      </w:r>
    </w:p>
    <w:p w:rsidR="002776CA" w:rsidRPr="001B669F" w:rsidRDefault="002776CA" w:rsidP="002776CA">
      <w:pPr>
        <w:jc w:val="both"/>
      </w:pPr>
    </w:p>
    <w:p w:rsidR="002776CA" w:rsidRPr="001B669F" w:rsidRDefault="00D967A0" w:rsidP="002776CA">
      <w:pPr>
        <w:keepNext/>
        <w:jc w:val="center"/>
        <w:rPr>
          <w:b/>
        </w:rPr>
      </w:pPr>
      <w:r>
        <w:rPr>
          <w:b/>
        </w:rPr>
        <w:t xml:space="preserve">Table </w:t>
      </w:r>
      <w:r w:rsidR="002776CA" w:rsidRPr="001B669F">
        <w:rPr>
          <w:b/>
        </w:rPr>
        <w:t>3</w:t>
      </w:r>
    </w:p>
    <w:p w:rsidR="002776CA" w:rsidRPr="001B669F" w:rsidRDefault="002776CA" w:rsidP="002776CA">
      <w:pPr>
        <w:keepNext/>
        <w:jc w:val="center"/>
        <w:rPr>
          <w:b/>
        </w:rPr>
      </w:pPr>
      <w:r w:rsidRPr="001B669F">
        <w:rPr>
          <w:b/>
        </w:rPr>
        <w:t>Pro Forma Plant Items</w:t>
      </w:r>
    </w:p>
    <w:tbl>
      <w:tblPr>
        <w:tblStyle w:val="TableGrid"/>
        <w:tblW w:w="5357" w:type="pct"/>
        <w:tblInd w:w="-342" w:type="dxa"/>
        <w:tblBorders>
          <w:insideH w:val="none" w:sz="0" w:space="0" w:color="auto"/>
          <w:insideV w:val="none" w:sz="0" w:space="0" w:color="auto"/>
        </w:tblBorders>
        <w:tblLook w:val="04A0" w:firstRow="1" w:lastRow="0" w:firstColumn="1" w:lastColumn="0" w:noHBand="0" w:noVBand="1"/>
      </w:tblPr>
      <w:tblGrid>
        <w:gridCol w:w="6377"/>
        <w:gridCol w:w="1845"/>
        <w:gridCol w:w="2038"/>
      </w:tblGrid>
      <w:tr w:rsidR="002776CA" w:rsidRPr="001B669F" w:rsidTr="00411116">
        <w:tc>
          <w:tcPr>
            <w:tcW w:w="3108" w:type="pct"/>
          </w:tcPr>
          <w:p w:rsidR="002776CA" w:rsidRPr="001B669F" w:rsidRDefault="002776CA" w:rsidP="002776CA">
            <w:pPr>
              <w:jc w:val="center"/>
              <w:rPr>
                <w:b/>
              </w:rPr>
            </w:pPr>
            <w:r w:rsidRPr="001B669F">
              <w:rPr>
                <w:b/>
              </w:rPr>
              <w:t>Project</w:t>
            </w:r>
          </w:p>
        </w:tc>
        <w:tc>
          <w:tcPr>
            <w:tcW w:w="899" w:type="pct"/>
          </w:tcPr>
          <w:p w:rsidR="002776CA" w:rsidRPr="001B669F" w:rsidRDefault="002776CA" w:rsidP="002776CA">
            <w:pPr>
              <w:jc w:val="center"/>
              <w:rPr>
                <w:b/>
              </w:rPr>
            </w:pPr>
            <w:r w:rsidRPr="001B669F">
              <w:rPr>
                <w:b/>
              </w:rPr>
              <w:t>Additions</w:t>
            </w:r>
          </w:p>
        </w:tc>
        <w:tc>
          <w:tcPr>
            <w:tcW w:w="993" w:type="pct"/>
          </w:tcPr>
          <w:p w:rsidR="002776CA" w:rsidRPr="001B669F" w:rsidRDefault="002776CA" w:rsidP="002776CA">
            <w:pPr>
              <w:jc w:val="center"/>
              <w:rPr>
                <w:b/>
              </w:rPr>
            </w:pPr>
            <w:r w:rsidRPr="001B669F">
              <w:rPr>
                <w:b/>
              </w:rPr>
              <w:t>Retirements</w:t>
            </w:r>
          </w:p>
        </w:tc>
      </w:tr>
      <w:tr w:rsidR="002776CA" w:rsidRPr="001B669F" w:rsidTr="00411116">
        <w:tc>
          <w:tcPr>
            <w:tcW w:w="3108" w:type="pct"/>
          </w:tcPr>
          <w:p w:rsidR="002776CA" w:rsidRPr="001B669F" w:rsidRDefault="002776CA" w:rsidP="002776CA">
            <w:r w:rsidRPr="001B669F">
              <w:t>Acct. 311 – Replace failed pump.</w:t>
            </w:r>
          </w:p>
        </w:tc>
        <w:tc>
          <w:tcPr>
            <w:tcW w:w="899" w:type="pct"/>
          </w:tcPr>
          <w:p w:rsidR="002776CA" w:rsidRPr="001B669F" w:rsidRDefault="002776CA" w:rsidP="002776CA">
            <w:pPr>
              <w:jc w:val="right"/>
            </w:pPr>
            <w:r w:rsidRPr="001B669F">
              <w:t>$4,941</w:t>
            </w:r>
          </w:p>
        </w:tc>
        <w:tc>
          <w:tcPr>
            <w:tcW w:w="993" w:type="pct"/>
          </w:tcPr>
          <w:p w:rsidR="002776CA" w:rsidRPr="001B669F" w:rsidRDefault="002776CA" w:rsidP="002776CA">
            <w:pPr>
              <w:jc w:val="right"/>
            </w:pPr>
            <w:r w:rsidRPr="001B669F">
              <w:t>($3,706)</w:t>
            </w:r>
          </w:p>
        </w:tc>
      </w:tr>
      <w:tr w:rsidR="002776CA" w:rsidRPr="001B669F" w:rsidTr="00411116">
        <w:tc>
          <w:tcPr>
            <w:tcW w:w="3108" w:type="pct"/>
          </w:tcPr>
          <w:p w:rsidR="002776CA" w:rsidRPr="001B669F" w:rsidRDefault="002776CA" w:rsidP="002776CA">
            <w:r w:rsidRPr="001B669F">
              <w:t>Acct. 334 – Meter replacement amortized 10 years.</w:t>
            </w:r>
          </w:p>
        </w:tc>
        <w:tc>
          <w:tcPr>
            <w:tcW w:w="899" w:type="pct"/>
          </w:tcPr>
          <w:p w:rsidR="002776CA" w:rsidRPr="001B669F" w:rsidRDefault="002776CA" w:rsidP="002776CA">
            <w:pPr>
              <w:jc w:val="right"/>
            </w:pPr>
            <w:r w:rsidRPr="001B669F">
              <w:t>3,316</w:t>
            </w:r>
          </w:p>
        </w:tc>
        <w:tc>
          <w:tcPr>
            <w:tcW w:w="993" w:type="pct"/>
          </w:tcPr>
          <w:p w:rsidR="002776CA" w:rsidRPr="001B669F" w:rsidRDefault="002776CA" w:rsidP="002776CA">
            <w:pPr>
              <w:jc w:val="right"/>
            </w:pPr>
            <w:r w:rsidRPr="001B669F">
              <w:t>(2,487)</w:t>
            </w:r>
          </w:p>
        </w:tc>
      </w:tr>
      <w:tr w:rsidR="002776CA" w:rsidRPr="001B669F" w:rsidTr="00411116">
        <w:tc>
          <w:tcPr>
            <w:tcW w:w="3108" w:type="pct"/>
          </w:tcPr>
          <w:p w:rsidR="002776CA" w:rsidRPr="001B669F" w:rsidRDefault="002776CA" w:rsidP="002776CA">
            <w:r w:rsidRPr="001B669F">
              <w:t>Acct. 341 – 2021 F-150 Truck 2.00 percent allocation.</w:t>
            </w:r>
          </w:p>
        </w:tc>
        <w:tc>
          <w:tcPr>
            <w:tcW w:w="899" w:type="pct"/>
          </w:tcPr>
          <w:p w:rsidR="002776CA" w:rsidRPr="001B669F" w:rsidRDefault="002776CA" w:rsidP="002776CA">
            <w:pPr>
              <w:jc w:val="right"/>
            </w:pPr>
            <w:r w:rsidRPr="001B669F">
              <w:t>921</w:t>
            </w:r>
          </w:p>
        </w:tc>
        <w:tc>
          <w:tcPr>
            <w:tcW w:w="993" w:type="pct"/>
          </w:tcPr>
          <w:p w:rsidR="002776CA" w:rsidRPr="001B669F" w:rsidRDefault="002776CA" w:rsidP="002776CA">
            <w:pPr>
              <w:jc w:val="right"/>
            </w:pPr>
            <w:r w:rsidRPr="001B669F">
              <w:t>0</w:t>
            </w:r>
          </w:p>
        </w:tc>
      </w:tr>
      <w:tr w:rsidR="002776CA" w:rsidRPr="001B669F" w:rsidTr="00411116">
        <w:tc>
          <w:tcPr>
            <w:tcW w:w="3108" w:type="pct"/>
          </w:tcPr>
          <w:p w:rsidR="002776CA" w:rsidRPr="001B669F" w:rsidRDefault="002776CA" w:rsidP="002776CA">
            <w:r w:rsidRPr="001B669F">
              <w:t>Acct. 341 – 2021 F-150 Truck 2.00 percent allocation.</w:t>
            </w:r>
          </w:p>
        </w:tc>
        <w:tc>
          <w:tcPr>
            <w:tcW w:w="899" w:type="pct"/>
          </w:tcPr>
          <w:p w:rsidR="002776CA" w:rsidRPr="001B669F" w:rsidRDefault="002776CA" w:rsidP="002776CA">
            <w:pPr>
              <w:ind w:left="720"/>
              <w:contextualSpacing/>
              <w:jc w:val="right"/>
              <w:rPr>
                <w:u w:val="double"/>
              </w:rPr>
            </w:pPr>
            <w:r w:rsidRPr="001B669F">
              <w:rPr>
                <w:u w:val="double"/>
              </w:rPr>
              <w:t>693</w:t>
            </w:r>
          </w:p>
        </w:tc>
        <w:tc>
          <w:tcPr>
            <w:tcW w:w="993" w:type="pct"/>
          </w:tcPr>
          <w:p w:rsidR="002776CA" w:rsidRPr="001B669F" w:rsidRDefault="002776CA" w:rsidP="002776CA">
            <w:pPr>
              <w:jc w:val="right"/>
              <w:rPr>
                <w:u w:val="double"/>
              </w:rPr>
            </w:pPr>
            <w:r w:rsidRPr="001B669F">
              <w:rPr>
                <w:u w:val="double"/>
              </w:rPr>
              <w:t>0</w:t>
            </w:r>
          </w:p>
        </w:tc>
      </w:tr>
      <w:tr w:rsidR="002776CA" w:rsidRPr="001B669F" w:rsidTr="00411116">
        <w:tc>
          <w:tcPr>
            <w:tcW w:w="3108" w:type="pct"/>
          </w:tcPr>
          <w:p w:rsidR="002776CA" w:rsidRPr="001B669F" w:rsidRDefault="002776CA" w:rsidP="002776CA">
            <w:r w:rsidRPr="001B669F">
              <w:t xml:space="preserve">     Total Pro Forma</w:t>
            </w:r>
          </w:p>
        </w:tc>
        <w:tc>
          <w:tcPr>
            <w:tcW w:w="899" w:type="pct"/>
          </w:tcPr>
          <w:p w:rsidR="002776CA" w:rsidRPr="001B669F" w:rsidRDefault="002776CA" w:rsidP="002776CA">
            <w:pPr>
              <w:ind w:left="720"/>
              <w:contextualSpacing/>
              <w:jc w:val="right"/>
              <w:rPr>
                <w:u w:val="double"/>
              </w:rPr>
            </w:pPr>
            <w:r w:rsidRPr="001B669F">
              <w:rPr>
                <w:u w:val="double"/>
              </w:rPr>
              <w:t>$9,871</w:t>
            </w:r>
          </w:p>
        </w:tc>
        <w:tc>
          <w:tcPr>
            <w:tcW w:w="993" w:type="pct"/>
          </w:tcPr>
          <w:p w:rsidR="002776CA" w:rsidRPr="001B669F" w:rsidRDefault="002776CA" w:rsidP="002776CA">
            <w:pPr>
              <w:jc w:val="right"/>
              <w:rPr>
                <w:u w:val="double"/>
              </w:rPr>
            </w:pPr>
            <w:r w:rsidRPr="001B669F">
              <w:rPr>
                <w:u w:val="double"/>
              </w:rPr>
              <w:t>($6,193)</w:t>
            </w:r>
          </w:p>
        </w:tc>
      </w:tr>
    </w:tbl>
    <w:p w:rsidR="002776CA" w:rsidRPr="001B669F" w:rsidRDefault="002776CA" w:rsidP="002776CA"/>
    <w:p w:rsidR="002776CA" w:rsidRPr="001B669F" w:rsidRDefault="00411116" w:rsidP="002776CA">
      <w:pPr>
        <w:jc w:val="both"/>
      </w:pPr>
      <w:r>
        <w:tab/>
      </w:r>
      <w:r w:rsidR="002776CA" w:rsidRPr="001B669F">
        <w:t xml:space="preserve">Based on the above, </w:t>
      </w:r>
      <w:r>
        <w:t>we</w:t>
      </w:r>
      <w:r w:rsidR="002776CA" w:rsidRPr="001B669F">
        <w:t xml:space="preserve"> </w:t>
      </w:r>
      <w:r>
        <w:t>find</w:t>
      </w:r>
      <w:r w:rsidR="002776CA" w:rsidRPr="001B669F">
        <w:t xml:space="preserve"> an average UPIS balance of $368,019 ($366,405 - $2,064 + $9,871 - $6,193).</w:t>
      </w:r>
    </w:p>
    <w:p w:rsidR="002776CA" w:rsidRPr="00411116" w:rsidRDefault="00411116" w:rsidP="00411116">
      <w:pPr>
        <w:pStyle w:val="ListParagraph"/>
        <w:numPr>
          <w:ilvl w:val="0"/>
          <w:numId w:val="17"/>
        </w:numPr>
        <w:jc w:val="both"/>
        <w:rPr>
          <w:i/>
        </w:rPr>
      </w:pPr>
      <w:r>
        <w:rPr>
          <w:i/>
        </w:rPr>
        <w:t>Land &amp; Land Rights</w:t>
      </w:r>
    </w:p>
    <w:p w:rsidR="00411116" w:rsidRDefault="00411116" w:rsidP="002776CA">
      <w:pPr>
        <w:jc w:val="both"/>
        <w:rPr>
          <w:b/>
        </w:rPr>
      </w:pPr>
    </w:p>
    <w:p w:rsidR="00411116" w:rsidRDefault="00411116" w:rsidP="00411116">
      <w:pPr>
        <w:jc w:val="both"/>
      </w:pPr>
      <w:r>
        <w:rPr>
          <w:b/>
        </w:rPr>
        <w:tab/>
      </w:r>
      <w:r>
        <w:t>The U</w:t>
      </w:r>
      <w:r w:rsidR="002776CA" w:rsidRPr="001B669F">
        <w:t xml:space="preserve">tility recorded a land balance of $30,000. </w:t>
      </w:r>
      <w:r w:rsidR="00F379F0">
        <w:t xml:space="preserve"> </w:t>
      </w:r>
      <w:r>
        <w:t>We</w:t>
      </w:r>
      <w:r w:rsidR="002776CA" w:rsidRPr="001B669F">
        <w:t xml:space="preserve"> made no</w:t>
      </w:r>
      <w:r>
        <w:t xml:space="preserve"> adjustment to this amount and </w:t>
      </w:r>
      <w:r w:rsidR="002776CA" w:rsidRPr="001B669F">
        <w:t xml:space="preserve">therefore </w:t>
      </w:r>
      <w:r>
        <w:t>find</w:t>
      </w:r>
      <w:r w:rsidR="002776CA" w:rsidRPr="001B669F">
        <w:t xml:space="preserve"> a land balance of $30,000.</w:t>
      </w:r>
    </w:p>
    <w:p w:rsidR="00411116" w:rsidRDefault="00411116" w:rsidP="00411116">
      <w:pPr>
        <w:jc w:val="both"/>
      </w:pPr>
    </w:p>
    <w:p w:rsidR="00411116" w:rsidRDefault="00411116" w:rsidP="00411116">
      <w:pPr>
        <w:pStyle w:val="ListParagraph"/>
        <w:numPr>
          <w:ilvl w:val="0"/>
          <w:numId w:val="17"/>
        </w:numPr>
        <w:jc w:val="both"/>
        <w:rPr>
          <w:i/>
        </w:rPr>
      </w:pPr>
      <w:r>
        <w:rPr>
          <w:i/>
        </w:rPr>
        <w:t>Used and Useful</w:t>
      </w:r>
    </w:p>
    <w:p w:rsidR="00411116" w:rsidRPr="00411116" w:rsidRDefault="00411116" w:rsidP="00411116">
      <w:pPr>
        <w:pStyle w:val="ListParagraph"/>
        <w:jc w:val="both"/>
        <w:rPr>
          <w:i/>
        </w:rPr>
      </w:pPr>
    </w:p>
    <w:p w:rsidR="002776CA" w:rsidRDefault="00411116" w:rsidP="002776CA">
      <w:pPr>
        <w:jc w:val="both"/>
      </w:pPr>
      <w:r>
        <w:tab/>
      </w:r>
      <w:r w:rsidR="002776CA" w:rsidRPr="001B669F">
        <w:t xml:space="preserve">As discussed in </w:t>
      </w:r>
      <w:r>
        <w:t>Section</w:t>
      </w:r>
      <w:r w:rsidR="002776CA" w:rsidRPr="001B669F">
        <w:t xml:space="preserve"> 3, Leighton’s WTP and distribution system are considered 100 percent U&amp;U. </w:t>
      </w:r>
      <w:r w:rsidR="00F379F0">
        <w:t xml:space="preserve"> </w:t>
      </w:r>
      <w:r w:rsidR="002776CA" w:rsidRPr="001B669F">
        <w:t>Therefore, no U&amp;U adjustments are necessary.</w:t>
      </w:r>
    </w:p>
    <w:p w:rsidR="00411116" w:rsidRDefault="00411116" w:rsidP="002776CA">
      <w:pPr>
        <w:jc w:val="both"/>
      </w:pPr>
    </w:p>
    <w:p w:rsidR="00411116" w:rsidRPr="00411116" w:rsidRDefault="00411116" w:rsidP="00411116">
      <w:pPr>
        <w:pStyle w:val="ListParagraph"/>
        <w:numPr>
          <w:ilvl w:val="0"/>
          <w:numId w:val="17"/>
        </w:numPr>
        <w:jc w:val="both"/>
        <w:rPr>
          <w:i/>
        </w:rPr>
      </w:pPr>
      <w:r>
        <w:rPr>
          <w:i/>
        </w:rPr>
        <w:t>Accumulated Depreciation</w:t>
      </w:r>
    </w:p>
    <w:p w:rsidR="002776CA" w:rsidRPr="001B669F" w:rsidRDefault="002776CA" w:rsidP="002776CA">
      <w:pPr>
        <w:jc w:val="both"/>
      </w:pPr>
    </w:p>
    <w:p w:rsidR="002776CA" w:rsidRDefault="00411116" w:rsidP="002776CA">
      <w:pPr>
        <w:jc w:val="both"/>
      </w:pPr>
      <w:r>
        <w:rPr>
          <w:b/>
        </w:rPr>
        <w:tab/>
      </w:r>
      <w:r w:rsidR="002776CA" w:rsidRPr="001B669F">
        <w:t xml:space="preserve">Leighton recorded an accumulated depreciation balance of $123,119. </w:t>
      </w:r>
      <w:r>
        <w:t>We</w:t>
      </w:r>
      <w:r w:rsidR="002776CA" w:rsidRPr="001B669F">
        <w:t xml:space="preserve"> decreased accumulated depreciation by $34 to reflect overstated depreciation expense for Account 320 – Water Treatment Equipment. </w:t>
      </w:r>
      <w:r w:rsidR="00F379F0">
        <w:t xml:space="preserve"> </w:t>
      </w:r>
      <w:r w:rsidR="002776CA" w:rsidRPr="001B669F">
        <w:t xml:space="preserve">Additionally, </w:t>
      </w:r>
      <w:r>
        <w:t>we</w:t>
      </w:r>
      <w:r w:rsidR="002776CA" w:rsidRPr="001B669F">
        <w:t xml:space="preserve"> decreased accumulated depreciation by $6,638 to reflect an averaging adjustment. </w:t>
      </w:r>
      <w:r w:rsidR="00F379F0">
        <w:t xml:space="preserve"> </w:t>
      </w:r>
      <w:r>
        <w:t>We</w:t>
      </w:r>
      <w:r w:rsidR="002776CA" w:rsidRPr="001B669F">
        <w:t xml:space="preserve"> also decreased accumulated depreciation by $5,802 to reflect retirements associated with pro forma plant. </w:t>
      </w:r>
      <w:r w:rsidR="00F379F0">
        <w:t xml:space="preserve"> </w:t>
      </w:r>
      <w:r w:rsidR="002776CA" w:rsidRPr="001B669F">
        <w:t xml:space="preserve">Therefore, </w:t>
      </w:r>
      <w:r>
        <w:t>we</w:t>
      </w:r>
      <w:r w:rsidR="002776CA" w:rsidRPr="001B669F">
        <w:t xml:space="preserve"> </w:t>
      </w:r>
      <w:r>
        <w:t>find</w:t>
      </w:r>
      <w:r w:rsidR="002776CA" w:rsidRPr="001B669F">
        <w:t xml:space="preserve"> an accumulated depreciation balance of $110,645 ($123,119 - $34 - $6,638 - $5,802).</w:t>
      </w:r>
    </w:p>
    <w:p w:rsidR="00411116" w:rsidRDefault="00411116" w:rsidP="002776CA">
      <w:pPr>
        <w:jc w:val="both"/>
      </w:pPr>
    </w:p>
    <w:p w:rsidR="00411116" w:rsidRPr="00411116" w:rsidRDefault="00411116" w:rsidP="00411116">
      <w:pPr>
        <w:pStyle w:val="ListParagraph"/>
        <w:numPr>
          <w:ilvl w:val="0"/>
          <w:numId w:val="17"/>
        </w:numPr>
        <w:jc w:val="both"/>
        <w:rPr>
          <w:i/>
        </w:rPr>
      </w:pPr>
      <w:r>
        <w:rPr>
          <w:i/>
        </w:rPr>
        <w:t>Contributions in Aid of Construction (CIAC)</w:t>
      </w:r>
    </w:p>
    <w:p w:rsidR="002776CA" w:rsidRPr="001B669F" w:rsidRDefault="002776CA" w:rsidP="002776CA">
      <w:pPr>
        <w:jc w:val="both"/>
      </w:pPr>
    </w:p>
    <w:p w:rsidR="002776CA" w:rsidRDefault="00411116" w:rsidP="002776CA">
      <w:pPr>
        <w:jc w:val="both"/>
      </w:pPr>
      <w:r>
        <w:rPr>
          <w:b/>
        </w:rPr>
        <w:tab/>
      </w:r>
      <w:r>
        <w:t>The U</w:t>
      </w:r>
      <w:r w:rsidR="002776CA" w:rsidRPr="001B669F">
        <w:t xml:space="preserve">tility recorded a CIAC balance of $10,165. </w:t>
      </w:r>
      <w:r w:rsidR="00F379F0">
        <w:t xml:space="preserve"> </w:t>
      </w:r>
      <w:r>
        <w:t>We</w:t>
      </w:r>
      <w:r w:rsidR="002776CA" w:rsidRPr="001B669F">
        <w:t xml:space="preserve"> made an averaging adjustment decreasing CIAC by $1,083. </w:t>
      </w:r>
      <w:r w:rsidR="00F379F0">
        <w:t xml:space="preserve"> </w:t>
      </w:r>
      <w:r w:rsidR="002776CA" w:rsidRPr="001B669F">
        <w:t xml:space="preserve">Therefore, </w:t>
      </w:r>
      <w:r>
        <w:t>we</w:t>
      </w:r>
      <w:r w:rsidR="002776CA" w:rsidRPr="001B669F">
        <w:t xml:space="preserve"> </w:t>
      </w:r>
      <w:r>
        <w:t>find</w:t>
      </w:r>
      <w:r w:rsidR="002776CA" w:rsidRPr="001B669F">
        <w:t xml:space="preserve"> a CIAC balance of $9,083 ($10,165 - $1,083). </w:t>
      </w:r>
    </w:p>
    <w:p w:rsidR="00411116" w:rsidRDefault="00411116" w:rsidP="002776CA">
      <w:pPr>
        <w:jc w:val="both"/>
      </w:pPr>
    </w:p>
    <w:p w:rsidR="00411116" w:rsidRPr="00411116" w:rsidRDefault="00411116" w:rsidP="00411116">
      <w:pPr>
        <w:pStyle w:val="ListParagraph"/>
        <w:numPr>
          <w:ilvl w:val="0"/>
          <w:numId w:val="17"/>
        </w:numPr>
        <w:jc w:val="both"/>
        <w:rPr>
          <w:i/>
        </w:rPr>
      </w:pPr>
      <w:r>
        <w:rPr>
          <w:i/>
        </w:rPr>
        <w:t>Accumulated Amortization of CIAC</w:t>
      </w:r>
    </w:p>
    <w:p w:rsidR="002776CA" w:rsidRPr="001B669F" w:rsidRDefault="002776CA" w:rsidP="002776CA">
      <w:pPr>
        <w:jc w:val="both"/>
        <w:rPr>
          <w:b/>
        </w:rPr>
      </w:pPr>
    </w:p>
    <w:p w:rsidR="002776CA" w:rsidRDefault="00411116" w:rsidP="002776CA">
      <w:pPr>
        <w:jc w:val="both"/>
      </w:pPr>
      <w:r>
        <w:rPr>
          <w:b/>
        </w:rPr>
        <w:tab/>
      </w:r>
      <w:r w:rsidR="002776CA" w:rsidRPr="001B669F">
        <w:t xml:space="preserve">Leighton recorded accumulated amortization of CIAC of $846. </w:t>
      </w:r>
      <w:r>
        <w:t>We</w:t>
      </w:r>
      <w:r w:rsidR="002776CA" w:rsidRPr="001B669F">
        <w:t xml:space="preserve"> made an averaging adjustment decreasing this amount by $167. </w:t>
      </w:r>
      <w:r w:rsidR="00F379F0">
        <w:t xml:space="preserve"> </w:t>
      </w:r>
      <w:r w:rsidR="002776CA" w:rsidRPr="001B669F">
        <w:t xml:space="preserve">Therefore, </w:t>
      </w:r>
      <w:r>
        <w:t>we</w:t>
      </w:r>
      <w:r w:rsidR="002776CA" w:rsidRPr="001B669F">
        <w:t xml:space="preserve"> </w:t>
      </w:r>
      <w:r>
        <w:t>find</w:t>
      </w:r>
      <w:r w:rsidR="002776CA" w:rsidRPr="001B669F">
        <w:t xml:space="preserve"> an accumulated amortization of CIAC balance of $680 ($846 - $167).</w:t>
      </w:r>
    </w:p>
    <w:p w:rsidR="00411116" w:rsidRDefault="00411116" w:rsidP="002776CA">
      <w:pPr>
        <w:jc w:val="both"/>
      </w:pPr>
    </w:p>
    <w:p w:rsidR="00411116" w:rsidRPr="00411116" w:rsidRDefault="00411116" w:rsidP="00411116">
      <w:pPr>
        <w:pStyle w:val="ListParagraph"/>
        <w:numPr>
          <w:ilvl w:val="0"/>
          <w:numId w:val="17"/>
        </w:numPr>
        <w:jc w:val="both"/>
        <w:rPr>
          <w:i/>
        </w:rPr>
      </w:pPr>
      <w:r>
        <w:rPr>
          <w:i/>
        </w:rPr>
        <w:t>Acquisition Adjustment Net</w:t>
      </w:r>
    </w:p>
    <w:p w:rsidR="002776CA" w:rsidRPr="001B669F" w:rsidRDefault="002776CA" w:rsidP="002776CA">
      <w:pPr>
        <w:jc w:val="both"/>
      </w:pPr>
    </w:p>
    <w:p w:rsidR="002776CA" w:rsidRDefault="00411116" w:rsidP="002776CA">
      <w:pPr>
        <w:jc w:val="both"/>
      </w:pPr>
      <w:r>
        <w:rPr>
          <w:b/>
        </w:rPr>
        <w:tab/>
      </w:r>
      <w:r>
        <w:t>Leighton</w:t>
      </w:r>
      <w:r w:rsidR="002776CA" w:rsidRPr="001B669F">
        <w:t xml:space="preserve"> recorded a negative acquisition adjustment of $47,985 based on Order No. PSC-2021-0408-PAA-WU.</w:t>
      </w:r>
      <w:r w:rsidR="002776CA" w:rsidRPr="001B669F">
        <w:rPr>
          <w:vertAlign w:val="superscript"/>
        </w:rPr>
        <w:footnoteReference w:id="6"/>
      </w:r>
      <w:r w:rsidR="002776CA" w:rsidRPr="001B669F">
        <w:t xml:space="preserve"> </w:t>
      </w:r>
      <w:r w:rsidR="00F379F0">
        <w:t xml:space="preserve"> </w:t>
      </w:r>
      <w:r w:rsidR="002776CA" w:rsidRPr="001B669F">
        <w:t xml:space="preserve">In </w:t>
      </w:r>
      <w:r w:rsidR="00F070D8">
        <w:t>the</w:t>
      </w:r>
      <w:r w:rsidR="002776CA" w:rsidRPr="001B669F">
        <w:t xml:space="preserve"> Order, </w:t>
      </w:r>
      <w:r w:rsidR="00F070D8">
        <w:t>we</w:t>
      </w:r>
      <w:r w:rsidR="002776CA" w:rsidRPr="001B669F">
        <w:t xml:space="preserve"> stated the acquisition adjustment will be amortized over seven years from t</w:t>
      </w:r>
      <w:r w:rsidR="00F070D8">
        <w:t xml:space="preserve">he date of issuance. </w:t>
      </w:r>
      <w:r w:rsidR="00F379F0">
        <w:t xml:space="preserve"> </w:t>
      </w:r>
      <w:r w:rsidR="00F070D8">
        <w:t>The U</w:t>
      </w:r>
      <w:r w:rsidR="002776CA" w:rsidRPr="001B669F">
        <w:t xml:space="preserve">tility did not record an accumulated amortization of acquisition adjustment. </w:t>
      </w:r>
      <w:r w:rsidR="00F379F0">
        <w:t xml:space="preserve"> </w:t>
      </w:r>
      <w:r w:rsidR="00F070D8">
        <w:t>We</w:t>
      </w:r>
      <w:r w:rsidR="002776CA" w:rsidRPr="001B669F">
        <w:t xml:space="preserve"> annualized the amortization amount as $6,855 ($47,985 ÷ 7 years). </w:t>
      </w:r>
      <w:r w:rsidR="00F379F0">
        <w:t xml:space="preserve"> </w:t>
      </w:r>
      <w:r w:rsidR="002776CA" w:rsidRPr="001B669F">
        <w:t xml:space="preserve">The Order was issued on November 1, 2021, therefore, </w:t>
      </w:r>
      <w:r w:rsidR="00F070D8">
        <w:t>we</w:t>
      </w:r>
      <w:r w:rsidR="002776CA" w:rsidRPr="001B669F">
        <w:t xml:space="preserve"> calculated the accumulated amortization from November 1, 2021, through the end of the test year as $1,127. </w:t>
      </w:r>
      <w:r w:rsidR="00F379F0">
        <w:t xml:space="preserve"> </w:t>
      </w:r>
      <w:r w:rsidR="00F070D8">
        <w:t>We</w:t>
      </w:r>
      <w:r w:rsidR="002776CA" w:rsidRPr="001B669F">
        <w:t xml:space="preserve"> </w:t>
      </w:r>
      <w:r w:rsidR="00F070D8">
        <w:t>find</w:t>
      </w:r>
      <w:r w:rsidR="002776CA" w:rsidRPr="001B669F">
        <w:t xml:space="preserve"> a net acquisition adjustment of $46,858 ($47,985 - $1,127). </w:t>
      </w:r>
    </w:p>
    <w:p w:rsidR="00F070D8" w:rsidRDefault="00F070D8" w:rsidP="002776CA">
      <w:pPr>
        <w:jc w:val="both"/>
      </w:pPr>
    </w:p>
    <w:p w:rsidR="00F070D8" w:rsidRDefault="00F070D8" w:rsidP="002776CA">
      <w:pPr>
        <w:jc w:val="both"/>
      </w:pPr>
    </w:p>
    <w:p w:rsidR="00F070D8" w:rsidRDefault="00F070D8" w:rsidP="002776CA">
      <w:pPr>
        <w:jc w:val="both"/>
      </w:pPr>
    </w:p>
    <w:p w:rsidR="00F070D8" w:rsidRDefault="00F070D8" w:rsidP="00F070D8">
      <w:pPr>
        <w:pStyle w:val="ListParagraph"/>
        <w:numPr>
          <w:ilvl w:val="0"/>
          <w:numId w:val="17"/>
        </w:numPr>
        <w:jc w:val="both"/>
        <w:rPr>
          <w:i/>
        </w:rPr>
      </w:pPr>
      <w:r>
        <w:rPr>
          <w:i/>
        </w:rPr>
        <w:t>Working Capital Allowance</w:t>
      </w:r>
    </w:p>
    <w:p w:rsidR="00F070D8" w:rsidRPr="00F070D8" w:rsidRDefault="00F070D8" w:rsidP="00F070D8">
      <w:pPr>
        <w:pStyle w:val="ListParagraph"/>
        <w:jc w:val="both"/>
        <w:rPr>
          <w:i/>
        </w:rPr>
      </w:pPr>
    </w:p>
    <w:p w:rsidR="00913796" w:rsidRDefault="00F070D8" w:rsidP="00913796">
      <w:pPr>
        <w:jc w:val="both"/>
      </w:pPr>
      <w:r>
        <w:tab/>
      </w:r>
      <w:r w:rsidR="002776CA" w:rsidRPr="001B669F">
        <w:t xml:space="preserve">Working capital is defined as the short-term investor-supplied funds that are necessary to meet operating expenses. Consistent with Rule 25-30.433(3), F.A.C., </w:t>
      </w:r>
      <w:r>
        <w:t>we</w:t>
      </w:r>
      <w:r w:rsidR="002776CA" w:rsidRPr="001B669F">
        <w:t xml:space="preserve"> used one-eighth of the operation and maintenance expense (less rate case expense) formula for calculating the working capital allowance. </w:t>
      </w:r>
      <w:r w:rsidR="00F379F0">
        <w:t xml:space="preserve"> </w:t>
      </w:r>
      <w:r w:rsidR="002776CA" w:rsidRPr="001B669F">
        <w:t>S</w:t>
      </w:r>
      <w:r>
        <w:t>ubs</w:t>
      </w:r>
      <w:r w:rsidR="002776CA" w:rsidRPr="001B669F">
        <w:t>ection 367.081(9), F.S., prohibits a utility from earning a return on the</w:t>
      </w:r>
      <w:r w:rsidR="00913796" w:rsidRPr="001B669F">
        <w:t xml:space="preserve"> unamortized balance of rate case expense.</w:t>
      </w:r>
      <w:r w:rsidR="00F379F0">
        <w:t xml:space="preserve"> </w:t>
      </w:r>
      <w:r w:rsidR="00913796" w:rsidRPr="001B669F">
        <w:t xml:space="preserve"> As such, </w:t>
      </w:r>
      <w:r>
        <w:t>we</w:t>
      </w:r>
      <w:r w:rsidR="00913796" w:rsidRPr="001B669F">
        <w:t xml:space="preserve"> removed the rate case expense balance of $316 for this calculation resulting in an adjusted O&amp;M expense balance of $32,260 ($32,576 - $316).</w:t>
      </w:r>
      <w:r w:rsidR="00F379F0">
        <w:t xml:space="preserve"> </w:t>
      </w:r>
      <w:r w:rsidR="00913796" w:rsidRPr="001B669F">
        <w:t xml:space="preserve"> Applying this formula, </w:t>
      </w:r>
      <w:r>
        <w:t>we</w:t>
      </w:r>
      <w:r w:rsidR="00913796" w:rsidRPr="001B669F">
        <w:t xml:space="preserve"> </w:t>
      </w:r>
      <w:r>
        <w:t>find</w:t>
      </w:r>
      <w:r w:rsidR="00913796" w:rsidRPr="001B669F">
        <w:t xml:space="preserve"> a working capital allowance of $4,032 ($32,260 ÷ 8).</w:t>
      </w:r>
    </w:p>
    <w:p w:rsidR="00F070D8" w:rsidRDefault="00F070D8" w:rsidP="00913796">
      <w:pPr>
        <w:jc w:val="both"/>
      </w:pPr>
    </w:p>
    <w:p w:rsidR="00F070D8" w:rsidRPr="00F070D8" w:rsidRDefault="00F070D8" w:rsidP="00F070D8">
      <w:pPr>
        <w:pStyle w:val="ListParagraph"/>
        <w:numPr>
          <w:ilvl w:val="0"/>
          <w:numId w:val="17"/>
        </w:numPr>
        <w:jc w:val="both"/>
        <w:rPr>
          <w:i/>
        </w:rPr>
      </w:pPr>
      <w:r>
        <w:rPr>
          <w:i/>
        </w:rPr>
        <w:t>Rate Base Summary</w:t>
      </w:r>
    </w:p>
    <w:p w:rsidR="00F070D8" w:rsidRDefault="00F070D8" w:rsidP="00913796">
      <w:pPr>
        <w:rPr>
          <w:b/>
        </w:rPr>
      </w:pPr>
    </w:p>
    <w:p w:rsidR="002776CA" w:rsidRPr="001B669F" w:rsidRDefault="00F070D8" w:rsidP="00F070D8">
      <w:pPr>
        <w:jc w:val="both"/>
      </w:pPr>
      <w:r>
        <w:rPr>
          <w:b/>
        </w:rPr>
        <w:tab/>
      </w:r>
      <w:r w:rsidR="00913796" w:rsidRPr="001B669F">
        <w:t xml:space="preserve">Based on the foregoing, </w:t>
      </w:r>
      <w:r>
        <w:t>we</w:t>
      </w:r>
      <w:r w:rsidR="00913796" w:rsidRPr="001B669F">
        <w:t xml:space="preserve"> </w:t>
      </w:r>
      <w:r>
        <w:t>find</w:t>
      </w:r>
      <w:r w:rsidR="00913796" w:rsidRPr="001B669F">
        <w:t xml:space="preserve"> </w:t>
      </w:r>
      <w:r>
        <w:t xml:space="preserve">that </w:t>
      </w:r>
      <w:r w:rsidR="00913796" w:rsidRPr="001B669F">
        <w:t xml:space="preserve">the appropriate average test year rate base is $236,146. </w:t>
      </w:r>
      <w:r w:rsidR="00F379F0">
        <w:t xml:space="preserve"> </w:t>
      </w:r>
      <w:r w:rsidR="00913796" w:rsidRPr="001B669F">
        <w:t xml:space="preserve">Rate base is shown on Schedule No. 1-A. </w:t>
      </w:r>
      <w:r w:rsidR="00F379F0">
        <w:t xml:space="preserve"> </w:t>
      </w:r>
      <w:r w:rsidR="00913796" w:rsidRPr="001B669F">
        <w:t>The related adjustments are shown on Schedule No. 1-B.</w:t>
      </w:r>
    </w:p>
    <w:p w:rsidR="00913796" w:rsidRDefault="00913796" w:rsidP="00913796"/>
    <w:p w:rsidR="00F070D8" w:rsidRDefault="00F070D8" w:rsidP="00913796">
      <w:pPr>
        <w:rPr>
          <w:u w:val="single"/>
        </w:rPr>
      </w:pPr>
      <w:r>
        <w:rPr>
          <w:u w:val="single"/>
        </w:rPr>
        <w:t>5. Rate of Return</w:t>
      </w:r>
    </w:p>
    <w:p w:rsidR="00F070D8" w:rsidRPr="00F070D8" w:rsidRDefault="00F070D8" w:rsidP="00913796">
      <w:pPr>
        <w:rPr>
          <w:u w:val="single"/>
        </w:rPr>
      </w:pPr>
    </w:p>
    <w:p w:rsidR="00913796" w:rsidRDefault="00F070D8" w:rsidP="00F070D8">
      <w:pPr>
        <w:jc w:val="both"/>
      </w:pPr>
      <w:r>
        <w:rPr>
          <w:bCs/>
          <w:kern w:val="32"/>
          <w:szCs w:val="32"/>
        </w:rPr>
        <w:tab/>
      </w:r>
      <w:r>
        <w:t>The U</w:t>
      </w:r>
      <w:r w:rsidR="00913796" w:rsidRPr="001B669F">
        <w:t>tility’s capital structure is comprised of long-term debt, common equi</w:t>
      </w:r>
      <w:r>
        <w:t xml:space="preserve">ty, and customer deposits. </w:t>
      </w:r>
      <w:r w:rsidR="00F379F0">
        <w:t xml:space="preserve"> </w:t>
      </w:r>
      <w:r>
        <w:t>The U</w:t>
      </w:r>
      <w:r w:rsidR="00913796" w:rsidRPr="001B669F">
        <w:t xml:space="preserve">tility’s proposed capital structure </w:t>
      </w:r>
      <w:r>
        <w:t>has been reconciled with our</w:t>
      </w:r>
      <w:r w:rsidR="002B214A">
        <w:t xml:space="preserve"> approved</w:t>
      </w:r>
      <w:r w:rsidR="00913796" w:rsidRPr="001B669F">
        <w:t xml:space="preserve"> rate bas</w:t>
      </w:r>
      <w:r>
        <w:t xml:space="preserve">e. </w:t>
      </w:r>
      <w:r w:rsidR="00F379F0">
        <w:t xml:space="preserve"> </w:t>
      </w:r>
      <w:r>
        <w:t>The appropriate ROE for the U</w:t>
      </w:r>
      <w:r w:rsidR="00913796" w:rsidRPr="001B669F">
        <w:t>tility is 10.45 percent based upon the Commission-approved leverage formula currently in effect.</w:t>
      </w:r>
      <w:r w:rsidR="00913796" w:rsidRPr="001B669F">
        <w:rPr>
          <w:vertAlign w:val="superscript"/>
        </w:rPr>
        <w:footnoteReference w:id="7"/>
      </w:r>
      <w:r w:rsidR="00913796" w:rsidRPr="001B669F">
        <w:rPr>
          <w:vertAlign w:val="superscript"/>
        </w:rPr>
        <w:t xml:space="preserve"> </w:t>
      </w:r>
      <w:r w:rsidR="00F379F0">
        <w:rPr>
          <w:vertAlign w:val="superscript"/>
        </w:rPr>
        <w:t xml:space="preserve"> </w:t>
      </w:r>
      <w:r>
        <w:t>We</w:t>
      </w:r>
      <w:r w:rsidR="00913796" w:rsidRPr="001B669F">
        <w:t xml:space="preserve"> </w:t>
      </w:r>
      <w:r>
        <w:t>find</w:t>
      </w:r>
      <w:r w:rsidR="00913796" w:rsidRPr="001B669F">
        <w:t xml:space="preserve"> an ROE of 10.45 percent, with a range of 9.45 percent to 11.45 percent, and an overall rate of return of 6.83 percent. </w:t>
      </w:r>
      <w:r w:rsidR="00F379F0">
        <w:t xml:space="preserve"> </w:t>
      </w:r>
      <w:r w:rsidR="00913796" w:rsidRPr="001B669F">
        <w:t>The ROE and overall rate of return are shown on Schedule No. 2.</w:t>
      </w:r>
    </w:p>
    <w:p w:rsidR="00F070D8" w:rsidRDefault="00F070D8" w:rsidP="00F070D8">
      <w:pPr>
        <w:jc w:val="both"/>
      </w:pPr>
    </w:p>
    <w:p w:rsidR="00F070D8" w:rsidRPr="00F070D8" w:rsidRDefault="00F070D8" w:rsidP="00F070D8">
      <w:pPr>
        <w:jc w:val="both"/>
      </w:pPr>
      <w:r>
        <w:rPr>
          <w:u w:val="single"/>
        </w:rPr>
        <w:t>6. Test Year Revenues</w:t>
      </w:r>
    </w:p>
    <w:p w:rsidR="00913796" w:rsidRPr="001B669F" w:rsidRDefault="00913796" w:rsidP="00913796"/>
    <w:p w:rsidR="00913796" w:rsidRDefault="00F070D8" w:rsidP="00F070D8">
      <w:pPr>
        <w:jc w:val="both"/>
      </w:pPr>
      <w:r>
        <w:rPr>
          <w:b/>
          <w:bCs/>
          <w:i/>
          <w:kern w:val="32"/>
          <w:szCs w:val="32"/>
        </w:rPr>
        <w:tab/>
      </w:r>
      <w:r w:rsidR="00913796" w:rsidRPr="001B669F">
        <w:t xml:space="preserve">Leighton recorded test year revenues of $28,105. The water revenues included $27,740 of service revenues and $365 of miscellaneous revenues. </w:t>
      </w:r>
      <w:r w:rsidR="00F379F0">
        <w:t xml:space="preserve"> </w:t>
      </w:r>
      <w:r>
        <w:t>We</w:t>
      </w:r>
      <w:r w:rsidR="00913796" w:rsidRPr="001B669F">
        <w:t xml:space="preserve"> annualized service revenues by applying the number </w:t>
      </w:r>
      <w:r>
        <w:t>of billing determinants to the U</w:t>
      </w:r>
      <w:r w:rsidR="00913796" w:rsidRPr="001B669F">
        <w:t xml:space="preserve">tility’s existing rates. </w:t>
      </w:r>
      <w:r w:rsidR="00F379F0">
        <w:t xml:space="preserve"> </w:t>
      </w:r>
      <w:r w:rsidR="00913796" w:rsidRPr="001B669F">
        <w:t xml:space="preserve">As a result, </w:t>
      </w:r>
      <w:r>
        <w:t>we</w:t>
      </w:r>
      <w:r w:rsidR="00913796" w:rsidRPr="001B669F">
        <w:t xml:space="preserve"> determined that service revenues </w:t>
      </w:r>
      <w:r>
        <w:t>shall</w:t>
      </w:r>
      <w:r w:rsidR="00913796" w:rsidRPr="001B669F">
        <w:t xml:space="preserve"> be $28,104, which is an increase of $364. </w:t>
      </w:r>
      <w:r w:rsidR="00F379F0">
        <w:t xml:space="preserve"> </w:t>
      </w:r>
      <w:r>
        <w:t>We</w:t>
      </w:r>
      <w:r w:rsidR="00913796" w:rsidRPr="001B669F">
        <w:t xml:space="preserve"> also made an adjustment to miscellaneous revenues to remove $200 of service availability charges that were inaccurately reflected in miscellaneous revenues. </w:t>
      </w:r>
      <w:r w:rsidR="00F379F0">
        <w:t xml:space="preserve"> </w:t>
      </w:r>
      <w:r>
        <w:t>We</w:t>
      </w:r>
      <w:r w:rsidR="00913796" w:rsidRPr="001B669F">
        <w:t xml:space="preserve"> determined that miscellaneous revenues </w:t>
      </w:r>
      <w:r>
        <w:t>shall</w:t>
      </w:r>
      <w:r w:rsidR="00913796" w:rsidRPr="001B669F">
        <w:t xml:space="preserve"> be $165. </w:t>
      </w:r>
      <w:r w:rsidR="00F379F0">
        <w:t xml:space="preserve"> </w:t>
      </w:r>
      <w:r w:rsidR="00913796" w:rsidRPr="001B669F">
        <w:t>Based on the above, the appropriate test year revenues for Leighton’s water system, including miscellaneous revenues are $28,269 ($28,104 + $165).</w:t>
      </w:r>
    </w:p>
    <w:p w:rsidR="00F070D8" w:rsidRDefault="00F070D8" w:rsidP="00F070D8">
      <w:pPr>
        <w:jc w:val="both"/>
      </w:pPr>
    </w:p>
    <w:p w:rsidR="00F070D8" w:rsidRPr="00F070D8" w:rsidRDefault="00F070D8" w:rsidP="00F070D8">
      <w:pPr>
        <w:jc w:val="both"/>
        <w:rPr>
          <w:u w:val="single"/>
        </w:rPr>
      </w:pPr>
      <w:r>
        <w:rPr>
          <w:u w:val="single"/>
        </w:rPr>
        <w:t>7. Operating Expenses</w:t>
      </w:r>
    </w:p>
    <w:p w:rsidR="00913796" w:rsidRPr="001B669F" w:rsidRDefault="00913796" w:rsidP="00913796"/>
    <w:p w:rsidR="00913796" w:rsidRDefault="00F070D8" w:rsidP="00913796">
      <w:pPr>
        <w:jc w:val="both"/>
      </w:pPr>
      <w:r>
        <w:rPr>
          <w:b/>
          <w:bCs/>
          <w:i/>
          <w:kern w:val="32"/>
          <w:szCs w:val="32"/>
        </w:rPr>
        <w:tab/>
      </w:r>
      <w:r>
        <w:t>The U</w:t>
      </w:r>
      <w:r w:rsidR="00913796" w:rsidRPr="001B669F">
        <w:t xml:space="preserve">tility recorded operating expense of $45,072. </w:t>
      </w:r>
      <w:r w:rsidR="00F379F0">
        <w:t xml:space="preserve"> </w:t>
      </w:r>
      <w:r>
        <w:t>We have reviewed t</w:t>
      </w:r>
      <w:r w:rsidR="00913796" w:rsidRPr="001B669F">
        <w:t xml:space="preserve">he test year O&amp;M expenses, including invoices and other supporting documentation. </w:t>
      </w:r>
      <w:r w:rsidR="00F379F0">
        <w:t xml:space="preserve"> </w:t>
      </w:r>
      <w:r>
        <w:t>We have</w:t>
      </w:r>
      <w:r w:rsidR="00913796" w:rsidRPr="001B669F">
        <w:t xml:space="preserve"> m</w:t>
      </w:r>
      <w:r>
        <w:t>ade several adjustments to the U</w:t>
      </w:r>
      <w:r w:rsidR="00913796" w:rsidRPr="001B669F">
        <w:t>tility’s operating expenses as described below.</w:t>
      </w:r>
    </w:p>
    <w:p w:rsidR="00F070D8" w:rsidRDefault="00F070D8" w:rsidP="00913796">
      <w:pPr>
        <w:jc w:val="both"/>
      </w:pPr>
    </w:p>
    <w:p w:rsidR="00F070D8" w:rsidRPr="00F070D8" w:rsidRDefault="00F070D8" w:rsidP="00F070D8">
      <w:pPr>
        <w:pStyle w:val="ListParagraph"/>
        <w:numPr>
          <w:ilvl w:val="0"/>
          <w:numId w:val="18"/>
        </w:numPr>
        <w:jc w:val="both"/>
        <w:rPr>
          <w:i/>
        </w:rPr>
      </w:pPr>
      <w:r>
        <w:rPr>
          <w:i/>
        </w:rPr>
        <w:t>Operating and Maintenance Expenses</w:t>
      </w:r>
    </w:p>
    <w:p w:rsidR="00913796" w:rsidRPr="001B669F" w:rsidRDefault="00913796" w:rsidP="00913796">
      <w:pPr>
        <w:jc w:val="both"/>
      </w:pPr>
    </w:p>
    <w:p w:rsidR="00913796" w:rsidRPr="001B669F" w:rsidRDefault="00F070D8" w:rsidP="00913796">
      <w:pPr>
        <w:jc w:val="both"/>
      </w:pPr>
      <w:r>
        <w:rPr>
          <w:b/>
        </w:rPr>
        <w:tab/>
      </w:r>
      <w:r w:rsidR="00913796" w:rsidRPr="001B669F">
        <w:t xml:space="preserve">Previously, </w:t>
      </w:r>
      <w:r>
        <w:t>we</w:t>
      </w:r>
      <w:r w:rsidR="00913796" w:rsidRPr="001B669F">
        <w:t xml:space="preserve"> approved the sharing of common O&amp;M costs by all utilities under the parent company, FUS1.</w:t>
      </w:r>
      <w:r w:rsidR="00913796" w:rsidRPr="001B669F">
        <w:rPr>
          <w:vertAlign w:val="superscript"/>
        </w:rPr>
        <w:footnoteReference w:id="8"/>
      </w:r>
      <w:r w:rsidR="00913796" w:rsidRPr="001B669F">
        <w:t xml:space="preserve"> </w:t>
      </w:r>
      <w:r w:rsidR="00F379F0">
        <w:t xml:space="preserve"> </w:t>
      </w:r>
      <w:r w:rsidR="00913796" w:rsidRPr="001B669F">
        <w:t xml:space="preserve">O&amp;M common costs are allocated among all of the individual utilities in the FUS1 system based on each utility’s number of customers relative to the total number of customers receiving service under FUS1. </w:t>
      </w:r>
      <w:r w:rsidR="00F379F0">
        <w:t xml:space="preserve"> </w:t>
      </w:r>
      <w:r w:rsidR="00913796" w:rsidRPr="001B669F">
        <w:t>Based on the number of customers for Leighton, the allocation of FUS1 common costs is 2.00 percent.</w:t>
      </w:r>
    </w:p>
    <w:p w:rsidR="00913796" w:rsidRPr="001B669F" w:rsidRDefault="00913796" w:rsidP="00913796">
      <w:pPr>
        <w:jc w:val="both"/>
      </w:pPr>
    </w:p>
    <w:p w:rsidR="00913796" w:rsidRPr="001B669F" w:rsidRDefault="00947CAB" w:rsidP="00913796">
      <w:pPr>
        <w:jc w:val="both"/>
      </w:pPr>
      <w:r>
        <w:tab/>
        <w:t>On October 6, 2022, the U</w:t>
      </w:r>
      <w:r w:rsidR="00913796" w:rsidRPr="001B669F">
        <w:t>tility requested pro forma increases to O&amp;M accounts 601, 603, and 604.</w:t>
      </w:r>
      <w:r w:rsidR="00913796" w:rsidRPr="001B669F">
        <w:rPr>
          <w:vertAlign w:val="superscript"/>
        </w:rPr>
        <w:footnoteReference w:id="9"/>
      </w:r>
      <w:r w:rsidR="00913796" w:rsidRPr="001B669F">
        <w:t xml:space="preserve"> </w:t>
      </w:r>
      <w:r w:rsidR="00F379F0">
        <w:t xml:space="preserve"> </w:t>
      </w:r>
      <w:r w:rsidR="00913796" w:rsidRPr="001B669F">
        <w:t xml:space="preserve">As these common costs are allocated among all FUS1 systems, </w:t>
      </w:r>
      <w:r>
        <w:t>we</w:t>
      </w:r>
      <w:r w:rsidR="00913796" w:rsidRPr="001B669F">
        <w:t xml:space="preserve"> determined the instant case is not the appropriate docket to include these costs. </w:t>
      </w:r>
      <w:r w:rsidR="00F379F0">
        <w:t xml:space="preserve"> </w:t>
      </w:r>
      <w:r w:rsidR="00913796" w:rsidRPr="001B669F">
        <w:t xml:space="preserve">Therefore, after further review of the utility’s records, </w:t>
      </w:r>
      <w:r>
        <w:t>we</w:t>
      </w:r>
      <w:r w:rsidR="00913796" w:rsidRPr="001B669F">
        <w:t xml:space="preserve"> made no adjustments to O&amp;M accounts: 601, 603, and 604.</w:t>
      </w:r>
    </w:p>
    <w:p w:rsidR="00913796" w:rsidRPr="001B669F" w:rsidRDefault="00913796" w:rsidP="00913796">
      <w:pPr>
        <w:jc w:val="both"/>
      </w:pPr>
    </w:p>
    <w:p w:rsidR="00913796" w:rsidRPr="001B669F" w:rsidRDefault="00947CAB" w:rsidP="00913796">
      <w:pPr>
        <w:jc w:val="both"/>
      </w:pPr>
      <w:r>
        <w:tab/>
      </w:r>
      <w:r w:rsidR="00913796" w:rsidRPr="001B669F">
        <w:t xml:space="preserve">Additionally, after </w:t>
      </w:r>
      <w:r>
        <w:t xml:space="preserve">our </w:t>
      </w:r>
      <w:r w:rsidR="00913796" w:rsidRPr="001B669F">
        <w:t xml:space="preserve">review of the utility’s records, </w:t>
      </w:r>
      <w:r>
        <w:t>we made no adjustments to the U</w:t>
      </w:r>
      <w:r w:rsidR="00913796" w:rsidRPr="001B669F">
        <w:t xml:space="preserve">tility’s recorded amounts to O&amp;M accounts: 615, 620, 631, 635, 636, 640, 650, and 655. </w:t>
      </w:r>
      <w:r w:rsidR="00F379F0">
        <w:t xml:space="preserve"> </w:t>
      </w:r>
      <w:r>
        <w:t>Our approved</w:t>
      </w:r>
      <w:r w:rsidR="00913796" w:rsidRPr="001B669F">
        <w:t xml:space="preserve"> balances for these accounts are shown on Schedule No. 3-C.</w:t>
      </w:r>
    </w:p>
    <w:p w:rsidR="00913796" w:rsidRPr="001B669F" w:rsidRDefault="00913796" w:rsidP="00913796">
      <w:pPr>
        <w:jc w:val="both"/>
      </w:pPr>
    </w:p>
    <w:p w:rsidR="00913796" w:rsidRDefault="00913796" w:rsidP="00913796">
      <w:pPr>
        <w:ind w:left="720"/>
        <w:jc w:val="both"/>
        <w:outlineLvl w:val="3"/>
        <w:rPr>
          <w:b/>
          <w:bCs/>
          <w:iCs/>
          <w:szCs w:val="28"/>
        </w:rPr>
      </w:pPr>
      <w:r w:rsidRPr="00947CAB">
        <w:rPr>
          <w:b/>
          <w:bCs/>
          <w:iCs/>
          <w:szCs w:val="28"/>
        </w:rPr>
        <w:t>Contractual Services – Billing (630)</w:t>
      </w:r>
    </w:p>
    <w:p w:rsidR="00947CAB" w:rsidRPr="00947CAB" w:rsidRDefault="00947CAB" w:rsidP="00913796">
      <w:pPr>
        <w:ind w:left="720"/>
        <w:jc w:val="both"/>
        <w:outlineLvl w:val="3"/>
        <w:rPr>
          <w:b/>
          <w:bCs/>
          <w:iCs/>
          <w:szCs w:val="28"/>
        </w:rPr>
      </w:pPr>
    </w:p>
    <w:p w:rsidR="00913796" w:rsidRPr="001B669F" w:rsidRDefault="00947CAB" w:rsidP="00913796">
      <w:pPr>
        <w:jc w:val="both"/>
      </w:pPr>
      <w:r>
        <w:tab/>
        <w:t>The U</w:t>
      </w:r>
      <w:r w:rsidR="00913796" w:rsidRPr="001B669F">
        <w:t xml:space="preserve">tility did not record any contractual services – billing expense. </w:t>
      </w:r>
      <w:r w:rsidR="00F379F0">
        <w:t xml:space="preserve"> </w:t>
      </w:r>
      <w:r w:rsidR="00913796" w:rsidRPr="001B669F">
        <w:t xml:space="preserve">However, in correspondence with </w:t>
      </w:r>
      <w:r>
        <w:t>our staff, the U</w:t>
      </w:r>
      <w:r w:rsidR="00913796" w:rsidRPr="001B669F">
        <w:t>tility provided documentation for the Beacon Software that is necessary to operate the new meters.</w:t>
      </w:r>
      <w:r w:rsidR="00913796" w:rsidRPr="001B669F">
        <w:rPr>
          <w:vertAlign w:val="superscript"/>
        </w:rPr>
        <w:footnoteReference w:id="10"/>
      </w:r>
      <w:r w:rsidR="00913796" w:rsidRPr="001B669F">
        <w:t xml:space="preserve"> </w:t>
      </w:r>
      <w:r w:rsidR="00F379F0">
        <w:t xml:space="preserve"> </w:t>
      </w:r>
      <w:r w:rsidR="00913796" w:rsidRPr="001B669F">
        <w:t xml:space="preserve">This software will be used by all utilities under FUS1 with a total cost of $8,208. </w:t>
      </w:r>
      <w:r w:rsidR="00F379F0">
        <w:t xml:space="preserve"> </w:t>
      </w:r>
      <w:r>
        <w:t>We</w:t>
      </w:r>
      <w:r w:rsidR="00913796" w:rsidRPr="001B669F">
        <w:t xml:space="preserve"> allocated the cost of this software for Leighton Estates, and therefore </w:t>
      </w:r>
      <w:r>
        <w:t>find</w:t>
      </w:r>
      <w:r w:rsidR="00913796" w:rsidRPr="001B669F">
        <w:t xml:space="preserve"> a contractual services – billing expense of $186.</w:t>
      </w:r>
    </w:p>
    <w:p w:rsidR="00913796" w:rsidRPr="001B669F" w:rsidRDefault="00913796" w:rsidP="00913796">
      <w:pPr>
        <w:jc w:val="both"/>
      </w:pPr>
    </w:p>
    <w:p w:rsidR="00913796" w:rsidRDefault="00913796" w:rsidP="00913796">
      <w:pPr>
        <w:ind w:firstLine="720"/>
        <w:jc w:val="both"/>
        <w:rPr>
          <w:b/>
          <w:i/>
        </w:rPr>
      </w:pPr>
      <w:r w:rsidRPr="001B669F">
        <w:rPr>
          <w:b/>
          <w:i/>
        </w:rPr>
        <w:t>Rate Case Expense (665)</w:t>
      </w:r>
    </w:p>
    <w:p w:rsidR="00947CAB" w:rsidRPr="001B669F" w:rsidRDefault="00947CAB" w:rsidP="00913796">
      <w:pPr>
        <w:ind w:firstLine="720"/>
        <w:jc w:val="both"/>
        <w:rPr>
          <w:b/>
          <w:i/>
        </w:rPr>
      </w:pPr>
    </w:p>
    <w:p w:rsidR="00913796" w:rsidRPr="001B669F" w:rsidRDefault="00947CAB" w:rsidP="00913796">
      <w:pPr>
        <w:jc w:val="both"/>
      </w:pPr>
      <w:r>
        <w:tab/>
        <w:t>The U</w:t>
      </w:r>
      <w:r w:rsidR="00913796" w:rsidRPr="001B669F">
        <w:t>tility did not rec</w:t>
      </w:r>
      <w:r>
        <w:t>ord any rate case expense. The U</w:t>
      </w:r>
      <w:r w:rsidR="00913796" w:rsidRPr="001B669F">
        <w:t xml:space="preserve">tility is required by Rule 25-22.0407, F.A.C., to mail notices containing the rate case overview, interim rates, final rates and the four-year rate reduction. </w:t>
      </w:r>
      <w:r w:rsidR="00F379F0">
        <w:t xml:space="preserve"> </w:t>
      </w:r>
      <w:r>
        <w:t>We</w:t>
      </w:r>
      <w:r w:rsidR="00913796" w:rsidRPr="001B669F">
        <w:t xml:space="preserve"> calculated noticing costs to be $296. </w:t>
      </w:r>
      <w:r>
        <w:t>We</w:t>
      </w:r>
      <w:r w:rsidR="00913796" w:rsidRPr="001B669F">
        <w:t xml:space="preserve"> calculated the round-trip distance from the utility to Tallahassee as 428 miles. Based on the 2022 IRS business mileage rate of $0.625, </w:t>
      </w:r>
      <w:r>
        <w:t>we</w:t>
      </w:r>
      <w:r w:rsidR="00913796" w:rsidRPr="001B669F">
        <w:t xml:space="preserve"> calculated a travel and lodging expense to the Commission Conference of $468. </w:t>
      </w:r>
      <w:r w:rsidR="00F379F0">
        <w:t xml:space="preserve"> </w:t>
      </w:r>
      <w:r w:rsidR="00913796" w:rsidRPr="001B669F">
        <w:t>Additionally, the utility paid a filing fee of $500.</w:t>
      </w:r>
      <w:r w:rsidR="00913796" w:rsidRPr="001B669F">
        <w:rPr>
          <w:vertAlign w:val="superscript"/>
        </w:rPr>
        <w:footnoteReference w:id="11"/>
      </w:r>
    </w:p>
    <w:p w:rsidR="00913796" w:rsidRPr="001B669F" w:rsidRDefault="00913796" w:rsidP="00913796"/>
    <w:p w:rsidR="00913796" w:rsidRPr="001B669F" w:rsidRDefault="00947CAB" w:rsidP="00913796">
      <w:pPr>
        <w:jc w:val="both"/>
      </w:pPr>
      <w:r>
        <w:tab/>
        <w:t>We</w:t>
      </w:r>
      <w:r w:rsidR="00913796" w:rsidRPr="001B669F">
        <w:t xml:space="preserve"> calculated the total amount of noticing costs, travel expense and filing fee, and </w:t>
      </w:r>
      <w:r>
        <w:t>find</w:t>
      </w:r>
      <w:r w:rsidR="00913796" w:rsidRPr="001B669F">
        <w:t xml:space="preserve"> total rate case expense of $1,264 ($296 + $468 + $500), which amortized over four years is $316 ($1,264 ÷ 4 years). </w:t>
      </w:r>
      <w:r w:rsidR="00F379F0">
        <w:t xml:space="preserve"> </w:t>
      </w:r>
      <w:r w:rsidR="00913796" w:rsidRPr="001B669F">
        <w:t xml:space="preserve">Therefore, </w:t>
      </w:r>
      <w:r>
        <w:t>we</w:t>
      </w:r>
      <w:r w:rsidR="00913796" w:rsidRPr="001B669F">
        <w:t xml:space="preserve"> </w:t>
      </w:r>
      <w:r>
        <w:t>approve</w:t>
      </w:r>
      <w:r w:rsidR="00913796" w:rsidRPr="001B669F">
        <w:t xml:space="preserve"> amortized rate case expense of $316.</w:t>
      </w:r>
    </w:p>
    <w:p w:rsidR="00913796" w:rsidRDefault="00913796" w:rsidP="00913796">
      <w:pPr>
        <w:ind w:firstLine="720"/>
        <w:jc w:val="both"/>
        <w:rPr>
          <w:b/>
          <w:i/>
        </w:rPr>
      </w:pPr>
    </w:p>
    <w:p w:rsidR="00947CAB" w:rsidRDefault="00947CAB" w:rsidP="00913796">
      <w:pPr>
        <w:ind w:firstLine="720"/>
        <w:jc w:val="both"/>
        <w:rPr>
          <w:b/>
          <w:i/>
        </w:rPr>
      </w:pPr>
    </w:p>
    <w:p w:rsidR="00947CAB" w:rsidRPr="001B669F" w:rsidRDefault="00947CAB" w:rsidP="00913796">
      <w:pPr>
        <w:ind w:firstLine="720"/>
        <w:jc w:val="both"/>
        <w:rPr>
          <w:b/>
          <w:i/>
        </w:rPr>
      </w:pPr>
    </w:p>
    <w:p w:rsidR="00913796" w:rsidRPr="00947CAB" w:rsidRDefault="00913796" w:rsidP="00913796">
      <w:pPr>
        <w:ind w:firstLine="720"/>
        <w:jc w:val="both"/>
        <w:rPr>
          <w:b/>
        </w:rPr>
      </w:pPr>
      <w:r w:rsidRPr="00947CAB">
        <w:rPr>
          <w:b/>
        </w:rPr>
        <w:t>Regulatory Commission Expense (667)</w:t>
      </w:r>
    </w:p>
    <w:p w:rsidR="00947CAB" w:rsidRDefault="00947CAB" w:rsidP="00913796">
      <w:pPr>
        <w:jc w:val="both"/>
      </w:pPr>
    </w:p>
    <w:p w:rsidR="00913796" w:rsidRPr="001B669F" w:rsidRDefault="00947CAB" w:rsidP="00913796">
      <w:pPr>
        <w:jc w:val="both"/>
      </w:pPr>
      <w:r>
        <w:tab/>
        <w:t>The U</w:t>
      </w:r>
      <w:r w:rsidR="00913796" w:rsidRPr="001B669F">
        <w:t xml:space="preserve">tility did not record any prior regulatory commission expense. </w:t>
      </w:r>
      <w:r w:rsidR="00F379F0">
        <w:t xml:space="preserve"> </w:t>
      </w:r>
      <w:r w:rsidR="00913796" w:rsidRPr="001B669F">
        <w:t xml:space="preserve">However, in its transfer docket, the </w:t>
      </w:r>
      <w:r>
        <w:t>U</w:t>
      </w:r>
      <w:r w:rsidR="00913796" w:rsidRPr="001B669F">
        <w:t>tility incurred a regulatory commission expense of $7,315.</w:t>
      </w:r>
      <w:r w:rsidR="00913796" w:rsidRPr="001B669F">
        <w:rPr>
          <w:rStyle w:val="FootnoteReference"/>
        </w:rPr>
        <w:footnoteReference w:id="12"/>
      </w:r>
      <w:r w:rsidR="00913796" w:rsidRPr="001B669F">
        <w:t xml:space="preserve"> </w:t>
      </w:r>
      <w:r w:rsidR="00F379F0">
        <w:t xml:space="preserve"> </w:t>
      </w:r>
      <w:r>
        <w:t>We</w:t>
      </w:r>
      <w:r w:rsidR="00913796" w:rsidRPr="001B669F">
        <w:t xml:space="preserve"> amortized this amount over five years, and therefore </w:t>
      </w:r>
      <w:r>
        <w:t>find</w:t>
      </w:r>
      <w:r w:rsidR="00913796" w:rsidRPr="001B669F">
        <w:t xml:space="preserve"> an annual regulatory commission expense of $1,463.</w:t>
      </w:r>
    </w:p>
    <w:p w:rsidR="00913796" w:rsidRPr="001B669F" w:rsidRDefault="00913796" w:rsidP="00913796">
      <w:pPr>
        <w:jc w:val="both"/>
      </w:pPr>
    </w:p>
    <w:p w:rsidR="00913796" w:rsidRPr="00947CAB" w:rsidRDefault="00913796" w:rsidP="00913796">
      <w:pPr>
        <w:ind w:firstLine="720"/>
        <w:jc w:val="both"/>
        <w:rPr>
          <w:b/>
        </w:rPr>
      </w:pPr>
      <w:r w:rsidRPr="00947CAB">
        <w:rPr>
          <w:b/>
        </w:rPr>
        <w:t>Bad Debt Expense (670)</w:t>
      </w:r>
    </w:p>
    <w:p w:rsidR="00947CAB" w:rsidRDefault="00947CAB" w:rsidP="00913796">
      <w:pPr>
        <w:jc w:val="both"/>
      </w:pPr>
    </w:p>
    <w:p w:rsidR="00913796" w:rsidRPr="001B669F" w:rsidRDefault="00947CAB" w:rsidP="00913796">
      <w:pPr>
        <w:jc w:val="both"/>
      </w:pPr>
      <w:r>
        <w:tab/>
      </w:r>
      <w:r w:rsidR="00913796" w:rsidRPr="001B669F">
        <w:t>Under the current ownership, and its previous owne</w:t>
      </w:r>
      <w:r>
        <w:t>rship, the U</w:t>
      </w:r>
      <w:r w:rsidR="00913796" w:rsidRPr="001B669F">
        <w:t xml:space="preserve">tility has not recorded any bad debt expense. </w:t>
      </w:r>
      <w:r w:rsidR="00F379F0">
        <w:t xml:space="preserve"> </w:t>
      </w:r>
      <w:r w:rsidR="00913796" w:rsidRPr="001B669F">
        <w:t xml:space="preserve">When there is no previous bad debt expense data, it is </w:t>
      </w:r>
      <w:r>
        <w:t>our</w:t>
      </w:r>
      <w:r w:rsidR="00913796" w:rsidRPr="001B669F">
        <w:t xml:space="preserve"> practice to calculate bad debt expense as a perce</w:t>
      </w:r>
      <w:r>
        <w:t>ntage of revenues to allow the U</w:t>
      </w:r>
      <w:r w:rsidR="00913796" w:rsidRPr="001B669F">
        <w:t>tility an opportunity to recover such expenses, if necessary.</w:t>
      </w:r>
      <w:r w:rsidR="00913796" w:rsidRPr="001B669F">
        <w:rPr>
          <w:rStyle w:val="FootnoteReference"/>
        </w:rPr>
        <w:footnoteReference w:id="13"/>
      </w:r>
      <w:r w:rsidR="00913796" w:rsidRPr="001B669F">
        <w:t xml:space="preserve"> </w:t>
      </w:r>
      <w:r w:rsidR="00F379F0">
        <w:t xml:space="preserve"> </w:t>
      </w:r>
      <w:r w:rsidR="00913796" w:rsidRPr="001B669F">
        <w:t xml:space="preserve">In this case, </w:t>
      </w:r>
      <w:r>
        <w:t>we</w:t>
      </w:r>
      <w:r w:rsidR="00913796" w:rsidRPr="001B669F">
        <w:t xml:space="preserve"> </w:t>
      </w:r>
      <w:r>
        <w:t>approve</w:t>
      </w:r>
      <w:r w:rsidR="00913796" w:rsidRPr="001B669F">
        <w:t xml:space="preserve"> 1 percent of revenues be calculated as bed debt expense. </w:t>
      </w:r>
      <w:r w:rsidR="00F379F0">
        <w:t xml:space="preserve"> </w:t>
      </w:r>
      <w:r w:rsidR="00913796" w:rsidRPr="001B669F">
        <w:t xml:space="preserve">Therefore, </w:t>
      </w:r>
      <w:r>
        <w:t>we</w:t>
      </w:r>
      <w:r w:rsidR="00913796" w:rsidRPr="001B669F">
        <w:t xml:space="preserve"> </w:t>
      </w:r>
      <w:r>
        <w:t>find</w:t>
      </w:r>
      <w:r w:rsidR="00913796" w:rsidRPr="001B669F">
        <w:t xml:space="preserve"> bad debt expense of $283.</w:t>
      </w:r>
    </w:p>
    <w:p w:rsidR="00913796" w:rsidRPr="001B669F" w:rsidRDefault="00913796" w:rsidP="00913796">
      <w:pPr>
        <w:jc w:val="both"/>
      </w:pPr>
    </w:p>
    <w:p w:rsidR="00913796" w:rsidRPr="00947CAB" w:rsidRDefault="00913796" w:rsidP="00913796">
      <w:pPr>
        <w:ind w:firstLine="720"/>
        <w:jc w:val="both"/>
        <w:rPr>
          <w:b/>
        </w:rPr>
      </w:pPr>
      <w:r w:rsidRPr="00947CAB">
        <w:rPr>
          <w:b/>
        </w:rPr>
        <w:t>Miscellaneous Expenses (675)</w:t>
      </w:r>
    </w:p>
    <w:p w:rsidR="00947CAB" w:rsidRDefault="00947CAB" w:rsidP="00913796">
      <w:pPr>
        <w:jc w:val="both"/>
      </w:pPr>
      <w:r>
        <w:tab/>
      </w:r>
    </w:p>
    <w:p w:rsidR="00913796" w:rsidRPr="001B669F" w:rsidRDefault="00947CAB" w:rsidP="00913796">
      <w:pPr>
        <w:jc w:val="both"/>
      </w:pPr>
      <w:r>
        <w:tab/>
        <w:t>The U</w:t>
      </w:r>
      <w:r w:rsidR="00913796" w:rsidRPr="001B669F">
        <w:t xml:space="preserve">tility recorded miscellaneous expense of $2,498. After review, </w:t>
      </w:r>
      <w:r>
        <w:t>we</w:t>
      </w:r>
      <w:r w:rsidR="00913796" w:rsidRPr="001B669F">
        <w:t xml:space="preserve"> made several adjustments decreasing this amount. </w:t>
      </w:r>
      <w:r w:rsidR="00F379F0">
        <w:t xml:space="preserve"> </w:t>
      </w:r>
      <w:r>
        <w:t>We</w:t>
      </w:r>
      <w:r w:rsidR="00913796" w:rsidRPr="001B669F">
        <w:t xml:space="preserve"> reduced this account by $20 to reflect the removal of bank service charges, in addition to another $15 reduction to remove a non-sufficient funds fee the utility recorded. </w:t>
      </w:r>
      <w:r w:rsidR="00F379F0">
        <w:t xml:space="preserve"> </w:t>
      </w:r>
      <w:r w:rsidR="00913796" w:rsidRPr="001B669F">
        <w:t xml:space="preserve">Additionally, </w:t>
      </w:r>
      <w:r>
        <w:t>we</w:t>
      </w:r>
      <w:r w:rsidR="00913796" w:rsidRPr="001B669F">
        <w:t xml:space="preserve"> reduced this account by $181 to reflect the removal of loan fees. </w:t>
      </w:r>
      <w:r w:rsidR="00F379F0">
        <w:t xml:space="preserve"> </w:t>
      </w:r>
      <w:r w:rsidR="00913796" w:rsidRPr="001B669F">
        <w:t xml:space="preserve">Therefore, </w:t>
      </w:r>
      <w:r>
        <w:t>we</w:t>
      </w:r>
      <w:r w:rsidR="00913796" w:rsidRPr="001B669F">
        <w:t xml:space="preserve"> </w:t>
      </w:r>
      <w:r>
        <w:t>approve</w:t>
      </w:r>
      <w:r w:rsidR="00913796" w:rsidRPr="001B669F">
        <w:t xml:space="preserve"> miscellaneous expenses of $2,282 ($2,498 - $20 - $15 - $181).</w:t>
      </w:r>
    </w:p>
    <w:p w:rsidR="00913796" w:rsidRDefault="00913796" w:rsidP="00913796">
      <w:pPr>
        <w:jc w:val="both"/>
      </w:pPr>
    </w:p>
    <w:p w:rsidR="00947CAB" w:rsidRPr="00947CAB" w:rsidRDefault="00947CAB" w:rsidP="00947CAB">
      <w:pPr>
        <w:pStyle w:val="ListParagraph"/>
        <w:numPr>
          <w:ilvl w:val="0"/>
          <w:numId w:val="18"/>
        </w:numPr>
        <w:jc w:val="both"/>
        <w:rPr>
          <w:i/>
        </w:rPr>
      </w:pPr>
      <w:r>
        <w:rPr>
          <w:i/>
        </w:rPr>
        <w:t>Operation and Maintenance Expense Summary</w:t>
      </w:r>
    </w:p>
    <w:p w:rsidR="00913796" w:rsidRPr="001B669F" w:rsidRDefault="00913796" w:rsidP="00913796">
      <w:pPr>
        <w:jc w:val="both"/>
        <w:rPr>
          <w:b/>
        </w:rPr>
      </w:pPr>
    </w:p>
    <w:p w:rsidR="00913796" w:rsidRDefault="00947CAB" w:rsidP="00913796">
      <w:pPr>
        <w:jc w:val="both"/>
      </w:pPr>
      <w:r>
        <w:tab/>
        <w:t>The U</w:t>
      </w:r>
      <w:r w:rsidR="00913796" w:rsidRPr="001B669F">
        <w:t xml:space="preserve">tility recorded O&amp;M expenses of $30,544 for the test year. </w:t>
      </w:r>
      <w:r w:rsidR="00F379F0">
        <w:t xml:space="preserve"> </w:t>
      </w:r>
      <w:r w:rsidR="00913796" w:rsidRPr="001B669F">
        <w:t xml:space="preserve">Based on the above adjustments, </w:t>
      </w:r>
      <w:r>
        <w:t>we</w:t>
      </w:r>
      <w:r w:rsidR="00913796" w:rsidRPr="001B669F">
        <w:t xml:space="preserve"> </w:t>
      </w:r>
      <w:r>
        <w:t>find</w:t>
      </w:r>
      <w:r w:rsidR="00913796" w:rsidRPr="001B669F">
        <w:t xml:space="preserve"> O&amp;M expenses be increased by $2,032, resulting in a total O&amp;M expense of $32</w:t>
      </w:r>
      <w:r w:rsidR="002B214A">
        <w:t xml:space="preserve">,576 ($30,544 + $2,032). </w:t>
      </w:r>
      <w:r w:rsidR="00F379F0">
        <w:t xml:space="preserve"> </w:t>
      </w:r>
      <w:r w:rsidR="002B214A">
        <w:t>Our</w:t>
      </w:r>
      <w:r w:rsidR="00913796" w:rsidRPr="001B669F">
        <w:t xml:space="preserve"> </w:t>
      </w:r>
      <w:r w:rsidR="002B214A">
        <w:t>approved</w:t>
      </w:r>
      <w:r w:rsidR="00913796" w:rsidRPr="001B669F">
        <w:t xml:space="preserve"> adjustments to O&amp;M expenses are shown on Schedule No. 3-C.</w:t>
      </w:r>
    </w:p>
    <w:p w:rsidR="00703948" w:rsidRDefault="00703948" w:rsidP="00913796">
      <w:pPr>
        <w:jc w:val="both"/>
      </w:pPr>
    </w:p>
    <w:p w:rsidR="00703948" w:rsidRPr="00703948" w:rsidRDefault="00703948" w:rsidP="00703948">
      <w:pPr>
        <w:pStyle w:val="ListParagraph"/>
        <w:numPr>
          <w:ilvl w:val="0"/>
          <w:numId w:val="18"/>
        </w:numPr>
        <w:jc w:val="both"/>
        <w:rPr>
          <w:i/>
        </w:rPr>
      </w:pPr>
      <w:r>
        <w:rPr>
          <w:i/>
        </w:rPr>
        <w:t>Depreciation Expense</w:t>
      </w:r>
    </w:p>
    <w:p w:rsidR="00703948" w:rsidRDefault="00703948" w:rsidP="00913796">
      <w:pPr>
        <w:jc w:val="both"/>
      </w:pPr>
    </w:p>
    <w:p w:rsidR="00913796" w:rsidRDefault="00703948" w:rsidP="00913796">
      <w:pPr>
        <w:jc w:val="both"/>
      </w:pPr>
      <w:r>
        <w:tab/>
      </w:r>
      <w:r w:rsidR="00582B67">
        <w:t>The U</w:t>
      </w:r>
      <w:r w:rsidR="00913796" w:rsidRPr="001B669F">
        <w:t xml:space="preserve">tility recorded depreciation expense of $12,603. </w:t>
      </w:r>
      <w:r w:rsidR="00F379F0">
        <w:t xml:space="preserve"> </w:t>
      </w:r>
      <w:r w:rsidR="00582B67">
        <w:t>We</w:t>
      </w:r>
      <w:r w:rsidR="00913796" w:rsidRPr="001B669F">
        <w:t xml:space="preserve"> decreased depreciation expense by $34 to reflect the appropriate amount of depreciation expense for Account 320 – Water Treatment Equipment using the prescribed rates set forth in Rule 25-30.140, F.A.C. </w:t>
      </w:r>
      <w:r w:rsidR="00F379F0">
        <w:t xml:space="preserve"> </w:t>
      </w:r>
      <w:r w:rsidR="00D967A0">
        <w:t>Our s</w:t>
      </w:r>
      <w:r w:rsidR="00913796" w:rsidRPr="001B669F">
        <w:t xml:space="preserve">taff increased depreciation expense by $390 to reflect the appropriate depreciation on pro forma additions. </w:t>
      </w:r>
      <w:r w:rsidR="00F379F0">
        <w:t xml:space="preserve"> </w:t>
      </w:r>
      <w:r w:rsidR="00913796" w:rsidRPr="001B669F">
        <w:t xml:space="preserve">Therefore, </w:t>
      </w:r>
      <w:r w:rsidR="00582B67">
        <w:t>we</w:t>
      </w:r>
      <w:r w:rsidR="00913796" w:rsidRPr="001B669F">
        <w:t xml:space="preserve"> </w:t>
      </w:r>
      <w:r w:rsidR="00582B67">
        <w:t>approve a</w:t>
      </w:r>
      <w:r w:rsidR="00913796" w:rsidRPr="001B669F">
        <w:t xml:space="preserve"> depreciation expense of $12,959 ($12,603 - $34 + $390).</w:t>
      </w:r>
    </w:p>
    <w:p w:rsidR="00582B67" w:rsidRDefault="00582B67" w:rsidP="00913796">
      <w:pPr>
        <w:jc w:val="both"/>
      </w:pPr>
    </w:p>
    <w:p w:rsidR="00582B67" w:rsidRPr="00582B67" w:rsidRDefault="00582B67" w:rsidP="00582B67">
      <w:pPr>
        <w:pStyle w:val="ListParagraph"/>
        <w:numPr>
          <w:ilvl w:val="0"/>
          <w:numId w:val="18"/>
        </w:numPr>
        <w:jc w:val="both"/>
        <w:rPr>
          <w:i/>
        </w:rPr>
      </w:pPr>
      <w:r>
        <w:rPr>
          <w:i/>
        </w:rPr>
        <w:t>Net Amortization Expense</w:t>
      </w:r>
    </w:p>
    <w:p w:rsidR="00913796" w:rsidRPr="001B669F" w:rsidRDefault="00913796" w:rsidP="00913796">
      <w:pPr>
        <w:jc w:val="both"/>
        <w:rPr>
          <w:rFonts w:eastAsia="Arial"/>
          <w:b/>
        </w:rPr>
      </w:pPr>
    </w:p>
    <w:p w:rsidR="00913796" w:rsidRDefault="00582B67" w:rsidP="00913796">
      <w:pPr>
        <w:jc w:val="both"/>
      </w:pPr>
      <w:r>
        <w:rPr>
          <w:rFonts w:eastAsia="Arial"/>
          <w:b/>
        </w:rPr>
        <w:tab/>
      </w:r>
      <w:r>
        <w:t>The U</w:t>
      </w:r>
      <w:r w:rsidR="00913796" w:rsidRPr="001B669F">
        <w:t xml:space="preserve">tility recorded an amortization expense of $333. </w:t>
      </w:r>
      <w:r w:rsidR="00F379F0">
        <w:t xml:space="preserve"> </w:t>
      </w:r>
      <w:r>
        <w:t>We</w:t>
      </w:r>
      <w:r w:rsidR="00913796" w:rsidRPr="001B669F">
        <w:t xml:space="preserve"> increased amortization expense by $6,855 to reflect amortization expense for the acquisition adjustment. </w:t>
      </w:r>
      <w:r w:rsidR="00F379F0">
        <w:t xml:space="preserve"> </w:t>
      </w:r>
      <w:r w:rsidR="00913796" w:rsidRPr="001B669F">
        <w:t xml:space="preserve">Therefore, </w:t>
      </w:r>
      <w:r>
        <w:t>we</w:t>
      </w:r>
      <w:r w:rsidR="00913796" w:rsidRPr="001B669F">
        <w:t xml:space="preserve"> </w:t>
      </w:r>
      <w:r>
        <w:t>approve an</w:t>
      </w:r>
      <w:r w:rsidR="00913796" w:rsidRPr="001B669F">
        <w:t xml:space="preserve"> amortization expense of $7,188 ($333 + $6,855).</w:t>
      </w:r>
    </w:p>
    <w:p w:rsidR="00582B67" w:rsidRDefault="00582B67" w:rsidP="00913796">
      <w:pPr>
        <w:jc w:val="both"/>
      </w:pPr>
    </w:p>
    <w:p w:rsidR="00582B67" w:rsidRPr="00582B67" w:rsidRDefault="00582B67" w:rsidP="00582B67">
      <w:pPr>
        <w:pStyle w:val="ListParagraph"/>
        <w:numPr>
          <w:ilvl w:val="0"/>
          <w:numId w:val="18"/>
        </w:numPr>
        <w:jc w:val="both"/>
        <w:rPr>
          <w:i/>
        </w:rPr>
      </w:pPr>
      <w:r>
        <w:rPr>
          <w:i/>
        </w:rPr>
        <w:t>Taxes Other Than Income (TOTI)</w:t>
      </w:r>
    </w:p>
    <w:p w:rsidR="00913796" w:rsidRPr="001B669F" w:rsidRDefault="00913796" w:rsidP="00913796">
      <w:pPr>
        <w:jc w:val="both"/>
        <w:rPr>
          <w:rFonts w:eastAsia="Arial"/>
        </w:rPr>
      </w:pPr>
    </w:p>
    <w:p w:rsidR="00913796" w:rsidRPr="001B669F" w:rsidRDefault="00582B67" w:rsidP="00913796">
      <w:pPr>
        <w:jc w:val="both"/>
      </w:pPr>
      <w:r>
        <w:tab/>
        <w:t>The U</w:t>
      </w:r>
      <w:r w:rsidR="00913796" w:rsidRPr="001B669F">
        <w:t xml:space="preserve">tility recorded TOTI of $2,258. </w:t>
      </w:r>
      <w:r>
        <w:t>We</w:t>
      </w:r>
      <w:r w:rsidR="00913796" w:rsidRPr="001B669F">
        <w:t xml:space="preserve"> increased TOTI by $7 to reflect the appropriate regulatory assessment fees (RAFs) based on corrected utility test year revenues. </w:t>
      </w:r>
      <w:r w:rsidR="00EA4207">
        <w:t xml:space="preserve"> </w:t>
      </w:r>
      <w:r w:rsidR="00913796" w:rsidRPr="001B669F">
        <w:t xml:space="preserve">Additionally, </w:t>
      </w:r>
      <w:r>
        <w:t>we</w:t>
      </w:r>
      <w:r w:rsidR="00913796" w:rsidRPr="001B669F">
        <w:t xml:space="preserve"> increased TOTI by $27 to reflect property taxes associated with pro forma additions. </w:t>
      </w:r>
      <w:r w:rsidR="00EA4207">
        <w:t xml:space="preserve"> </w:t>
      </w:r>
      <w:r w:rsidR="00913796" w:rsidRPr="001B669F">
        <w:t xml:space="preserve">These adjustments result in a test year TOTI increase of $34 ($7 + $27). As discussed in </w:t>
      </w:r>
      <w:r>
        <w:t>Section</w:t>
      </w:r>
      <w:r w:rsidR="00913796" w:rsidRPr="001B669F">
        <w:t xml:space="preserve"> 9, </w:t>
      </w:r>
      <w:r>
        <w:t>we</w:t>
      </w:r>
      <w:r w:rsidR="00913796" w:rsidRPr="001B669F">
        <w:t xml:space="preserve"> </w:t>
      </w:r>
      <w:r>
        <w:t>approve</w:t>
      </w:r>
      <w:r w:rsidR="00913796" w:rsidRPr="001B669F">
        <w:t xml:space="preserve"> revenues be increased by $29,829 in order to reflect the change in revenue required to cover expenses and allow an o</w:t>
      </w:r>
      <w:r w:rsidR="002B214A">
        <w:t>pportunity to earn the approv</w:t>
      </w:r>
      <w:r w:rsidR="00913796" w:rsidRPr="001B669F">
        <w:t xml:space="preserve">ed rate of return. </w:t>
      </w:r>
      <w:r w:rsidR="00EA4207">
        <w:t xml:space="preserve"> </w:t>
      </w:r>
      <w:r w:rsidR="00913796" w:rsidRPr="001B669F">
        <w:t xml:space="preserve">As a result, TOTI </w:t>
      </w:r>
      <w:r>
        <w:t>shall</w:t>
      </w:r>
      <w:r w:rsidR="00913796" w:rsidRPr="001B669F">
        <w:t xml:space="preserve"> be increased by $1,342 to reflect RAFs of 4.5 percent on the change in revenues. Therefore, </w:t>
      </w:r>
      <w:r>
        <w:t>we</w:t>
      </w:r>
      <w:r w:rsidR="00913796" w:rsidRPr="001B669F">
        <w:t xml:space="preserve"> </w:t>
      </w:r>
      <w:r>
        <w:t>find</w:t>
      </w:r>
      <w:r w:rsidR="00913796" w:rsidRPr="001B669F">
        <w:t xml:space="preserve"> TOTI of $3,634 ($2,258 + $34 + $1,342).</w:t>
      </w:r>
    </w:p>
    <w:p w:rsidR="00913796" w:rsidRDefault="00913796" w:rsidP="00913796">
      <w:pPr>
        <w:jc w:val="both"/>
      </w:pPr>
    </w:p>
    <w:p w:rsidR="00582B67" w:rsidRPr="00582B67" w:rsidRDefault="00582B67" w:rsidP="00582B67">
      <w:pPr>
        <w:pStyle w:val="ListParagraph"/>
        <w:numPr>
          <w:ilvl w:val="0"/>
          <w:numId w:val="18"/>
        </w:numPr>
        <w:jc w:val="both"/>
        <w:rPr>
          <w:i/>
        </w:rPr>
      </w:pPr>
      <w:r>
        <w:rPr>
          <w:i/>
        </w:rPr>
        <w:t>Income Taxes</w:t>
      </w:r>
    </w:p>
    <w:p w:rsidR="00582B67" w:rsidRDefault="00582B67" w:rsidP="00913796">
      <w:pPr>
        <w:jc w:val="both"/>
        <w:rPr>
          <w:rFonts w:eastAsia="Arial"/>
          <w:b/>
        </w:rPr>
      </w:pPr>
    </w:p>
    <w:p w:rsidR="00913796" w:rsidRDefault="00582B67" w:rsidP="00913796">
      <w:pPr>
        <w:jc w:val="both"/>
      </w:pPr>
      <w:r>
        <w:rPr>
          <w:rFonts w:eastAsia="Arial"/>
          <w:b/>
        </w:rPr>
        <w:tab/>
      </w:r>
      <w:r w:rsidR="00913796" w:rsidRPr="001B669F">
        <w:t>Leighton is a sole proprietorship, and therefore did not record any income tax expense for the test year.</w:t>
      </w:r>
      <w:r w:rsidR="00EA4207">
        <w:t xml:space="preserve"> </w:t>
      </w:r>
      <w:r w:rsidR="00913796" w:rsidRPr="001B669F">
        <w:t xml:space="preserve"> As such, </w:t>
      </w:r>
      <w:r>
        <w:t>we</w:t>
      </w:r>
      <w:r w:rsidR="00913796" w:rsidRPr="001B669F">
        <w:t xml:space="preserve"> </w:t>
      </w:r>
      <w:r>
        <w:t>find</w:t>
      </w:r>
      <w:r w:rsidR="00913796" w:rsidRPr="001B669F">
        <w:t xml:space="preserve"> no adjustment to income tax expense.</w:t>
      </w:r>
    </w:p>
    <w:p w:rsidR="00582B67" w:rsidRDefault="00582B67" w:rsidP="00913796">
      <w:pPr>
        <w:jc w:val="both"/>
      </w:pPr>
    </w:p>
    <w:p w:rsidR="00582B67" w:rsidRPr="00582B67" w:rsidRDefault="00582B67" w:rsidP="00582B67">
      <w:pPr>
        <w:pStyle w:val="ListParagraph"/>
        <w:numPr>
          <w:ilvl w:val="0"/>
          <w:numId w:val="18"/>
        </w:numPr>
        <w:jc w:val="both"/>
        <w:rPr>
          <w:i/>
        </w:rPr>
      </w:pPr>
      <w:r>
        <w:rPr>
          <w:i/>
        </w:rPr>
        <w:t>Operating Expenses Summary</w:t>
      </w:r>
    </w:p>
    <w:p w:rsidR="00913796" w:rsidRPr="001B669F" w:rsidRDefault="00913796" w:rsidP="00913796">
      <w:pPr>
        <w:jc w:val="both"/>
      </w:pPr>
    </w:p>
    <w:p w:rsidR="00913796" w:rsidRPr="001B669F" w:rsidRDefault="00582B67" w:rsidP="00582B67">
      <w:pPr>
        <w:jc w:val="both"/>
      </w:pPr>
      <w:r>
        <w:rPr>
          <w:rFonts w:eastAsia="Arial"/>
          <w:b/>
        </w:rPr>
        <w:tab/>
      </w:r>
      <w:r>
        <w:t>The U</w:t>
      </w:r>
      <w:r w:rsidR="00913796" w:rsidRPr="001B669F">
        <w:t xml:space="preserve">tility recorded operating expenses of $45,072. The application of </w:t>
      </w:r>
      <w:r>
        <w:t>our</w:t>
      </w:r>
      <w:r w:rsidR="00913796" w:rsidRPr="001B669F">
        <w:t xml:space="preserve"> </w:t>
      </w:r>
      <w:r>
        <w:t>approved adjustments to the U</w:t>
      </w:r>
      <w:r w:rsidR="00913796" w:rsidRPr="001B669F">
        <w:t xml:space="preserve">tility’s operating expenses result in a total operating expense of $41,981. </w:t>
      </w:r>
      <w:r w:rsidR="00EA4207">
        <w:t xml:space="preserve"> </w:t>
      </w:r>
      <w:r w:rsidR="00913796" w:rsidRPr="001B669F">
        <w:t>Operating expenses are shown on Schedule No. 3-A, and the related adjustments are shown on Schedule No. 3-B.</w:t>
      </w:r>
    </w:p>
    <w:p w:rsidR="00913796" w:rsidRDefault="00913796" w:rsidP="00913796"/>
    <w:p w:rsidR="005D6F6E" w:rsidRPr="005D6F6E" w:rsidRDefault="005D6F6E" w:rsidP="00913796">
      <w:pPr>
        <w:rPr>
          <w:u w:val="single"/>
        </w:rPr>
      </w:pPr>
      <w:r>
        <w:rPr>
          <w:u w:val="single"/>
        </w:rPr>
        <w:t>8. Operating Ratio Methodology</w:t>
      </w:r>
    </w:p>
    <w:p w:rsidR="005D6F6E" w:rsidRDefault="005D6F6E" w:rsidP="00913796">
      <w:pPr>
        <w:jc w:val="both"/>
        <w:rPr>
          <w:b/>
          <w:bCs/>
          <w:i/>
          <w:kern w:val="32"/>
          <w:szCs w:val="32"/>
        </w:rPr>
      </w:pPr>
    </w:p>
    <w:p w:rsidR="00913796" w:rsidRPr="001B669F" w:rsidRDefault="005D6F6E" w:rsidP="00913796">
      <w:pPr>
        <w:jc w:val="both"/>
      </w:pPr>
      <w:r>
        <w:rPr>
          <w:b/>
          <w:bCs/>
          <w:i/>
          <w:kern w:val="32"/>
          <w:szCs w:val="32"/>
        </w:rPr>
        <w:tab/>
      </w:r>
      <w:r w:rsidR="00913796" w:rsidRPr="001B669F">
        <w:t>Rule 25-30.4575(2), F.A.C., provides that, in rate cases processed un</w:t>
      </w:r>
      <w:r>
        <w:t xml:space="preserve">der Rule 25-30.455, F.A.C., we </w:t>
      </w:r>
      <w:r w:rsidR="00913796" w:rsidRPr="001B669F">
        <w:t xml:space="preserve">will use the operating ratio methodology to establish the </w:t>
      </w:r>
      <w:r>
        <w:t>U</w:t>
      </w:r>
      <w:r w:rsidR="00913796" w:rsidRPr="001B669F">
        <w:t>tility’s revenue requirement when its rate base is not greater than 125 percent of O&amp;M expenses, less rate case expense, and the use of the operating ratio m</w:t>
      </w:r>
      <w:r>
        <w:t>ethodology does not change the U</w:t>
      </w:r>
      <w:r w:rsidR="00913796" w:rsidRPr="001B669F">
        <w:t>tility’s qualification for a staff-assisted rate case.</w:t>
      </w:r>
    </w:p>
    <w:p w:rsidR="00913796" w:rsidRPr="001B669F" w:rsidRDefault="00913796" w:rsidP="00913796">
      <w:pPr>
        <w:jc w:val="both"/>
      </w:pPr>
    </w:p>
    <w:p w:rsidR="00913796" w:rsidRDefault="005D6F6E" w:rsidP="005D6F6E">
      <w:pPr>
        <w:jc w:val="both"/>
      </w:pPr>
      <w:r>
        <w:tab/>
      </w:r>
      <w:r w:rsidR="00913796" w:rsidRPr="001B669F">
        <w:t xml:space="preserve">With respect to Leighton, </w:t>
      </w:r>
      <w:r>
        <w:t>we</w:t>
      </w:r>
      <w:r w:rsidR="00913796" w:rsidRPr="001B669F">
        <w:t xml:space="preserve"> </w:t>
      </w:r>
      <w:r>
        <w:t>find</w:t>
      </w:r>
      <w:r w:rsidR="00913796" w:rsidRPr="001B669F">
        <w:t xml:space="preserve"> a rate base of $236,146. After removal of rate case expense, </w:t>
      </w:r>
      <w:r>
        <w:t>we</w:t>
      </w:r>
      <w:r w:rsidR="00913796" w:rsidRPr="001B669F">
        <w:t xml:space="preserve"> calculated an O&amp;M expense of $32,260 ($32,576 - $316). </w:t>
      </w:r>
      <w:r w:rsidR="00EA4207">
        <w:t xml:space="preserve"> </w:t>
      </w:r>
      <w:r w:rsidR="00913796" w:rsidRPr="001B669F">
        <w:t xml:space="preserve">Based on </w:t>
      </w:r>
      <w:r>
        <w:t>our approved amounts, the U</w:t>
      </w:r>
      <w:r w:rsidR="00913796" w:rsidRPr="001B669F">
        <w:t>tility’s rate base is 732 percent of its adjusted O</w:t>
      </w:r>
      <w:r>
        <w:t xml:space="preserve">&amp;M expense. </w:t>
      </w:r>
      <w:r w:rsidR="00EA4207">
        <w:t xml:space="preserve"> </w:t>
      </w:r>
      <w:r>
        <w:t>Based on this, the U</w:t>
      </w:r>
      <w:r w:rsidR="00913796" w:rsidRPr="001B669F">
        <w:t>tility does not qualify for application of the operating ratio methodology.</w:t>
      </w:r>
    </w:p>
    <w:p w:rsidR="005D6F6E" w:rsidRDefault="005D6F6E" w:rsidP="005D6F6E">
      <w:pPr>
        <w:jc w:val="both"/>
      </w:pPr>
    </w:p>
    <w:p w:rsidR="005D6F6E" w:rsidRDefault="005D6F6E" w:rsidP="005D6F6E">
      <w:pPr>
        <w:jc w:val="both"/>
      </w:pPr>
    </w:p>
    <w:p w:rsidR="005D6F6E" w:rsidRDefault="005D6F6E" w:rsidP="005D6F6E">
      <w:pPr>
        <w:jc w:val="both"/>
      </w:pPr>
    </w:p>
    <w:p w:rsidR="005D6F6E" w:rsidRDefault="005D6F6E" w:rsidP="005D6F6E">
      <w:pPr>
        <w:jc w:val="both"/>
      </w:pPr>
    </w:p>
    <w:p w:rsidR="005D6F6E" w:rsidRPr="005D6F6E" w:rsidRDefault="005D6F6E" w:rsidP="005D6F6E">
      <w:pPr>
        <w:jc w:val="both"/>
        <w:rPr>
          <w:u w:val="single"/>
        </w:rPr>
      </w:pPr>
      <w:r>
        <w:rPr>
          <w:u w:val="single"/>
        </w:rPr>
        <w:t>9. Revenue Requirements</w:t>
      </w:r>
    </w:p>
    <w:p w:rsidR="00913796" w:rsidRPr="001B669F" w:rsidRDefault="00913796" w:rsidP="00913796"/>
    <w:p w:rsidR="00913796" w:rsidRPr="001B669F" w:rsidRDefault="005D6F6E" w:rsidP="00913796">
      <w:pPr>
        <w:jc w:val="both"/>
      </w:pPr>
      <w:r>
        <w:tab/>
      </w:r>
      <w:r w:rsidR="00913796" w:rsidRPr="001B669F">
        <w:t xml:space="preserve">Leighton </w:t>
      </w:r>
      <w:r>
        <w:t>shall</w:t>
      </w:r>
      <w:r w:rsidR="00913796" w:rsidRPr="001B669F">
        <w:t xml:space="preserve"> be allowed an annual increase of $29,829 (105.52 percent). </w:t>
      </w:r>
      <w:r w:rsidR="00EA4207">
        <w:t xml:space="preserve"> </w:t>
      </w:r>
      <w:r w:rsidR="00913796" w:rsidRPr="001B669F">
        <w:t xml:space="preserve">This </w:t>
      </w:r>
      <w:r>
        <w:t>will allow the U</w:t>
      </w:r>
      <w:r w:rsidR="00913796" w:rsidRPr="001B669F">
        <w:t xml:space="preserve">tility the opportunity to recover its expenses and earn a 6.83 percent return on its water system. </w:t>
      </w:r>
      <w:r w:rsidR="00EA4207">
        <w:t xml:space="preserve"> </w:t>
      </w:r>
      <w:r w:rsidR="00913796" w:rsidRPr="001B669F">
        <w:t>The ca</w:t>
      </w:r>
      <w:r w:rsidR="00D967A0">
        <w:t>lculations are shown in Table 4</w:t>
      </w:r>
      <w:r w:rsidR="00913796" w:rsidRPr="001B669F">
        <w:t>:</w:t>
      </w:r>
    </w:p>
    <w:p w:rsidR="00913796" w:rsidRPr="001B669F" w:rsidRDefault="00913796" w:rsidP="00913796">
      <w:pPr>
        <w:jc w:val="both"/>
      </w:pPr>
    </w:p>
    <w:p w:rsidR="00913796" w:rsidRPr="001B669F" w:rsidRDefault="00D967A0" w:rsidP="00913796">
      <w:pPr>
        <w:jc w:val="center"/>
        <w:rPr>
          <w:rFonts w:eastAsia="Arial"/>
          <w:b/>
        </w:rPr>
      </w:pPr>
      <w:r>
        <w:rPr>
          <w:rFonts w:eastAsia="Arial"/>
          <w:b/>
        </w:rPr>
        <w:t>Table 4</w:t>
      </w:r>
    </w:p>
    <w:p w:rsidR="00913796" w:rsidRPr="001B669F" w:rsidRDefault="00913796" w:rsidP="00913796">
      <w:pPr>
        <w:jc w:val="center"/>
        <w:rPr>
          <w:rFonts w:eastAsia="Arial"/>
          <w:b/>
        </w:rPr>
      </w:pPr>
      <w:r w:rsidRPr="001B669F">
        <w:rPr>
          <w:rFonts w:eastAsia="Arial"/>
          <w:b/>
        </w:rPr>
        <w:t>Revenue Requirement</w:t>
      </w:r>
    </w:p>
    <w:tbl>
      <w:tblPr>
        <w:tblW w:w="5703"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1"/>
        <w:gridCol w:w="260"/>
        <w:gridCol w:w="1762"/>
      </w:tblGrid>
      <w:tr w:rsidR="00913796" w:rsidRPr="001B669F" w:rsidTr="001B669F">
        <w:trPr>
          <w:jc w:val="center"/>
        </w:trPr>
        <w:tc>
          <w:tcPr>
            <w:tcW w:w="3681" w:type="dxa"/>
          </w:tcPr>
          <w:p w:rsidR="00913796" w:rsidRPr="001B669F" w:rsidRDefault="00913796" w:rsidP="00913796">
            <w:pPr>
              <w:spacing w:before="116" w:after="44"/>
            </w:pPr>
            <w:r w:rsidRPr="001B669F">
              <w:t>Rate Base</w:t>
            </w:r>
            <w:r w:rsidRPr="001B669F">
              <w:rPr>
                <w:strike/>
              </w:rPr>
              <w:t xml:space="preserve"> </w:t>
            </w:r>
          </w:p>
        </w:tc>
        <w:tc>
          <w:tcPr>
            <w:tcW w:w="260" w:type="dxa"/>
          </w:tcPr>
          <w:p w:rsidR="00913796" w:rsidRPr="001B669F" w:rsidRDefault="00913796" w:rsidP="00913796">
            <w:pPr>
              <w:spacing w:before="116" w:after="44"/>
              <w:jc w:val="center"/>
            </w:pPr>
          </w:p>
        </w:tc>
        <w:tc>
          <w:tcPr>
            <w:tcW w:w="1762" w:type="dxa"/>
            <w:tcBorders>
              <w:bottom w:val="nil"/>
            </w:tcBorders>
          </w:tcPr>
          <w:p w:rsidR="00913796" w:rsidRPr="001B669F" w:rsidRDefault="00913796" w:rsidP="00913796">
            <w:pPr>
              <w:spacing w:before="116" w:after="44"/>
              <w:jc w:val="right"/>
            </w:pPr>
            <w:r w:rsidRPr="001B669F">
              <w:t>$236,146</w:t>
            </w:r>
          </w:p>
        </w:tc>
      </w:tr>
      <w:tr w:rsidR="00913796" w:rsidRPr="001B669F" w:rsidTr="001B669F">
        <w:trPr>
          <w:jc w:val="center"/>
        </w:trPr>
        <w:tc>
          <w:tcPr>
            <w:tcW w:w="3681" w:type="dxa"/>
          </w:tcPr>
          <w:p w:rsidR="00913796" w:rsidRPr="001B669F" w:rsidRDefault="00913796" w:rsidP="00913796">
            <w:pPr>
              <w:spacing w:before="116" w:after="44"/>
            </w:pPr>
            <w:r w:rsidRPr="001B669F">
              <w:t>Rate of Return</w:t>
            </w:r>
          </w:p>
        </w:tc>
        <w:tc>
          <w:tcPr>
            <w:tcW w:w="260" w:type="dxa"/>
          </w:tcPr>
          <w:p w:rsidR="00913796" w:rsidRPr="001B669F" w:rsidRDefault="00913796" w:rsidP="00913796">
            <w:pPr>
              <w:spacing w:before="116" w:after="44"/>
              <w:jc w:val="center"/>
            </w:pPr>
          </w:p>
        </w:tc>
        <w:tc>
          <w:tcPr>
            <w:tcW w:w="1762" w:type="dxa"/>
            <w:tcBorders>
              <w:top w:val="nil"/>
              <w:bottom w:val="nil"/>
              <w:right w:val="single" w:sz="4" w:space="0" w:color="000000"/>
            </w:tcBorders>
          </w:tcPr>
          <w:p w:rsidR="00913796" w:rsidRPr="001B669F" w:rsidRDefault="00913796" w:rsidP="00913796">
            <w:pPr>
              <w:spacing w:before="116" w:after="44"/>
              <w:jc w:val="right"/>
              <w:rPr>
                <w:u w:val="single"/>
              </w:rPr>
            </w:pPr>
            <w:r w:rsidRPr="001B669F">
              <w:rPr>
                <w:u w:val="single"/>
              </w:rPr>
              <w:t>x 6.83%</w:t>
            </w:r>
          </w:p>
        </w:tc>
      </w:tr>
      <w:tr w:rsidR="00913796" w:rsidRPr="001B669F" w:rsidTr="001B669F">
        <w:trPr>
          <w:jc w:val="center"/>
        </w:trPr>
        <w:tc>
          <w:tcPr>
            <w:tcW w:w="3681" w:type="dxa"/>
          </w:tcPr>
          <w:p w:rsidR="00913796" w:rsidRPr="001B669F" w:rsidRDefault="00913796" w:rsidP="00913796">
            <w:pPr>
              <w:spacing w:before="116" w:after="44"/>
            </w:pPr>
            <w:r w:rsidRPr="001B669F">
              <w:t>Return on Rate Base</w:t>
            </w:r>
          </w:p>
        </w:tc>
        <w:tc>
          <w:tcPr>
            <w:tcW w:w="260" w:type="dxa"/>
          </w:tcPr>
          <w:p w:rsidR="00913796" w:rsidRPr="001B669F" w:rsidRDefault="00913796" w:rsidP="00913796">
            <w:pPr>
              <w:spacing w:before="116" w:after="44"/>
              <w:jc w:val="center"/>
            </w:pPr>
          </w:p>
        </w:tc>
        <w:tc>
          <w:tcPr>
            <w:tcW w:w="1762" w:type="dxa"/>
            <w:tcBorders>
              <w:top w:val="nil"/>
            </w:tcBorders>
          </w:tcPr>
          <w:p w:rsidR="00913796" w:rsidRPr="001B669F" w:rsidRDefault="00913796" w:rsidP="00913796">
            <w:pPr>
              <w:spacing w:before="116" w:after="44"/>
              <w:jc w:val="right"/>
            </w:pPr>
            <w:r w:rsidRPr="001B669F">
              <w:t>$16,117</w:t>
            </w:r>
          </w:p>
        </w:tc>
      </w:tr>
      <w:tr w:rsidR="00913796" w:rsidRPr="001B669F" w:rsidTr="001B669F">
        <w:trPr>
          <w:jc w:val="center"/>
        </w:trPr>
        <w:tc>
          <w:tcPr>
            <w:tcW w:w="3681" w:type="dxa"/>
          </w:tcPr>
          <w:p w:rsidR="00913796" w:rsidRPr="001B669F" w:rsidRDefault="00913796" w:rsidP="00913796">
            <w:pPr>
              <w:spacing w:before="116" w:after="44"/>
            </w:pPr>
            <w:r w:rsidRPr="001B669F">
              <w:t>O&amp;M Expense</w:t>
            </w:r>
          </w:p>
        </w:tc>
        <w:tc>
          <w:tcPr>
            <w:tcW w:w="260" w:type="dxa"/>
          </w:tcPr>
          <w:p w:rsidR="00913796" w:rsidRPr="001B669F" w:rsidRDefault="00913796" w:rsidP="00913796">
            <w:pPr>
              <w:spacing w:before="116" w:after="44"/>
              <w:jc w:val="center"/>
            </w:pPr>
          </w:p>
        </w:tc>
        <w:tc>
          <w:tcPr>
            <w:tcW w:w="1762" w:type="dxa"/>
          </w:tcPr>
          <w:p w:rsidR="00913796" w:rsidRPr="001B669F" w:rsidRDefault="00913796" w:rsidP="00913796">
            <w:pPr>
              <w:spacing w:before="116" w:after="44"/>
              <w:jc w:val="right"/>
            </w:pPr>
            <w:r w:rsidRPr="001B669F">
              <w:t>32,576</w:t>
            </w:r>
          </w:p>
        </w:tc>
      </w:tr>
      <w:tr w:rsidR="00913796" w:rsidRPr="001B669F" w:rsidTr="001B669F">
        <w:trPr>
          <w:jc w:val="center"/>
        </w:trPr>
        <w:tc>
          <w:tcPr>
            <w:tcW w:w="3681" w:type="dxa"/>
          </w:tcPr>
          <w:p w:rsidR="00913796" w:rsidRPr="001B669F" w:rsidRDefault="00913796" w:rsidP="00913796">
            <w:pPr>
              <w:spacing w:before="116" w:after="44"/>
            </w:pPr>
            <w:r w:rsidRPr="001B669F">
              <w:t xml:space="preserve">Depreciation Expense </w:t>
            </w:r>
          </w:p>
          <w:p w:rsidR="00913796" w:rsidRPr="001B669F" w:rsidRDefault="00913796" w:rsidP="00913796">
            <w:pPr>
              <w:spacing w:before="116" w:after="44"/>
            </w:pPr>
            <w:r w:rsidRPr="001B669F">
              <w:t xml:space="preserve">Amortization </w:t>
            </w:r>
          </w:p>
        </w:tc>
        <w:tc>
          <w:tcPr>
            <w:tcW w:w="260" w:type="dxa"/>
          </w:tcPr>
          <w:p w:rsidR="00913796" w:rsidRPr="001B669F" w:rsidRDefault="00913796" w:rsidP="00913796">
            <w:pPr>
              <w:spacing w:before="116" w:after="44"/>
              <w:jc w:val="center"/>
            </w:pPr>
          </w:p>
        </w:tc>
        <w:tc>
          <w:tcPr>
            <w:tcW w:w="1762" w:type="dxa"/>
            <w:tcBorders>
              <w:bottom w:val="nil"/>
            </w:tcBorders>
          </w:tcPr>
          <w:p w:rsidR="00913796" w:rsidRPr="001B669F" w:rsidRDefault="00913796" w:rsidP="00913796">
            <w:pPr>
              <w:spacing w:before="116" w:after="44"/>
              <w:jc w:val="right"/>
            </w:pPr>
            <w:r w:rsidRPr="001B669F">
              <w:t>12,959</w:t>
            </w:r>
          </w:p>
          <w:p w:rsidR="00913796" w:rsidRPr="001B669F" w:rsidRDefault="00913796" w:rsidP="00913796">
            <w:pPr>
              <w:spacing w:before="116" w:after="44"/>
              <w:jc w:val="right"/>
            </w:pPr>
            <w:r w:rsidRPr="001B669F">
              <w:t>(7,188)</w:t>
            </w:r>
          </w:p>
        </w:tc>
      </w:tr>
      <w:tr w:rsidR="00913796" w:rsidRPr="001B669F" w:rsidTr="001B669F">
        <w:trPr>
          <w:jc w:val="center"/>
        </w:trPr>
        <w:tc>
          <w:tcPr>
            <w:tcW w:w="3681" w:type="dxa"/>
          </w:tcPr>
          <w:p w:rsidR="00913796" w:rsidRPr="001B669F" w:rsidRDefault="00913796" w:rsidP="00913796">
            <w:pPr>
              <w:spacing w:before="116" w:after="44"/>
            </w:pPr>
            <w:r w:rsidRPr="001B669F">
              <w:t>Taxes Other Than Income</w:t>
            </w:r>
          </w:p>
        </w:tc>
        <w:tc>
          <w:tcPr>
            <w:tcW w:w="260" w:type="dxa"/>
          </w:tcPr>
          <w:p w:rsidR="00913796" w:rsidRPr="001B669F" w:rsidRDefault="00913796" w:rsidP="00913796">
            <w:pPr>
              <w:spacing w:before="116" w:after="44"/>
              <w:jc w:val="center"/>
            </w:pPr>
          </w:p>
        </w:tc>
        <w:tc>
          <w:tcPr>
            <w:tcW w:w="1762" w:type="dxa"/>
            <w:tcBorders>
              <w:top w:val="nil"/>
              <w:bottom w:val="nil"/>
              <w:right w:val="single" w:sz="4" w:space="0" w:color="000000"/>
            </w:tcBorders>
          </w:tcPr>
          <w:p w:rsidR="00913796" w:rsidRPr="001B669F" w:rsidRDefault="00913796" w:rsidP="00913796">
            <w:pPr>
              <w:spacing w:before="116" w:after="44"/>
              <w:jc w:val="right"/>
              <w:rPr>
                <w:u w:val="single"/>
              </w:rPr>
            </w:pPr>
            <w:r w:rsidRPr="001B669F">
              <w:rPr>
                <w:u w:val="single"/>
              </w:rPr>
              <w:t>3,634</w:t>
            </w:r>
          </w:p>
        </w:tc>
      </w:tr>
      <w:tr w:rsidR="00913796" w:rsidRPr="001B669F" w:rsidTr="001B669F">
        <w:trPr>
          <w:jc w:val="center"/>
        </w:trPr>
        <w:tc>
          <w:tcPr>
            <w:tcW w:w="3681" w:type="dxa"/>
          </w:tcPr>
          <w:p w:rsidR="00913796" w:rsidRPr="001B669F" w:rsidRDefault="00913796" w:rsidP="00913796">
            <w:pPr>
              <w:spacing w:before="116" w:after="44"/>
            </w:pPr>
            <w:r w:rsidRPr="001B669F">
              <w:t xml:space="preserve">Revenue Requirement </w:t>
            </w:r>
          </w:p>
        </w:tc>
        <w:tc>
          <w:tcPr>
            <w:tcW w:w="260" w:type="dxa"/>
          </w:tcPr>
          <w:p w:rsidR="00913796" w:rsidRPr="001B669F" w:rsidRDefault="00913796" w:rsidP="00913796">
            <w:pPr>
              <w:spacing w:before="116" w:after="44"/>
              <w:jc w:val="center"/>
            </w:pPr>
          </w:p>
        </w:tc>
        <w:tc>
          <w:tcPr>
            <w:tcW w:w="1762" w:type="dxa"/>
            <w:tcBorders>
              <w:top w:val="nil"/>
              <w:bottom w:val="nil"/>
              <w:right w:val="single" w:sz="4" w:space="0" w:color="000000"/>
            </w:tcBorders>
          </w:tcPr>
          <w:p w:rsidR="00913796" w:rsidRPr="001B669F" w:rsidRDefault="00913796" w:rsidP="00913796">
            <w:pPr>
              <w:spacing w:before="116" w:after="44"/>
              <w:jc w:val="right"/>
              <w:rPr>
                <w:u w:val="double"/>
              </w:rPr>
            </w:pPr>
            <w:r w:rsidRPr="001B669F">
              <w:rPr>
                <w:u w:val="double"/>
              </w:rPr>
              <w:t>$58,098</w:t>
            </w:r>
          </w:p>
        </w:tc>
      </w:tr>
      <w:tr w:rsidR="00913796" w:rsidRPr="001B669F" w:rsidTr="001B669F">
        <w:trPr>
          <w:jc w:val="center"/>
        </w:trPr>
        <w:tc>
          <w:tcPr>
            <w:tcW w:w="3681" w:type="dxa"/>
          </w:tcPr>
          <w:p w:rsidR="00913796" w:rsidRPr="001B669F" w:rsidRDefault="00913796" w:rsidP="00913796">
            <w:pPr>
              <w:spacing w:before="116" w:after="44"/>
            </w:pPr>
            <w:r w:rsidRPr="001B669F">
              <w:t>Less Adjusted Test Year Revenues</w:t>
            </w:r>
          </w:p>
        </w:tc>
        <w:tc>
          <w:tcPr>
            <w:tcW w:w="260" w:type="dxa"/>
          </w:tcPr>
          <w:p w:rsidR="00913796" w:rsidRPr="001B669F" w:rsidRDefault="00913796" w:rsidP="00913796">
            <w:pPr>
              <w:spacing w:before="116" w:after="44"/>
              <w:jc w:val="center"/>
            </w:pPr>
          </w:p>
        </w:tc>
        <w:tc>
          <w:tcPr>
            <w:tcW w:w="1762" w:type="dxa"/>
            <w:tcBorders>
              <w:top w:val="nil"/>
              <w:bottom w:val="nil"/>
              <w:right w:val="single" w:sz="4" w:space="0" w:color="000000"/>
            </w:tcBorders>
          </w:tcPr>
          <w:p w:rsidR="00913796" w:rsidRPr="001B669F" w:rsidRDefault="00913796" w:rsidP="00913796">
            <w:pPr>
              <w:spacing w:before="116" w:after="44"/>
              <w:jc w:val="right"/>
              <w:rPr>
                <w:u w:val="single"/>
              </w:rPr>
            </w:pPr>
            <w:r w:rsidRPr="001B669F">
              <w:rPr>
                <w:u w:val="single"/>
              </w:rPr>
              <w:t>28,269</w:t>
            </w:r>
          </w:p>
        </w:tc>
      </w:tr>
      <w:tr w:rsidR="00913796" w:rsidRPr="001B669F" w:rsidTr="001B669F">
        <w:trPr>
          <w:jc w:val="center"/>
        </w:trPr>
        <w:tc>
          <w:tcPr>
            <w:tcW w:w="3681" w:type="dxa"/>
          </w:tcPr>
          <w:p w:rsidR="00913796" w:rsidRPr="001B669F" w:rsidRDefault="00913796" w:rsidP="00913796">
            <w:pPr>
              <w:spacing w:before="116" w:after="44"/>
            </w:pPr>
            <w:r w:rsidRPr="001B669F">
              <w:t>Annual Increase</w:t>
            </w:r>
          </w:p>
        </w:tc>
        <w:tc>
          <w:tcPr>
            <w:tcW w:w="260" w:type="dxa"/>
          </w:tcPr>
          <w:p w:rsidR="00913796" w:rsidRPr="001B669F" w:rsidRDefault="00913796" w:rsidP="00913796">
            <w:pPr>
              <w:spacing w:before="116" w:after="44"/>
              <w:jc w:val="center"/>
            </w:pPr>
          </w:p>
        </w:tc>
        <w:tc>
          <w:tcPr>
            <w:tcW w:w="1762" w:type="dxa"/>
            <w:tcBorders>
              <w:top w:val="nil"/>
            </w:tcBorders>
          </w:tcPr>
          <w:p w:rsidR="00913796" w:rsidRPr="001B669F" w:rsidRDefault="00913796" w:rsidP="00913796">
            <w:pPr>
              <w:spacing w:before="116" w:after="44"/>
              <w:jc w:val="right"/>
              <w:rPr>
                <w:u w:val="double"/>
              </w:rPr>
            </w:pPr>
            <w:r w:rsidRPr="001B669F">
              <w:rPr>
                <w:u w:val="double"/>
              </w:rPr>
              <w:t>$29,829</w:t>
            </w:r>
          </w:p>
        </w:tc>
      </w:tr>
      <w:tr w:rsidR="00913796" w:rsidRPr="001B669F" w:rsidTr="001B669F">
        <w:trPr>
          <w:jc w:val="center"/>
        </w:trPr>
        <w:tc>
          <w:tcPr>
            <w:tcW w:w="3681" w:type="dxa"/>
          </w:tcPr>
          <w:p w:rsidR="00913796" w:rsidRPr="001B669F" w:rsidRDefault="00913796" w:rsidP="00913796">
            <w:pPr>
              <w:spacing w:before="116" w:after="44"/>
            </w:pPr>
            <w:r w:rsidRPr="001B669F">
              <w:t>Percent Increase</w:t>
            </w:r>
          </w:p>
        </w:tc>
        <w:tc>
          <w:tcPr>
            <w:tcW w:w="260" w:type="dxa"/>
          </w:tcPr>
          <w:p w:rsidR="00913796" w:rsidRPr="001B669F" w:rsidRDefault="00913796" w:rsidP="00913796">
            <w:pPr>
              <w:spacing w:before="116" w:after="44"/>
              <w:jc w:val="center"/>
            </w:pPr>
          </w:p>
        </w:tc>
        <w:tc>
          <w:tcPr>
            <w:tcW w:w="1762" w:type="dxa"/>
          </w:tcPr>
          <w:p w:rsidR="00913796" w:rsidRPr="001B669F" w:rsidRDefault="00913796" w:rsidP="00913796">
            <w:pPr>
              <w:spacing w:before="116" w:after="44"/>
              <w:jc w:val="right"/>
              <w:rPr>
                <w:u w:val="double"/>
              </w:rPr>
            </w:pPr>
            <w:r w:rsidRPr="001B669F">
              <w:rPr>
                <w:u w:val="double"/>
              </w:rPr>
              <w:t>105.52%</w:t>
            </w:r>
          </w:p>
        </w:tc>
      </w:tr>
    </w:tbl>
    <w:p w:rsidR="00913796" w:rsidRPr="001B669F" w:rsidRDefault="00913796" w:rsidP="00913796">
      <w:pPr>
        <w:rPr>
          <w:rFonts w:eastAsiaTheme="minorHAnsi"/>
          <w:sz w:val="20"/>
          <w:szCs w:val="20"/>
        </w:rPr>
      </w:pPr>
      <w:r w:rsidRPr="001B669F">
        <w:rPr>
          <w:rFonts w:eastAsiaTheme="minorHAnsi"/>
          <w:szCs w:val="22"/>
        </w:rPr>
        <w:tab/>
      </w:r>
      <w:r w:rsidRPr="001B669F">
        <w:rPr>
          <w:rFonts w:eastAsiaTheme="minorHAnsi"/>
          <w:szCs w:val="22"/>
        </w:rPr>
        <w:tab/>
        <w:t xml:space="preserve">       </w:t>
      </w:r>
      <w:r w:rsidRPr="001B669F">
        <w:rPr>
          <w:rFonts w:eastAsiaTheme="minorHAnsi"/>
          <w:sz w:val="20"/>
          <w:szCs w:val="20"/>
        </w:rPr>
        <w:t xml:space="preserve"> Source: </w:t>
      </w:r>
      <w:r w:rsidR="005D6F6E">
        <w:rPr>
          <w:rFonts w:eastAsiaTheme="minorHAnsi"/>
          <w:sz w:val="20"/>
          <w:szCs w:val="20"/>
        </w:rPr>
        <w:t>Our</w:t>
      </w:r>
      <w:r w:rsidRPr="001B669F">
        <w:rPr>
          <w:rFonts w:eastAsiaTheme="minorHAnsi"/>
          <w:sz w:val="20"/>
          <w:szCs w:val="20"/>
        </w:rPr>
        <w:t xml:space="preserve"> calculations</w:t>
      </w:r>
    </w:p>
    <w:p w:rsidR="00913796" w:rsidRPr="005D6F6E" w:rsidRDefault="00913796" w:rsidP="00913796">
      <w:pPr>
        <w:rPr>
          <w:rFonts w:eastAsiaTheme="minorHAnsi"/>
          <w:szCs w:val="20"/>
        </w:rPr>
      </w:pPr>
    </w:p>
    <w:p w:rsidR="005D6F6E" w:rsidRPr="005D6F6E" w:rsidRDefault="005D6F6E" w:rsidP="00913796">
      <w:pPr>
        <w:rPr>
          <w:rFonts w:eastAsiaTheme="minorHAnsi"/>
          <w:szCs w:val="20"/>
          <w:u w:val="single"/>
        </w:rPr>
      </w:pPr>
      <w:r w:rsidRPr="005D6F6E">
        <w:rPr>
          <w:rFonts w:eastAsiaTheme="minorHAnsi"/>
          <w:szCs w:val="20"/>
          <w:u w:val="single"/>
        </w:rPr>
        <w:t>10. Rate Structure</w:t>
      </w:r>
    </w:p>
    <w:p w:rsidR="005D6F6E" w:rsidRPr="005D6F6E" w:rsidRDefault="005D6F6E" w:rsidP="00913796">
      <w:pPr>
        <w:rPr>
          <w:rFonts w:eastAsiaTheme="minorHAnsi"/>
          <w:sz w:val="20"/>
          <w:szCs w:val="20"/>
          <w:u w:val="single"/>
        </w:rPr>
      </w:pPr>
    </w:p>
    <w:p w:rsidR="00913796" w:rsidRPr="001B669F" w:rsidRDefault="005D6F6E" w:rsidP="00913796">
      <w:pPr>
        <w:jc w:val="both"/>
        <w:rPr>
          <w:rFonts w:eastAsiaTheme="minorHAnsi"/>
          <w:szCs w:val="22"/>
        </w:rPr>
      </w:pPr>
      <w:r>
        <w:rPr>
          <w:bCs/>
          <w:kern w:val="32"/>
          <w:szCs w:val="32"/>
        </w:rPr>
        <w:tab/>
      </w:r>
      <w:r>
        <w:rPr>
          <w:rFonts w:eastAsiaTheme="minorHAnsi"/>
          <w:szCs w:val="22"/>
        </w:rPr>
        <w:t>The U</w:t>
      </w:r>
      <w:r w:rsidR="00913796" w:rsidRPr="001B669F">
        <w:rPr>
          <w:rFonts w:eastAsiaTheme="minorHAnsi"/>
          <w:szCs w:val="22"/>
        </w:rPr>
        <w:t xml:space="preserve">tility provides water service to 80 residential customers. </w:t>
      </w:r>
      <w:r w:rsidR="00EA4207">
        <w:rPr>
          <w:rFonts w:eastAsiaTheme="minorHAnsi"/>
          <w:szCs w:val="22"/>
        </w:rPr>
        <w:t xml:space="preserve"> </w:t>
      </w:r>
      <w:r w:rsidR="00913796" w:rsidRPr="001B669F">
        <w:rPr>
          <w:rFonts w:eastAsiaTheme="minorHAnsi"/>
          <w:szCs w:val="22"/>
        </w:rPr>
        <w:t xml:space="preserve">Approximately two percent of the residential customer bills during the test year had zero gallons, indicating a non-seasonal customer base. </w:t>
      </w:r>
      <w:r w:rsidR="00EA4207">
        <w:rPr>
          <w:rFonts w:eastAsiaTheme="minorHAnsi"/>
          <w:szCs w:val="22"/>
        </w:rPr>
        <w:t xml:space="preserve"> </w:t>
      </w:r>
      <w:r w:rsidR="00913796" w:rsidRPr="001B669F">
        <w:rPr>
          <w:rFonts w:eastAsiaTheme="minorHAnsi"/>
          <w:szCs w:val="22"/>
        </w:rPr>
        <w:t xml:space="preserve">The average residential water demand is 4,587 gallons per month. </w:t>
      </w:r>
      <w:r w:rsidR="00EA4207">
        <w:rPr>
          <w:rFonts w:eastAsiaTheme="minorHAnsi"/>
          <w:szCs w:val="22"/>
        </w:rPr>
        <w:t xml:space="preserve"> </w:t>
      </w:r>
      <w:r w:rsidR="00913796" w:rsidRPr="001B669F">
        <w:rPr>
          <w:rFonts w:eastAsiaTheme="minorHAnsi"/>
          <w:szCs w:val="22"/>
        </w:rPr>
        <w:t>The average water demand excluding zero gallon bills is 4,660 gal</w:t>
      </w:r>
      <w:r w:rsidR="00AD49E1">
        <w:rPr>
          <w:rFonts w:eastAsiaTheme="minorHAnsi"/>
          <w:szCs w:val="22"/>
        </w:rPr>
        <w:t>lons per month. Currently, the U</w:t>
      </w:r>
      <w:r w:rsidR="00913796" w:rsidRPr="001B669F">
        <w:rPr>
          <w:rFonts w:eastAsiaTheme="minorHAnsi"/>
          <w:szCs w:val="22"/>
        </w:rPr>
        <w:t>tility’s residential and general service water rate structure consists of a monthly base facility charge (BFC) and</w:t>
      </w:r>
      <w:r w:rsidR="00913796" w:rsidRPr="001B669F">
        <w:t xml:space="preserve"> a </w:t>
      </w:r>
      <w:r w:rsidR="00913796" w:rsidRPr="001B669F">
        <w:rPr>
          <w:rFonts w:eastAsiaTheme="minorHAnsi"/>
          <w:szCs w:val="22"/>
        </w:rPr>
        <w:t xml:space="preserve">gallonage charge. </w:t>
      </w:r>
    </w:p>
    <w:p w:rsidR="00913796" w:rsidRPr="001B669F" w:rsidRDefault="00913796" w:rsidP="00913796">
      <w:pPr>
        <w:jc w:val="both"/>
        <w:rPr>
          <w:rFonts w:eastAsiaTheme="minorHAnsi"/>
          <w:szCs w:val="22"/>
        </w:rPr>
      </w:pPr>
    </w:p>
    <w:p w:rsidR="00913796" w:rsidRPr="001B669F" w:rsidRDefault="00AD49E1" w:rsidP="00913796">
      <w:pPr>
        <w:jc w:val="both"/>
        <w:rPr>
          <w:rFonts w:eastAsiaTheme="minorHAnsi"/>
          <w:szCs w:val="22"/>
        </w:rPr>
      </w:pPr>
      <w:r>
        <w:rPr>
          <w:rFonts w:eastAsiaTheme="minorHAnsi"/>
          <w:szCs w:val="22"/>
        </w:rPr>
        <w:tab/>
        <w:t>We performed an analysis of the U</w:t>
      </w:r>
      <w:r w:rsidR="00913796" w:rsidRPr="001B669F">
        <w:rPr>
          <w:rFonts w:eastAsiaTheme="minorHAnsi"/>
          <w:szCs w:val="22"/>
        </w:rPr>
        <w:t xml:space="preserve">tility’s billing in order to evaluate the appropriate rate structure for the residential water customers. </w:t>
      </w:r>
      <w:r w:rsidR="00EA4207">
        <w:rPr>
          <w:rFonts w:eastAsiaTheme="minorHAnsi"/>
          <w:szCs w:val="22"/>
        </w:rPr>
        <w:t xml:space="preserve"> </w:t>
      </w:r>
      <w:r w:rsidR="00913796" w:rsidRPr="001B669F">
        <w:rPr>
          <w:rFonts w:eastAsiaTheme="minorHAnsi"/>
          <w:szCs w:val="22"/>
        </w:rPr>
        <w:t>The goal of the evaluation was to select the rate design parameter</w:t>
      </w:r>
      <w:r w:rsidR="002B214A">
        <w:rPr>
          <w:rFonts w:eastAsiaTheme="minorHAnsi"/>
          <w:szCs w:val="22"/>
        </w:rPr>
        <w:t>s that: 1) produce the approv</w:t>
      </w:r>
      <w:r w:rsidR="00913796" w:rsidRPr="001B669F">
        <w:rPr>
          <w:rFonts w:eastAsiaTheme="minorHAnsi"/>
          <w:szCs w:val="22"/>
        </w:rPr>
        <w:t xml:space="preserve">ed revenue requirement; 2) equitably distribute cost recovery among the utility’s customers; 3) establish the appropriate non-discretionary usage threshold for restricting repression; and 4) implement, where appropriate, water conserving rate structures consistent with </w:t>
      </w:r>
      <w:r>
        <w:rPr>
          <w:rFonts w:eastAsiaTheme="minorHAnsi"/>
          <w:szCs w:val="22"/>
        </w:rPr>
        <w:t>our</w:t>
      </w:r>
      <w:r w:rsidR="00913796" w:rsidRPr="001B669F">
        <w:rPr>
          <w:rFonts w:eastAsiaTheme="minorHAnsi"/>
          <w:szCs w:val="22"/>
        </w:rPr>
        <w:t xml:space="preserve"> practice.</w:t>
      </w:r>
    </w:p>
    <w:p w:rsidR="00913796" w:rsidRPr="001B669F" w:rsidRDefault="00AD49E1" w:rsidP="00AD49E1">
      <w:pPr>
        <w:tabs>
          <w:tab w:val="left" w:pos="2117"/>
        </w:tabs>
        <w:jc w:val="both"/>
        <w:rPr>
          <w:rFonts w:eastAsiaTheme="minorHAnsi"/>
          <w:szCs w:val="22"/>
        </w:rPr>
      </w:pPr>
      <w:r>
        <w:rPr>
          <w:rFonts w:eastAsiaTheme="minorHAnsi"/>
          <w:szCs w:val="22"/>
        </w:rPr>
        <w:tab/>
      </w:r>
    </w:p>
    <w:p w:rsidR="00913796" w:rsidRPr="001B669F" w:rsidRDefault="00AD49E1" w:rsidP="00913796">
      <w:pPr>
        <w:jc w:val="both"/>
      </w:pPr>
      <w:r>
        <w:tab/>
      </w:r>
      <w:r w:rsidR="00913796" w:rsidRPr="001B669F">
        <w:t xml:space="preserve">In this case, </w:t>
      </w:r>
      <w:r>
        <w:t>we</w:t>
      </w:r>
      <w:r w:rsidR="00913796" w:rsidRPr="001B669F">
        <w:t xml:space="preserve"> </w:t>
      </w:r>
      <w:r>
        <w:t>find</w:t>
      </w:r>
      <w:r w:rsidR="00913796" w:rsidRPr="001B669F">
        <w:t xml:space="preserve"> that 40 percent of the water revenues be generated from the BFC which will provide sufficient revenues to design gallonage charges that send pricing signals to customers using above the non-discretionary level. </w:t>
      </w:r>
      <w:r w:rsidR="00EA4207">
        <w:t xml:space="preserve"> </w:t>
      </w:r>
      <w:r w:rsidR="00913796" w:rsidRPr="001B669F">
        <w:t>The average people per household served by the water system is 2.5; therefore, based on the number of people per household, 50 gallons per day per person, and the number of days per month, the appropriate non-discretionary threshold should be 4,000 gallons.</w:t>
      </w:r>
      <w:r w:rsidR="00913796" w:rsidRPr="001B669F">
        <w:rPr>
          <w:vertAlign w:val="superscript"/>
        </w:rPr>
        <w:footnoteReference w:id="14"/>
      </w:r>
      <w:r w:rsidR="00913796" w:rsidRPr="001B669F">
        <w:t xml:space="preserve"> </w:t>
      </w:r>
      <w:r w:rsidR="00EA4207">
        <w:t xml:space="preserve"> </w:t>
      </w:r>
      <w:r>
        <w:t>Our</w:t>
      </w:r>
      <w:r w:rsidR="00913796" w:rsidRPr="001B669F">
        <w:t xml:space="preserve"> review of the billing analysis indicates that the usage above 4,000 gallons represents 48 percent of the bills, which account for approximately 36 percent of the water demand.</w:t>
      </w:r>
      <w:r w:rsidR="00EA4207">
        <w:t xml:space="preserve"> </w:t>
      </w:r>
      <w:r w:rsidR="00913796" w:rsidRPr="001B669F">
        <w:t xml:space="preserve"> This is considered moderately high discretionary usage for this customer base.</w:t>
      </w:r>
    </w:p>
    <w:p w:rsidR="00913796" w:rsidRPr="001B669F" w:rsidRDefault="00913796" w:rsidP="00913796">
      <w:pPr>
        <w:jc w:val="both"/>
      </w:pPr>
    </w:p>
    <w:p w:rsidR="00913796" w:rsidRPr="001B669F" w:rsidRDefault="00AD49E1" w:rsidP="00913796">
      <w:pPr>
        <w:jc w:val="both"/>
      </w:pPr>
      <w:r>
        <w:tab/>
      </w:r>
      <w:r w:rsidR="00913796" w:rsidRPr="001B669F">
        <w:t xml:space="preserve">For this case, </w:t>
      </w:r>
      <w:r>
        <w:t>we</w:t>
      </w:r>
      <w:r w:rsidR="00913796" w:rsidRPr="001B669F">
        <w:t xml:space="preserve"> </w:t>
      </w:r>
      <w:r>
        <w:t>approve</w:t>
      </w:r>
      <w:r w:rsidR="00913796" w:rsidRPr="001B669F">
        <w:t xml:space="preserve"> a BFC and a two-tier inclining block rate structure, which includes separate gallonage charges for discretionary and non-discretionary usage for residential water customers. </w:t>
      </w:r>
      <w:r w:rsidR="00EA4207">
        <w:t xml:space="preserve"> </w:t>
      </w:r>
      <w:r w:rsidR="00913796" w:rsidRPr="001B669F">
        <w:t>The rate blocks are: 1) 0-4,000 gallons and 2) all usage in excess of 4,000 gallons per month.</w:t>
      </w:r>
      <w:r w:rsidR="00EA4207">
        <w:t xml:space="preserve"> </w:t>
      </w:r>
      <w:r w:rsidR="00913796" w:rsidRPr="001B669F">
        <w:t xml:space="preserve"> This rate structure sends the appropriate pricing signals because it targets customers with high consumption levels and minimizes price increases for customers at non-discretionary levels.</w:t>
      </w:r>
      <w:r w:rsidR="00EA4207">
        <w:t xml:space="preserve"> </w:t>
      </w:r>
      <w:r w:rsidR="00913796" w:rsidRPr="001B669F">
        <w:t xml:space="preserve"> General service customers </w:t>
      </w:r>
      <w:r>
        <w:t>shall</w:t>
      </w:r>
      <w:r w:rsidR="00913796" w:rsidRPr="001B669F">
        <w:t xml:space="preserve"> be billed a BFC and </w:t>
      </w:r>
      <w:r w:rsidR="00DD6193" w:rsidRPr="001B669F">
        <w:t>a</w:t>
      </w:r>
      <w:r w:rsidR="00913796" w:rsidRPr="001B669F">
        <w:t xml:space="preserve"> uniform gallonage charge.</w:t>
      </w:r>
    </w:p>
    <w:p w:rsidR="00913796" w:rsidRPr="001B669F" w:rsidRDefault="00913796" w:rsidP="00913796">
      <w:pPr>
        <w:jc w:val="both"/>
      </w:pPr>
    </w:p>
    <w:p w:rsidR="00913796" w:rsidRPr="001B669F" w:rsidRDefault="00AD49E1" w:rsidP="00913796">
      <w:pPr>
        <w:jc w:val="both"/>
      </w:pPr>
      <w:r>
        <w:tab/>
      </w:r>
      <w:r w:rsidR="00913796" w:rsidRPr="001B669F">
        <w:t xml:space="preserve">Based on </w:t>
      </w:r>
      <w:r>
        <w:t>our</w:t>
      </w:r>
      <w:r w:rsidR="00913796" w:rsidRPr="001B669F">
        <w:t xml:space="preserve"> </w:t>
      </w:r>
      <w:r>
        <w:t>approved</w:t>
      </w:r>
      <w:r w:rsidR="00913796" w:rsidRPr="001B669F">
        <w:t xml:space="preserve"> revenue increase of 106.1 percent, which excludes miscellaneous revenues, the residential consumption can be expected to decline by 1,289,000 gallons resulting in anticipated average residential demand of 3,229 gallons per month. </w:t>
      </w:r>
      <w:r w:rsidR="00EA4207">
        <w:t xml:space="preserve"> </w:t>
      </w:r>
      <w:r>
        <w:t>We</w:t>
      </w:r>
      <w:r w:rsidR="00913796" w:rsidRPr="001B669F">
        <w:t xml:space="preserve"> </w:t>
      </w:r>
      <w:r>
        <w:t>find</w:t>
      </w:r>
      <w:r w:rsidR="00913796" w:rsidRPr="001B669F">
        <w:t xml:space="preserve"> a 29.6 percent reduction in test year residential gallons for </w:t>
      </w:r>
      <w:r w:rsidR="00DD6193" w:rsidRPr="001B669F">
        <w:t>rate setting</w:t>
      </w:r>
      <w:r w:rsidR="00913796" w:rsidRPr="001B669F">
        <w:t xml:space="preserve"> purposes. </w:t>
      </w:r>
      <w:r w:rsidR="00EA4207">
        <w:t xml:space="preserve"> </w:t>
      </w:r>
      <w:r w:rsidR="00913796" w:rsidRPr="001B669F">
        <w:t>As a result, the corresponding reductions for purchased power expense is $335, and $16 for RAFs to reflect the anticipated repression, which results in a post repression revenue requirement of $57,582.</w:t>
      </w:r>
    </w:p>
    <w:p w:rsidR="00913796" w:rsidRPr="001B669F" w:rsidRDefault="00913796" w:rsidP="00913796">
      <w:pPr>
        <w:jc w:val="both"/>
      </w:pPr>
    </w:p>
    <w:p w:rsidR="00913796" w:rsidRDefault="00AD49E1" w:rsidP="00913796">
      <w:pPr>
        <w:jc w:val="both"/>
      </w:pPr>
      <w:r>
        <w:tab/>
      </w:r>
      <w:r w:rsidR="002B214A">
        <w:t>The approv</w:t>
      </w:r>
      <w:r w:rsidR="00913796" w:rsidRPr="001B669F">
        <w:t>ed rate structures and monthly water rates ar</w:t>
      </w:r>
      <w:r>
        <w:t xml:space="preserve">e shown on Schedule No. 4. </w:t>
      </w:r>
      <w:r w:rsidR="00EA4207">
        <w:t xml:space="preserve"> </w:t>
      </w:r>
      <w:r>
        <w:t>The U</w:t>
      </w:r>
      <w:r w:rsidR="00913796" w:rsidRPr="001B669F">
        <w:t>tility</w:t>
      </w:r>
      <w:r w:rsidR="00D967A0">
        <w:t xml:space="preserve"> shall</w:t>
      </w:r>
      <w:r w:rsidR="00913796" w:rsidRPr="001B669F">
        <w:t xml:space="preserve"> file revised tariff sheets and a propose</w:t>
      </w:r>
      <w:r w:rsidR="00EA4207">
        <w:t>d customer notice to reflect</w:t>
      </w:r>
      <w:r w:rsidR="00913796" w:rsidRPr="001B669F">
        <w:t xml:space="preserve"> </w:t>
      </w:r>
      <w:r>
        <w:t xml:space="preserve">our </w:t>
      </w:r>
      <w:r w:rsidR="00913796" w:rsidRPr="001B669F">
        <w:t>approved rates.</w:t>
      </w:r>
      <w:r w:rsidR="00EA4207">
        <w:t xml:space="preserve"> </w:t>
      </w:r>
      <w:r w:rsidR="00913796" w:rsidRPr="001B669F">
        <w:t xml:space="preserve"> The approved rates </w:t>
      </w:r>
      <w:r>
        <w:t>shall</w:t>
      </w:r>
      <w:r w:rsidR="00913796" w:rsidRPr="001B669F">
        <w:t xml:space="preserve"> be effective for service rendered on or after the stamped approval date on the tariff sheets pursuant to Rule 25-30.475(1), F.A.C.</w:t>
      </w:r>
      <w:r w:rsidR="00EA4207">
        <w:t xml:space="preserve"> </w:t>
      </w:r>
      <w:r w:rsidR="00913796" w:rsidRPr="001B669F">
        <w:t xml:space="preserve"> In addition, the approved rates </w:t>
      </w:r>
      <w:r>
        <w:t>shall</w:t>
      </w:r>
      <w:r w:rsidR="00913796" w:rsidRPr="001B669F">
        <w:t xml:space="preserve"> not be implemented until </w:t>
      </w:r>
      <w:r>
        <w:t>our staff</w:t>
      </w:r>
      <w:r w:rsidR="00913796" w:rsidRPr="001B669F">
        <w:t xml:space="preserve"> has approved the proposed customer notice and the notice has been </w:t>
      </w:r>
      <w:r>
        <w:t xml:space="preserve">received by the customers. </w:t>
      </w:r>
      <w:r w:rsidR="00EA4207">
        <w:t xml:space="preserve"> </w:t>
      </w:r>
      <w:r>
        <w:t>The U</w:t>
      </w:r>
      <w:r w:rsidR="00913796" w:rsidRPr="001B669F">
        <w:t xml:space="preserve">tility </w:t>
      </w:r>
      <w:r>
        <w:t>shall</w:t>
      </w:r>
      <w:r w:rsidR="00913796" w:rsidRPr="001B669F">
        <w:t xml:space="preserve"> provide proof of the date notice was given within 10 days of the date of the notice.</w:t>
      </w:r>
    </w:p>
    <w:p w:rsidR="00AD49E1" w:rsidRDefault="00AD49E1" w:rsidP="00913796">
      <w:pPr>
        <w:jc w:val="both"/>
      </w:pPr>
    </w:p>
    <w:p w:rsidR="00AD49E1" w:rsidRPr="00AD49E1" w:rsidRDefault="00AD49E1" w:rsidP="00913796">
      <w:pPr>
        <w:jc w:val="both"/>
        <w:rPr>
          <w:u w:val="single"/>
        </w:rPr>
      </w:pPr>
      <w:r>
        <w:rPr>
          <w:u w:val="single"/>
        </w:rPr>
        <w:t>11. Miscellaneous Service Charges</w:t>
      </w:r>
    </w:p>
    <w:p w:rsidR="00AD49E1" w:rsidRDefault="00AD49E1" w:rsidP="00913796">
      <w:pPr>
        <w:jc w:val="both"/>
      </w:pPr>
    </w:p>
    <w:p w:rsidR="00913796" w:rsidRDefault="00AD49E1" w:rsidP="00913796">
      <w:pPr>
        <w:jc w:val="both"/>
      </w:pPr>
      <w:r>
        <w:tab/>
      </w:r>
      <w:r w:rsidR="00913796" w:rsidRPr="001B669F">
        <w:t>Effective June 24, 2021, Rule 25-30.460, F.A.C., was amended to remove initial connection and normal reconnection charges.</w:t>
      </w:r>
      <w:r w:rsidR="00913796" w:rsidRPr="001B669F">
        <w:rPr>
          <w:vertAlign w:val="superscript"/>
        </w:rPr>
        <w:footnoteReference w:id="15"/>
      </w:r>
      <w:r w:rsidR="00913796" w:rsidRPr="001B669F">
        <w:t xml:space="preserve"> </w:t>
      </w:r>
      <w:r w:rsidR="00EA4207">
        <w:t xml:space="preserve"> </w:t>
      </w:r>
      <w:r w:rsidR="00913796" w:rsidRPr="001B669F">
        <w:t xml:space="preserve">The definitions for initial connection charges and normal reconnection charges were subsumed in the definition of the premises visit charge. </w:t>
      </w:r>
      <w:r w:rsidR="00EA4207">
        <w:t xml:space="preserve"> </w:t>
      </w:r>
      <w:r w:rsidR="00913796" w:rsidRPr="001B669F">
        <w:t xml:space="preserve">Leighton’s miscellaneous service charges consist of initial connection and normal reconnection charges. </w:t>
      </w:r>
      <w:r w:rsidR="00EA4207">
        <w:t xml:space="preserve"> </w:t>
      </w:r>
      <w:r w:rsidR="00913796" w:rsidRPr="001B669F">
        <w:t xml:space="preserve">Therefore, </w:t>
      </w:r>
      <w:r>
        <w:t>we</w:t>
      </w:r>
      <w:r w:rsidR="00913796" w:rsidRPr="001B669F">
        <w:t xml:space="preserve"> </w:t>
      </w:r>
      <w:r>
        <w:t>find</w:t>
      </w:r>
      <w:r w:rsidR="00913796" w:rsidRPr="001B669F">
        <w:t xml:space="preserve"> that the initial connection and normal reconnection charges be removed, and the definition for the premises visit charge be updated to comply with amended Rule 25-30.460, F.A.C.</w:t>
      </w:r>
      <w:r w:rsidR="00EA4207">
        <w:t xml:space="preserve"> </w:t>
      </w:r>
      <w:r w:rsidR="00913796" w:rsidRPr="001B669F">
        <w:t xml:space="preserve"> The premises visit and violation reconnection charge will remain at $25 for normal hours and $50 for after hours.</w:t>
      </w:r>
    </w:p>
    <w:p w:rsidR="00AD49E1" w:rsidRDefault="00AD49E1" w:rsidP="00913796">
      <w:pPr>
        <w:jc w:val="both"/>
      </w:pPr>
    </w:p>
    <w:p w:rsidR="00AD49E1" w:rsidRPr="00AD49E1" w:rsidRDefault="00AD49E1" w:rsidP="00AD49E1">
      <w:pPr>
        <w:pStyle w:val="ListParagraph"/>
        <w:numPr>
          <w:ilvl w:val="0"/>
          <w:numId w:val="19"/>
        </w:numPr>
        <w:jc w:val="both"/>
        <w:rPr>
          <w:i/>
        </w:rPr>
      </w:pPr>
      <w:r>
        <w:rPr>
          <w:i/>
        </w:rPr>
        <w:t>Conclusion</w:t>
      </w:r>
    </w:p>
    <w:p w:rsidR="00AD49E1" w:rsidRDefault="00AD49E1" w:rsidP="00913796">
      <w:pPr>
        <w:jc w:val="both"/>
      </w:pPr>
      <w:r>
        <w:tab/>
      </w:r>
    </w:p>
    <w:p w:rsidR="00913796" w:rsidRDefault="00AD49E1" w:rsidP="00913796">
      <w:pPr>
        <w:jc w:val="both"/>
      </w:pPr>
      <w:r>
        <w:tab/>
      </w:r>
      <w:r w:rsidR="00913796" w:rsidRPr="001B669F">
        <w:t xml:space="preserve">Based on the above, </w:t>
      </w:r>
      <w:r>
        <w:t>we</w:t>
      </w:r>
      <w:r w:rsidR="00913796" w:rsidRPr="001B669F">
        <w:t xml:space="preserve"> </w:t>
      </w:r>
      <w:r>
        <w:t>approve</w:t>
      </w:r>
      <w:r w:rsidR="00913796" w:rsidRPr="001B669F">
        <w:t xml:space="preserve"> the miscellaneous service charges be revised to conform to the recent amendment to Rule 25-</w:t>
      </w:r>
      <w:r w:rsidR="00D967A0">
        <w:t xml:space="preserve">30.460, F.A.C. </w:t>
      </w:r>
      <w:r w:rsidR="00EA4207">
        <w:t xml:space="preserve"> </w:t>
      </w:r>
      <w:r w:rsidR="00D967A0">
        <w:t>The tariff shall</w:t>
      </w:r>
      <w:r w:rsidR="00913796" w:rsidRPr="001B669F">
        <w:t xml:space="preserve"> be revised to reflect the removal of initial connection and normal recon</w:t>
      </w:r>
      <w:r w:rsidR="00EA4207">
        <w:t>nection charges.  Leighton shall</w:t>
      </w:r>
      <w:r w:rsidR="00913796" w:rsidRPr="001B669F">
        <w:t xml:space="preserve"> be required to file a proposed</w:t>
      </w:r>
      <w:r>
        <w:t xml:space="preserve"> customer notice to reflect our </w:t>
      </w:r>
      <w:r w:rsidR="00913796" w:rsidRPr="001B669F">
        <w:t xml:space="preserve">approved charges. </w:t>
      </w:r>
      <w:r w:rsidR="00EA4207">
        <w:t xml:space="preserve"> </w:t>
      </w:r>
      <w:r w:rsidR="00913796" w:rsidRPr="001B669F">
        <w:t xml:space="preserve">The approved charges </w:t>
      </w:r>
      <w:r>
        <w:t>shall</w:t>
      </w:r>
      <w:r w:rsidR="00913796" w:rsidRPr="001B669F">
        <w:t xml:space="preserve"> be effective on or after the stamped approval date on the tariff sheet pursuant to Rule 25-30.475(1), F.A.C. </w:t>
      </w:r>
      <w:r w:rsidR="00EA4207">
        <w:t xml:space="preserve"> </w:t>
      </w:r>
      <w:r w:rsidR="00913796" w:rsidRPr="001B669F">
        <w:t xml:space="preserve">In addition, the approved charge </w:t>
      </w:r>
      <w:r>
        <w:t>shall</w:t>
      </w:r>
      <w:r w:rsidR="00913796" w:rsidRPr="001B669F">
        <w:t xml:space="preserve"> not be implemented until </w:t>
      </w:r>
      <w:r>
        <w:t>we</w:t>
      </w:r>
      <w:r w:rsidR="00913796" w:rsidRPr="001B669F">
        <w:t xml:space="preserve"> approved the proposed customer notice and the notice has b</w:t>
      </w:r>
      <w:r>
        <w:t xml:space="preserve">een received by customers. </w:t>
      </w:r>
      <w:r w:rsidR="00EA4207">
        <w:t xml:space="preserve"> </w:t>
      </w:r>
      <w:r>
        <w:t>The U</w:t>
      </w:r>
      <w:r w:rsidR="00D967A0">
        <w:t>tility shall</w:t>
      </w:r>
      <w:r w:rsidR="00913796" w:rsidRPr="001B669F">
        <w:t xml:space="preserve"> provide proof of the date notice was given no less than 10 days after the date of the notice.</w:t>
      </w:r>
    </w:p>
    <w:p w:rsidR="00AD49E1" w:rsidRDefault="00AD49E1" w:rsidP="00913796">
      <w:pPr>
        <w:jc w:val="both"/>
      </w:pPr>
    </w:p>
    <w:p w:rsidR="00AD49E1" w:rsidRPr="00AD49E1" w:rsidRDefault="00EA4207" w:rsidP="00913796">
      <w:pPr>
        <w:jc w:val="both"/>
        <w:rPr>
          <w:b/>
          <w:bCs/>
          <w:u w:val="single"/>
        </w:rPr>
      </w:pPr>
      <w:r>
        <w:rPr>
          <w:u w:val="single"/>
        </w:rPr>
        <w:t>12.</w:t>
      </w:r>
      <w:r w:rsidR="00AD49E1">
        <w:rPr>
          <w:u w:val="single"/>
        </w:rPr>
        <w:t xml:space="preserve"> Initial Customer Deposits</w:t>
      </w:r>
    </w:p>
    <w:p w:rsidR="00913796" w:rsidRPr="001B669F" w:rsidRDefault="00913796" w:rsidP="00913796">
      <w:pPr>
        <w:jc w:val="both"/>
      </w:pPr>
    </w:p>
    <w:p w:rsidR="00913796" w:rsidRPr="001B669F" w:rsidRDefault="00AD49E1" w:rsidP="00913796">
      <w:pPr>
        <w:jc w:val="both"/>
      </w:pPr>
      <w:r>
        <w:rPr>
          <w:b/>
          <w:bCs/>
          <w:i/>
          <w:kern w:val="32"/>
          <w:szCs w:val="32"/>
        </w:rPr>
        <w:tab/>
      </w:r>
      <w:r w:rsidR="00913796" w:rsidRPr="001B669F">
        <w:t xml:space="preserve">Rule 25-30.311, F.A.C., provides the criteria for collecting, administering, and refunding customer deposits. </w:t>
      </w:r>
      <w:r w:rsidR="00EA4207">
        <w:t xml:space="preserve"> </w:t>
      </w:r>
      <w:r w:rsidR="00913796" w:rsidRPr="001B669F">
        <w:t>Customer deposits are designed to minimize the exposu</w:t>
      </w:r>
      <w:r>
        <w:t>re of debt expense for the U</w:t>
      </w:r>
      <w:r w:rsidR="00913796" w:rsidRPr="001B669F">
        <w:t>tility and, ultimately, the general body of ratepayers.</w:t>
      </w:r>
      <w:r w:rsidR="00EA4207">
        <w:t xml:space="preserve"> </w:t>
      </w:r>
      <w:r w:rsidR="00913796" w:rsidRPr="001B669F">
        <w:t xml:space="preserve"> An initial customer deposit ensures that the cost of providing service is recovered from the</w:t>
      </w:r>
      <w:r>
        <w:t xml:space="preserve"> cost causer. </w:t>
      </w:r>
      <w:r w:rsidR="00EA4207">
        <w:t xml:space="preserve"> </w:t>
      </w:r>
      <w:r>
        <w:t>Historically, we have</w:t>
      </w:r>
      <w:r w:rsidR="00913796" w:rsidRPr="001B669F">
        <w:t xml:space="preserve"> set initial customer deposits equal to two times the average estimated bill.</w:t>
      </w:r>
      <w:r w:rsidR="00913796" w:rsidRPr="001B669F">
        <w:rPr>
          <w:color w:val="000000"/>
          <w:vertAlign w:val="superscript"/>
        </w:rPr>
        <w:footnoteReference w:id="16"/>
      </w:r>
      <w:r w:rsidR="00EA4207">
        <w:t xml:space="preserve"> </w:t>
      </w:r>
      <w:r w:rsidR="00913796" w:rsidRPr="001B669F">
        <w:rPr>
          <w:color w:val="000000"/>
        </w:rPr>
        <w:t xml:space="preserve"> </w:t>
      </w:r>
      <w:r>
        <w:t>Currently, the U</w:t>
      </w:r>
      <w:r w:rsidR="00913796" w:rsidRPr="001B669F">
        <w:t xml:space="preserve">tility’s initial customer deposit for single family residential water customer is $50 for the 5/8 inch x 3/4 inch meter size. </w:t>
      </w:r>
      <w:r w:rsidR="00EA4207">
        <w:t xml:space="preserve"> </w:t>
      </w:r>
      <w:r w:rsidR="00913796" w:rsidRPr="001B669F">
        <w:t xml:space="preserve">However, the amount does not cover two months’ average bill based on </w:t>
      </w:r>
      <w:r>
        <w:t>our</w:t>
      </w:r>
      <w:r w:rsidR="00913796" w:rsidRPr="001B669F">
        <w:t xml:space="preserve"> </w:t>
      </w:r>
      <w:r>
        <w:t>approved</w:t>
      </w:r>
      <w:r w:rsidR="00913796" w:rsidRPr="001B669F">
        <w:t xml:space="preserve"> rates. </w:t>
      </w:r>
      <w:r w:rsidR="00EA4207">
        <w:t xml:space="preserve"> </w:t>
      </w:r>
      <w:r w:rsidR="00913796" w:rsidRPr="001B669F">
        <w:t xml:space="preserve">The average monthly bill based on </w:t>
      </w:r>
      <w:r>
        <w:t>our</w:t>
      </w:r>
      <w:r w:rsidR="00913796" w:rsidRPr="001B669F">
        <w:t xml:space="preserve"> </w:t>
      </w:r>
      <w:r>
        <w:t>approved</w:t>
      </w:r>
      <w:r w:rsidR="00913796" w:rsidRPr="001B669F">
        <w:t xml:space="preserve"> rates is $59.89 for water.</w:t>
      </w:r>
      <w:r w:rsidR="00913796" w:rsidRPr="001B669F">
        <w:rPr>
          <w:vertAlign w:val="superscript"/>
        </w:rPr>
        <w:footnoteReference w:id="17"/>
      </w:r>
    </w:p>
    <w:p w:rsidR="00913796" w:rsidRPr="001B669F" w:rsidRDefault="00913796" w:rsidP="00913796">
      <w:pPr>
        <w:jc w:val="both"/>
      </w:pPr>
    </w:p>
    <w:p w:rsidR="00913796" w:rsidRDefault="00AD49E1" w:rsidP="00913796">
      <w:pPr>
        <w:jc w:val="both"/>
      </w:pPr>
      <w:r>
        <w:tab/>
      </w:r>
      <w:r w:rsidR="00913796" w:rsidRPr="001B669F">
        <w:t>Based on the above, the appropriate initial customer deposits for the residential 5/8 inch x 3/4 inch meter size are $120 for water.</w:t>
      </w:r>
      <w:r w:rsidR="00EA4207">
        <w:t xml:space="preserve"> </w:t>
      </w:r>
      <w:r w:rsidR="00913796" w:rsidRPr="001B669F">
        <w:t xml:space="preserve"> The initial customer deposit for all other residential meter sizes and all general service meter sizes should be two times the average estimated monthly bill for water. </w:t>
      </w:r>
      <w:r w:rsidR="00EA4207">
        <w:t xml:space="preserve"> </w:t>
      </w:r>
      <w:r w:rsidR="00913796" w:rsidRPr="001B669F">
        <w:t xml:space="preserve">The approved initial customer deposits </w:t>
      </w:r>
      <w:r>
        <w:t>shall</w:t>
      </w:r>
      <w:r w:rsidR="00913796" w:rsidRPr="001B669F">
        <w:t xml:space="preserve"> be effective for connections made on or after the stamped approval date on the tariff sheets pursuant</w:t>
      </w:r>
      <w:r>
        <w:t xml:space="preserve"> to Rule 25-30.475, F.A.C. </w:t>
      </w:r>
      <w:r w:rsidR="00EA4207">
        <w:t xml:space="preserve"> </w:t>
      </w:r>
      <w:r>
        <w:t>The U</w:t>
      </w:r>
      <w:r w:rsidR="00913796" w:rsidRPr="001B669F">
        <w:t xml:space="preserve">tility </w:t>
      </w:r>
      <w:r>
        <w:t>shall</w:t>
      </w:r>
      <w:r w:rsidR="00913796" w:rsidRPr="001B669F">
        <w:t xml:space="preserve"> be required to collect the approved initial customer deposits until authorized to change them by the Commission in a subsequent proceeding.</w:t>
      </w:r>
    </w:p>
    <w:p w:rsidR="00AD49E1" w:rsidRDefault="00AD49E1" w:rsidP="00913796">
      <w:pPr>
        <w:jc w:val="both"/>
      </w:pPr>
    </w:p>
    <w:p w:rsidR="00913796" w:rsidRDefault="00AD49E1" w:rsidP="00913796">
      <w:pPr>
        <w:jc w:val="both"/>
      </w:pPr>
      <w:r>
        <w:rPr>
          <w:u w:val="single"/>
        </w:rPr>
        <w:t>13. Four-Year Rate Reduction</w:t>
      </w:r>
      <w:r>
        <w:tab/>
      </w:r>
    </w:p>
    <w:p w:rsidR="005E64C4" w:rsidRPr="001B669F" w:rsidRDefault="005E64C4" w:rsidP="00913796">
      <w:pPr>
        <w:jc w:val="both"/>
      </w:pPr>
    </w:p>
    <w:p w:rsidR="00913796" w:rsidRPr="001B669F" w:rsidRDefault="00AD49E1" w:rsidP="00913796">
      <w:pPr>
        <w:spacing w:after="240"/>
        <w:jc w:val="both"/>
      </w:pPr>
      <w:r>
        <w:rPr>
          <w:b/>
          <w:bCs/>
          <w:i/>
          <w:kern w:val="32"/>
          <w:szCs w:val="32"/>
        </w:rPr>
        <w:tab/>
      </w:r>
      <w:r w:rsidR="00913796" w:rsidRPr="001B669F">
        <w:t>S</w:t>
      </w:r>
      <w:r>
        <w:t>ubs</w:t>
      </w:r>
      <w:r w:rsidR="00913796" w:rsidRPr="001B669F">
        <w:t xml:space="preserve">ection 367.081(8), F.S., requires that the rates be reduced immediately following the expiration of the recovery period by the amount of the rate case expense previously included in rates. </w:t>
      </w:r>
      <w:r w:rsidR="00EA4207">
        <w:t xml:space="preserve"> </w:t>
      </w:r>
      <w:r w:rsidR="00913796" w:rsidRPr="001B669F">
        <w:t xml:space="preserve">The reduction will reflect the removal of revenue associated with the amortization of rate case expense and the gross-up for RAFs. </w:t>
      </w:r>
      <w:r w:rsidR="00EA4207">
        <w:t xml:space="preserve"> </w:t>
      </w:r>
      <w:r w:rsidR="00913796" w:rsidRPr="001B669F">
        <w:t>The total reduction is $331.</w:t>
      </w:r>
    </w:p>
    <w:p w:rsidR="00913796" w:rsidRDefault="00AD49E1" w:rsidP="00913796">
      <w:pPr>
        <w:jc w:val="both"/>
        <w:rPr>
          <w:bCs/>
        </w:rPr>
      </w:pPr>
      <w:r>
        <w:tab/>
        <w:t>We</w:t>
      </w:r>
      <w:r w:rsidR="00913796" w:rsidRPr="001B669F">
        <w:t xml:space="preserve"> </w:t>
      </w:r>
      <w:r>
        <w:t>approve</w:t>
      </w:r>
      <w:r w:rsidR="00D967A0">
        <w:t xml:space="preserve"> that the rates shall</w:t>
      </w:r>
      <w:r w:rsidR="00913796" w:rsidRPr="001B669F">
        <w:t xml:space="preserve"> be reduced as shown on Schedule No. 4, to remove rate case expense grossed-up for RAFs and amortized over a four-year period. </w:t>
      </w:r>
      <w:r w:rsidR="00EA4207">
        <w:t xml:space="preserve"> </w:t>
      </w:r>
      <w:r w:rsidR="00913796" w:rsidRPr="001B669F">
        <w:t xml:space="preserve">The decrease in rates </w:t>
      </w:r>
      <w:r>
        <w:t>shall</w:t>
      </w:r>
      <w:r w:rsidR="00913796" w:rsidRPr="001B669F">
        <w:t xml:space="preserve"> become effective immediately following the expiration of the rate case expense recovery period, pursuant to S</w:t>
      </w:r>
      <w:r>
        <w:t>ubs</w:t>
      </w:r>
      <w:r w:rsidR="00913796" w:rsidRPr="001B669F">
        <w:t xml:space="preserve">ection 367.081(8), F.S. Leighton </w:t>
      </w:r>
      <w:r>
        <w:t>shall</w:t>
      </w:r>
      <w:r w:rsidR="00913796" w:rsidRPr="001B669F">
        <w:t xml:space="preserve"> be required to file revised tariffs and a proposed customer notice setting forth the lower rates and the reason for the reduction no</w:t>
      </w:r>
      <w:r>
        <w:t xml:space="preserve"> </w:t>
      </w:r>
      <w:r w:rsidR="00913796" w:rsidRPr="001B669F">
        <w:t xml:space="preserve">later than one month prior to the actual date of the required rate reduction. </w:t>
      </w:r>
      <w:r w:rsidR="00EA4207">
        <w:t xml:space="preserve"> </w:t>
      </w:r>
      <w:r>
        <w:rPr>
          <w:bCs/>
        </w:rPr>
        <w:t>If the U</w:t>
      </w:r>
      <w:r w:rsidR="00913796" w:rsidRPr="001B669F">
        <w:rPr>
          <w:bCs/>
        </w:rPr>
        <w:t>tility files this reduction in conjunction with a price index or pas</w:t>
      </w:r>
      <w:r>
        <w:rPr>
          <w:bCs/>
        </w:rPr>
        <w:t>s-through rate adjustment, the U</w:t>
      </w:r>
      <w:r w:rsidR="00913796" w:rsidRPr="001B669F">
        <w:rPr>
          <w:bCs/>
        </w:rPr>
        <w:t>tility shall file separate data for the price index and/or pass-through increase or decrease and the reduction in the rates due to the amortized rate case expense.</w:t>
      </w:r>
    </w:p>
    <w:p w:rsidR="00AD49E1" w:rsidRDefault="00AD49E1" w:rsidP="00913796">
      <w:pPr>
        <w:jc w:val="both"/>
        <w:rPr>
          <w:bCs/>
        </w:rPr>
      </w:pPr>
    </w:p>
    <w:p w:rsidR="00AD49E1" w:rsidRPr="00AD49E1" w:rsidRDefault="00AD49E1" w:rsidP="00913796">
      <w:pPr>
        <w:jc w:val="both"/>
        <w:rPr>
          <w:bCs/>
        </w:rPr>
      </w:pPr>
      <w:r>
        <w:rPr>
          <w:bCs/>
          <w:u w:val="single"/>
        </w:rPr>
        <w:t>14. Temporary Rates</w:t>
      </w:r>
      <w:r>
        <w:rPr>
          <w:bCs/>
        </w:rPr>
        <w:tab/>
      </w:r>
      <w:r>
        <w:rPr>
          <w:bCs/>
        </w:rPr>
        <w:tab/>
      </w:r>
      <w:r>
        <w:rPr>
          <w:bCs/>
        </w:rPr>
        <w:tab/>
      </w:r>
    </w:p>
    <w:p w:rsidR="00913796" w:rsidRPr="001B669F" w:rsidRDefault="00913796" w:rsidP="00913796">
      <w:pPr>
        <w:jc w:val="both"/>
        <w:rPr>
          <w:bCs/>
        </w:rPr>
      </w:pPr>
    </w:p>
    <w:p w:rsidR="00913796" w:rsidRPr="001B669F" w:rsidRDefault="00AD49E1" w:rsidP="00913796">
      <w:pPr>
        <w:spacing w:after="240"/>
        <w:jc w:val="both"/>
      </w:pPr>
      <w:r>
        <w:rPr>
          <w:b/>
          <w:bCs/>
          <w:i/>
          <w:kern w:val="32"/>
          <w:szCs w:val="32"/>
        </w:rPr>
        <w:tab/>
      </w:r>
      <w:r w:rsidR="00913796" w:rsidRPr="001B669F">
        <w:t xml:space="preserve">This </w:t>
      </w:r>
      <w:r>
        <w:t>Order</w:t>
      </w:r>
      <w:r w:rsidR="00913796" w:rsidRPr="001B669F">
        <w:t xml:space="preserve"> proposes an increase in rates. A timely protest might delay what may be a justified rate increase resulting in an unreco</w:t>
      </w:r>
      <w:r>
        <w:t>verable loss of revenue to the U</w:t>
      </w:r>
      <w:r w:rsidR="00913796" w:rsidRPr="001B669F">
        <w:t xml:space="preserve">tility. </w:t>
      </w:r>
      <w:r w:rsidR="00EA4207">
        <w:t xml:space="preserve"> </w:t>
      </w:r>
      <w:r w:rsidR="00913796" w:rsidRPr="001B669F">
        <w:t>Therefore, pursuant to S</w:t>
      </w:r>
      <w:r>
        <w:t>ubs</w:t>
      </w:r>
      <w:r w:rsidR="00913796" w:rsidRPr="001B669F">
        <w:t>ection 367.0814(7), F.S., in the event of a protest f</w:t>
      </w:r>
      <w:r>
        <w:t>iled by a party other than the U</w:t>
      </w:r>
      <w:r w:rsidR="00913796" w:rsidRPr="001B669F">
        <w:t xml:space="preserve">tility, </w:t>
      </w:r>
      <w:r>
        <w:t>we</w:t>
      </w:r>
      <w:r w:rsidR="00913796" w:rsidRPr="001B669F">
        <w:t xml:space="preserve"> </w:t>
      </w:r>
      <w:r>
        <w:t>find</w:t>
      </w:r>
      <w:r w:rsidR="00913796" w:rsidRPr="001B669F">
        <w:t xml:space="preserve"> that the </w:t>
      </w:r>
      <w:r>
        <w:t>approved</w:t>
      </w:r>
      <w:r w:rsidR="00913796" w:rsidRPr="001B669F">
        <w:t xml:space="preserve"> rates be approved as temporary rates. </w:t>
      </w:r>
      <w:r w:rsidR="00EA4207">
        <w:t xml:space="preserve"> </w:t>
      </w:r>
      <w:r w:rsidR="00913796" w:rsidRPr="001B669F">
        <w:t xml:space="preserve">Leighton </w:t>
      </w:r>
      <w:r>
        <w:t>shall</w:t>
      </w:r>
      <w:r w:rsidR="00913796" w:rsidRPr="001B669F">
        <w:t xml:space="preserve"> file revised tariff sheets and a propo</w:t>
      </w:r>
      <w:r>
        <w:t xml:space="preserve">sed customer notice to reflect our </w:t>
      </w:r>
      <w:r w:rsidR="00913796" w:rsidRPr="001B669F">
        <w:t xml:space="preserve">approved </w:t>
      </w:r>
      <w:r w:rsidR="00D967A0">
        <w:t xml:space="preserve">rates. </w:t>
      </w:r>
      <w:r w:rsidR="00EA4207">
        <w:t xml:space="preserve"> </w:t>
      </w:r>
      <w:r w:rsidR="00D967A0">
        <w:t>The approved rates shall</w:t>
      </w:r>
      <w:r w:rsidR="00913796" w:rsidRPr="001B669F">
        <w:t xml:space="preserve"> be effective for service rendered on or after the stamped approval date on the tariff sheet, pursuant to Rule 25-30.475(1), F.A.C. </w:t>
      </w:r>
      <w:r w:rsidR="00EA4207">
        <w:t xml:space="preserve"> </w:t>
      </w:r>
      <w:r w:rsidR="00913796" w:rsidRPr="001B669F">
        <w:t xml:space="preserve">In addition, the temporary rates </w:t>
      </w:r>
      <w:r>
        <w:t>shall</w:t>
      </w:r>
      <w:r w:rsidR="00913796" w:rsidRPr="001B669F">
        <w:t xml:space="preserve"> not be implemented until </w:t>
      </w:r>
      <w:r>
        <w:t xml:space="preserve">our </w:t>
      </w:r>
      <w:r w:rsidR="00913796" w:rsidRPr="001B669F">
        <w:t xml:space="preserve">staff has approved the proposed notice, and the notice has been received by the customers. </w:t>
      </w:r>
      <w:r w:rsidR="00EA4207">
        <w:t xml:space="preserve"> </w:t>
      </w:r>
      <w:r w:rsidR="00913796" w:rsidRPr="001B669F">
        <w:t xml:space="preserve">The </w:t>
      </w:r>
      <w:r w:rsidR="002B214A">
        <w:t>approv</w:t>
      </w:r>
      <w:r w:rsidR="00E25030">
        <w:t>ed rates collected by the U</w:t>
      </w:r>
      <w:r w:rsidR="00913796" w:rsidRPr="001B669F">
        <w:t xml:space="preserve">tility </w:t>
      </w:r>
      <w:r w:rsidR="00E25030">
        <w:t>shall</w:t>
      </w:r>
      <w:r w:rsidR="00913796" w:rsidRPr="001B669F">
        <w:t xml:space="preserve"> be subject to the refund provisions discussed below.</w:t>
      </w:r>
    </w:p>
    <w:p w:rsidR="00913796" w:rsidRPr="001B669F" w:rsidRDefault="00E25030" w:rsidP="00913796">
      <w:pPr>
        <w:spacing w:after="240"/>
        <w:jc w:val="both"/>
      </w:pPr>
      <w:r>
        <w:tab/>
      </w:r>
      <w:r w:rsidR="00913796" w:rsidRPr="001B669F">
        <w:t xml:space="preserve">Leighton </w:t>
      </w:r>
      <w:r>
        <w:t>shall</w:t>
      </w:r>
      <w:r w:rsidR="00913796" w:rsidRPr="001B669F">
        <w:t xml:space="preserve"> be authorized to collect the temporary rates upon </w:t>
      </w:r>
      <w:r>
        <w:t xml:space="preserve">our </w:t>
      </w:r>
      <w:r w:rsidR="00913796" w:rsidRPr="001B669F">
        <w:t xml:space="preserve">staff’s approval of an appropriate security for the potential refund and the proposed customer notice. </w:t>
      </w:r>
      <w:r w:rsidR="00EA4207">
        <w:t xml:space="preserve"> </w:t>
      </w:r>
      <w:r w:rsidR="00913796" w:rsidRPr="001B669F">
        <w:t xml:space="preserve">Security </w:t>
      </w:r>
      <w:r>
        <w:t>shall</w:t>
      </w:r>
      <w:r w:rsidR="00913796" w:rsidRPr="001B669F">
        <w:t xml:space="preserve"> be in the form of a bond or letter of credit in the amount </w:t>
      </w:r>
      <w:r>
        <w:t>of $20,295.</w:t>
      </w:r>
      <w:r w:rsidR="00EA4207">
        <w:t xml:space="preserve"> </w:t>
      </w:r>
      <w:r>
        <w:t xml:space="preserve"> Alternatively, the U</w:t>
      </w:r>
      <w:r w:rsidR="00913796" w:rsidRPr="001B669F">
        <w:t>tility could establish an escrow agreement with an independent financial institution.</w:t>
      </w:r>
    </w:p>
    <w:p w:rsidR="00E25030" w:rsidRPr="00000FA4" w:rsidRDefault="00E25030" w:rsidP="00E25030">
      <w:pPr>
        <w:spacing w:after="240"/>
        <w:jc w:val="both"/>
      </w:pPr>
      <w:r w:rsidRPr="00000FA4">
        <w:t xml:space="preserve">If the utility chooses a bond for securing the potential refund, the bond </w:t>
      </w:r>
      <w:r>
        <w:t>shall</w:t>
      </w:r>
      <w:r w:rsidRPr="00000FA4">
        <w:t xml:space="preserve"> contain wording to the effect that it will be terminated only under the following conditions:</w:t>
      </w:r>
    </w:p>
    <w:p w:rsidR="00E25030" w:rsidRDefault="00E25030" w:rsidP="00E25030">
      <w:pPr>
        <w:pStyle w:val="ListParagraph"/>
        <w:numPr>
          <w:ilvl w:val="0"/>
          <w:numId w:val="20"/>
        </w:numPr>
        <w:jc w:val="both"/>
      </w:pPr>
      <w:r>
        <w:t>We approve</w:t>
      </w:r>
      <w:r w:rsidRPr="00000FA4">
        <w:t xml:space="preserve"> the rate increase; or,</w:t>
      </w:r>
    </w:p>
    <w:p w:rsidR="00E25030" w:rsidRDefault="00E25030" w:rsidP="00E25030">
      <w:pPr>
        <w:pStyle w:val="ListParagraph"/>
        <w:numPr>
          <w:ilvl w:val="0"/>
          <w:numId w:val="20"/>
        </w:numPr>
        <w:jc w:val="both"/>
      </w:pPr>
      <w:r>
        <w:t>If we deny the increase, the Utility shall refund the amount collected that is attributable to the increase.</w:t>
      </w:r>
    </w:p>
    <w:p w:rsidR="00E25030" w:rsidRPr="00000FA4" w:rsidRDefault="00E25030" w:rsidP="00E25030">
      <w:pPr>
        <w:pStyle w:val="ListParagraph"/>
        <w:ind w:left="1440"/>
        <w:jc w:val="both"/>
      </w:pPr>
      <w:r w:rsidRPr="00000FA4">
        <w:t xml:space="preserve"> </w:t>
      </w:r>
    </w:p>
    <w:p w:rsidR="00E25030" w:rsidRPr="00000FA4" w:rsidRDefault="00E25030" w:rsidP="00E25030">
      <w:pPr>
        <w:spacing w:after="240"/>
        <w:jc w:val="both"/>
      </w:pPr>
      <w:r>
        <w:tab/>
      </w:r>
      <w:r w:rsidRPr="00000FA4">
        <w:t xml:space="preserve">If the Utility chooses a letter of credit for securing the potential refund, the letter of credit </w:t>
      </w:r>
      <w:r>
        <w:t>shall</w:t>
      </w:r>
      <w:r w:rsidRPr="00000FA4">
        <w:t xml:space="preserve"> contain the following conditions:</w:t>
      </w:r>
    </w:p>
    <w:p w:rsidR="00E25030" w:rsidRPr="00000FA4" w:rsidRDefault="00E25030" w:rsidP="00E25030">
      <w:pPr>
        <w:ind w:left="720"/>
        <w:jc w:val="both"/>
      </w:pPr>
      <w:r w:rsidRPr="00000FA4">
        <w:t>1.</w:t>
      </w:r>
      <w:r w:rsidRPr="00000FA4">
        <w:tab/>
        <w:t>The letter of credit is irrevocable for the period it is in effect.</w:t>
      </w:r>
    </w:p>
    <w:p w:rsidR="00E25030" w:rsidRDefault="00E25030" w:rsidP="00E25030">
      <w:pPr>
        <w:ind w:left="720"/>
        <w:jc w:val="both"/>
      </w:pPr>
      <w:r w:rsidRPr="00000FA4">
        <w:t>2.</w:t>
      </w:r>
      <w:r w:rsidRPr="00000FA4">
        <w:tab/>
        <w:t xml:space="preserve">The letter of credit will be in effect until </w:t>
      </w:r>
      <w:r>
        <w:t>our final</w:t>
      </w:r>
      <w:r w:rsidRPr="00000FA4">
        <w:t xml:space="preserve"> order is rendered, either </w:t>
      </w:r>
      <w:r>
        <w:tab/>
      </w:r>
      <w:r w:rsidRPr="00000FA4">
        <w:t>approving or denying the rate increase.</w:t>
      </w:r>
    </w:p>
    <w:p w:rsidR="00E25030" w:rsidRPr="00000FA4" w:rsidRDefault="00E25030" w:rsidP="00E25030">
      <w:pPr>
        <w:ind w:left="720"/>
        <w:jc w:val="both"/>
      </w:pPr>
    </w:p>
    <w:p w:rsidR="00E25030" w:rsidRPr="00000FA4" w:rsidRDefault="00E25030" w:rsidP="00E25030">
      <w:pPr>
        <w:spacing w:after="240"/>
        <w:jc w:val="both"/>
      </w:pPr>
      <w:r>
        <w:tab/>
      </w:r>
      <w:r w:rsidRPr="00000FA4">
        <w:t xml:space="preserve">If security is provided through an escrow agreement, the following conditions </w:t>
      </w:r>
      <w:r>
        <w:t>shall</w:t>
      </w:r>
      <w:r w:rsidRPr="00000FA4">
        <w:t xml:space="preserve"> be part of the agreement:</w:t>
      </w:r>
    </w:p>
    <w:p w:rsidR="00E25030" w:rsidRPr="00000FA4" w:rsidRDefault="00E25030" w:rsidP="00E25030">
      <w:pPr>
        <w:ind w:left="720"/>
        <w:jc w:val="both"/>
      </w:pPr>
      <w:r w:rsidRPr="00000FA4">
        <w:t>1.</w:t>
      </w:r>
      <w:r w:rsidRPr="00000FA4">
        <w:tab/>
        <w:t xml:space="preserve">The Commission Clerk, or his or her designee, must be a signatory to the escrow </w:t>
      </w:r>
      <w:r>
        <w:tab/>
      </w:r>
      <w:r w:rsidRPr="00000FA4">
        <w:t>agreement.</w:t>
      </w:r>
    </w:p>
    <w:p w:rsidR="00E25030" w:rsidRPr="00000FA4" w:rsidRDefault="00E25030" w:rsidP="00E25030">
      <w:pPr>
        <w:ind w:left="720"/>
        <w:jc w:val="both"/>
      </w:pPr>
      <w:r w:rsidRPr="00000FA4">
        <w:t>2.</w:t>
      </w:r>
      <w:r w:rsidRPr="00000FA4">
        <w:tab/>
        <w:t xml:space="preserve">No monies in the escrow account may be withdrawn by the Utility without the </w:t>
      </w:r>
      <w:r>
        <w:tab/>
      </w:r>
      <w:r w:rsidRPr="00000FA4">
        <w:t xml:space="preserve">prior written authorization of the Commission Clerk, or his or her designee. </w:t>
      </w:r>
    </w:p>
    <w:p w:rsidR="00E25030" w:rsidRPr="00000FA4" w:rsidRDefault="00E25030" w:rsidP="00E25030">
      <w:pPr>
        <w:ind w:left="720"/>
        <w:jc w:val="both"/>
      </w:pPr>
      <w:r w:rsidRPr="00000FA4">
        <w:t>3.</w:t>
      </w:r>
      <w:r w:rsidRPr="00000FA4">
        <w:tab/>
        <w:t>The escrow account shall be an interest bearing account.</w:t>
      </w:r>
    </w:p>
    <w:p w:rsidR="00E25030" w:rsidRPr="00000FA4" w:rsidRDefault="00E25030" w:rsidP="00E25030">
      <w:pPr>
        <w:ind w:left="720"/>
        <w:jc w:val="both"/>
      </w:pPr>
      <w:r w:rsidRPr="00000FA4">
        <w:t>4.</w:t>
      </w:r>
      <w:r w:rsidRPr="00000FA4">
        <w:tab/>
        <w:t xml:space="preserve">If a refund to the customers is required, all interest earned by the escrow account </w:t>
      </w:r>
      <w:r>
        <w:tab/>
      </w:r>
      <w:r w:rsidRPr="00000FA4">
        <w:t>shall be distributed to the customers.</w:t>
      </w:r>
    </w:p>
    <w:p w:rsidR="00E25030" w:rsidRPr="00000FA4" w:rsidRDefault="00E25030" w:rsidP="00E25030">
      <w:pPr>
        <w:ind w:left="720"/>
        <w:jc w:val="both"/>
      </w:pPr>
      <w:r w:rsidRPr="00000FA4">
        <w:t>5.</w:t>
      </w:r>
      <w:r w:rsidRPr="00000FA4">
        <w:tab/>
        <w:t xml:space="preserve">If a refund to the customers is not required, the interest earned by the escrow </w:t>
      </w:r>
      <w:r>
        <w:tab/>
      </w:r>
      <w:r w:rsidRPr="00000FA4">
        <w:t>account shall revert to the Utility.</w:t>
      </w:r>
    </w:p>
    <w:p w:rsidR="00E25030" w:rsidRPr="00000FA4" w:rsidRDefault="00E25030" w:rsidP="00E25030">
      <w:pPr>
        <w:ind w:left="720"/>
        <w:jc w:val="both"/>
      </w:pPr>
      <w:r w:rsidRPr="00000FA4">
        <w:t>6.</w:t>
      </w:r>
      <w:r w:rsidRPr="00000FA4">
        <w:tab/>
        <w:t xml:space="preserve">All information on the escrow account shall be available from the holder of the </w:t>
      </w:r>
      <w:r>
        <w:tab/>
      </w:r>
      <w:r w:rsidRPr="00000FA4">
        <w:t>escrow account to a Commission representative at all times.</w:t>
      </w:r>
    </w:p>
    <w:p w:rsidR="00E25030" w:rsidRPr="00000FA4" w:rsidRDefault="00E25030" w:rsidP="00E25030">
      <w:pPr>
        <w:ind w:left="720"/>
        <w:jc w:val="both"/>
      </w:pPr>
      <w:r w:rsidRPr="00000FA4">
        <w:t>7.</w:t>
      </w:r>
      <w:r w:rsidRPr="00000FA4">
        <w:tab/>
        <w:t xml:space="preserve">The amount of revenue subject to refund shall be deposited in the escrow account </w:t>
      </w:r>
      <w:r>
        <w:tab/>
      </w:r>
      <w:r w:rsidRPr="00000FA4">
        <w:t>within seven days of receipt.</w:t>
      </w:r>
    </w:p>
    <w:p w:rsidR="00E25030" w:rsidRPr="00000FA4" w:rsidRDefault="00E25030" w:rsidP="00E25030">
      <w:pPr>
        <w:ind w:left="720"/>
        <w:jc w:val="both"/>
      </w:pPr>
      <w:r w:rsidRPr="00000FA4">
        <w:t>8.</w:t>
      </w:r>
      <w:r w:rsidRPr="00000FA4">
        <w:tab/>
        <w:t xml:space="preserve">This escrow account is established by the direction of the Florida Public Service </w:t>
      </w:r>
      <w:r>
        <w:tab/>
      </w:r>
      <w:r w:rsidRPr="00000FA4">
        <w:t xml:space="preserve">Commission for the purpose(s) set forth in its order requiring such account. </w:t>
      </w:r>
      <w:r>
        <w:tab/>
      </w:r>
      <w:r w:rsidRPr="00000FA4">
        <w:t xml:space="preserve">Pursuant to </w:t>
      </w:r>
      <w:r w:rsidRPr="00BB047F">
        <w:rPr>
          <w:i/>
        </w:rPr>
        <w:t>Cosentino v. Elson</w:t>
      </w:r>
      <w:r w:rsidRPr="00000FA4">
        <w:t xml:space="preserve">, 263 So. 2d 253 (Fla. 3d DCA 1972), escrow </w:t>
      </w:r>
      <w:r>
        <w:tab/>
      </w:r>
      <w:r w:rsidRPr="00000FA4">
        <w:t>accounts are not subject to garnishments.</w:t>
      </w:r>
    </w:p>
    <w:p w:rsidR="00E25030" w:rsidRDefault="00E25030" w:rsidP="00E25030">
      <w:pPr>
        <w:ind w:left="720"/>
        <w:jc w:val="both"/>
      </w:pPr>
      <w:r w:rsidRPr="00000FA4">
        <w:t>9.</w:t>
      </w:r>
      <w:r w:rsidRPr="00000FA4">
        <w:tab/>
        <w:t>The account must specify by whom and on whose behalf such monies were paid.</w:t>
      </w:r>
    </w:p>
    <w:p w:rsidR="00E25030" w:rsidRPr="00000FA4" w:rsidRDefault="00E25030" w:rsidP="00E25030">
      <w:pPr>
        <w:ind w:left="720"/>
        <w:jc w:val="both"/>
      </w:pPr>
    </w:p>
    <w:p w:rsidR="00E25030" w:rsidRPr="00000FA4" w:rsidRDefault="00E25030" w:rsidP="00E25030">
      <w:pPr>
        <w:spacing w:after="240"/>
        <w:jc w:val="both"/>
      </w:pPr>
      <w:r>
        <w:tab/>
      </w:r>
      <w:r w:rsidRPr="00000FA4">
        <w:t xml:space="preserve">In no instance </w:t>
      </w:r>
      <w:r>
        <w:t>shall</w:t>
      </w:r>
      <w:r w:rsidRPr="00000FA4">
        <w:t xml:space="preserve"> the maintenance and administrative costs associated with the refund be borne by the customers. </w:t>
      </w:r>
      <w:r w:rsidR="00EA4207">
        <w:t xml:space="preserve"> </w:t>
      </w:r>
      <w:r w:rsidRPr="00000FA4">
        <w:t xml:space="preserve">These costs are the responsibility of, and </w:t>
      </w:r>
      <w:r>
        <w:t>shall</w:t>
      </w:r>
      <w:r w:rsidRPr="00000FA4">
        <w:t xml:space="preserve"> be borne by, the Utility. </w:t>
      </w:r>
      <w:r w:rsidR="00EA4207">
        <w:t xml:space="preserve"> </w:t>
      </w:r>
      <w:r w:rsidRPr="00000FA4">
        <w:t xml:space="preserve">Irrespective of the form of security chosen by the Utility, an account of all monies received as a result of the rate increase </w:t>
      </w:r>
      <w:r>
        <w:t>shall</w:t>
      </w:r>
      <w:r w:rsidRPr="00000FA4">
        <w:t xml:space="preserve"> be maintained by the Utility. </w:t>
      </w:r>
      <w:r w:rsidR="00EA4207">
        <w:t xml:space="preserve"> </w:t>
      </w:r>
      <w:r w:rsidRPr="00000FA4">
        <w:t xml:space="preserve">If a refund is ultimately required, it </w:t>
      </w:r>
      <w:r>
        <w:t>shall</w:t>
      </w:r>
      <w:r w:rsidRPr="00000FA4">
        <w:t xml:space="preserve"> be paid with interest calculated pursuant to Rule 25-30.360(4), F.A.C.</w:t>
      </w:r>
    </w:p>
    <w:p w:rsidR="00E25030" w:rsidRDefault="00E25030" w:rsidP="00E25030">
      <w:pPr>
        <w:spacing w:after="240"/>
        <w:jc w:val="both"/>
      </w:pPr>
      <w:r>
        <w:tab/>
      </w:r>
      <w:r w:rsidRPr="00000FA4">
        <w:t xml:space="preserve">The Utility </w:t>
      </w:r>
      <w:r>
        <w:t>shall</w:t>
      </w:r>
      <w:r w:rsidRPr="00000FA4">
        <w:t xml:space="preserve"> maintain a record of the amount of the bond, and the amount of revenues that are subject to refund. </w:t>
      </w:r>
      <w:r w:rsidR="00EA4207">
        <w:t xml:space="preserve"> </w:t>
      </w:r>
      <w:r w:rsidRPr="00000FA4">
        <w:t xml:space="preserve">In addition, after the increased rates are in effect, pursuant to Rule 25-30.360(6), F.A.C., the Utility </w:t>
      </w:r>
      <w:r>
        <w:t>shall</w:t>
      </w:r>
      <w:r w:rsidRPr="00000FA4">
        <w:t xml:space="preserve"> file reports with the Commission Clerk’s office no later than the 20th of every month indicating the monthly and total amount of money subject to refund at the end of the preceding month. </w:t>
      </w:r>
      <w:r w:rsidR="00EA4207">
        <w:t xml:space="preserve"> </w:t>
      </w:r>
      <w:r w:rsidRPr="00000FA4">
        <w:t xml:space="preserve">The report filed </w:t>
      </w:r>
      <w:r>
        <w:t>shall</w:t>
      </w:r>
      <w:r w:rsidRPr="00000FA4">
        <w:t xml:space="preserve"> also indicate the status of the security being used to guarantee repayment of any potential refund.</w:t>
      </w:r>
    </w:p>
    <w:p w:rsidR="00E25030" w:rsidRPr="00E25030" w:rsidRDefault="00E25030" w:rsidP="00E25030">
      <w:pPr>
        <w:spacing w:after="240"/>
        <w:jc w:val="both"/>
      </w:pPr>
      <w:r>
        <w:rPr>
          <w:u w:val="single"/>
        </w:rPr>
        <w:t>15. Adjustment to Books</w:t>
      </w:r>
      <w:r>
        <w:tab/>
      </w:r>
    </w:p>
    <w:p w:rsidR="00913796" w:rsidRDefault="00E25030" w:rsidP="00913796">
      <w:pPr>
        <w:spacing w:after="240"/>
        <w:jc w:val="both"/>
      </w:pPr>
      <w:r>
        <w:tab/>
        <w:t>L</w:t>
      </w:r>
      <w:r w:rsidR="00913796" w:rsidRPr="001B669F">
        <w:t xml:space="preserve">eighton </w:t>
      </w:r>
      <w:r>
        <w:t>shall be required to notify us</w:t>
      </w:r>
      <w:r w:rsidR="00913796" w:rsidRPr="001B669F">
        <w:t>, in writing, that it has adjusted i</w:t>
      </w:r>
      <w:r>
        <w:t>ts books in accordance with our</w:t>
      </w:r>
      <w:r w:rsidR="00913796" w:rsidRPr="001B669F">
        <w:t xml:space="preserve"> decision. </w:t>
      </w:r>
      <w:r w:rsidR="00EA4207">
        <w:t xml:space="preserve"> </w:t>
      </w:r>
      <w:r w:rsidR="00913796" w:rsidRPr="001B669F">
        <w:t xml:space="preserve">Leighton </w:t>
      </w:r>
      <w:r>
        <w:t>shall</w:t>
      </w:r>
      <w:r w:rsidR="00913796" w:rsidRPr="001B669F">
        <w:t xml:space="preserve"> submit a letter within 90 days of the final order in this docket, confirming that the adjustments to all the applicable NARUC USOA primary </w:t>
      </w:r>
      <w:r>
        <w:t>accounts have been made to the U</w:t>
      </w:r>
      <w:r w:rsidR="00913796" w:rsidRPr="001B669F">
        <w:t>tility’s books</w:t>
      </w:r>
      <w:r>
        <w:t xml:space="preserve"> and records. </w:t>
      </w:r>
      <w:r w:rsidR="00EA4207">
        <w:t xml:space="preserve"> </w:t>
      </w:r>
      <w:r>
        <w:t>In the event the U</w:t>
      </w:r>
      <w:r w:rsidR="00913796" w:rsidRPr="001B669F">
        <w:t xml:space="preserve">tility needs additional time to complete the adjustments, notice providing good cause </w:t>
      </w:r>
      <w:r>
        <w:t>shall</w:t>
      </w:r>
      <w:r w:rsidR="00913796" w:rsidRPr="001B669F">
        <w:t xml:space="preserve"> be filed not less than seven days prior to the deadline. </w:t>
      </w:r>
      <w:r w:rsidR="00EA4207">
        <w:t xml:space="preserve"> </w:t>
      </w:r>
      <w:r w:rsidR="00913796" w:rsidRPr="001B669F">
        <w:t xml:space="preserve">Upon providing good cause, </w:t>
      </w:r>
      <w:r>
        <w:t>our staff</w:t>
      </w:r>
      <w:r w:rsidR="00D967A0">
        <w:t xml:space="preserve"> shall</w:t>
      </w:r>
      <w:r w:rsidR="00913796" w:rsidRPr="001B669F">
        <w:t xml:space="preserve"> be given administrative authority to grant an extension of up to 60 days.</w:t>
      </w:r>
    </w:p>
    <w:p w:rsidR="00EF015A" w:rsidRDefault="00EF015A" w:rsidP="00EF015A">
      <w:pPr>
        <w:pStyle w:val="OrderBody"/>
      </w:pPr>
      <w:r>
        <w:tab/>
      </w:r>
    </w:p>
    <w:p w:rsidR="00EF015A" w:rsidRDefault="00EF015A" w:rsidP="00EF015A">
      <w:pPr>
        <w:pStyle w:val="OrderBody"/>
      </w:pPr>
      <w:r>
        <w:tab/>
        <w:t>Based on the foregoing, it is</w:t>
      </w:r>
    </w:p>
    <w:p w:rsidR="00EF015A" w:rsidRDefault="00EF015A" w:rsidP="00EF015A">
      <w:pPr>
        <w:pStyle w:val="OrderBody"/>
      </w:pPr>
    </w:p>
    <w:p w:rsidR="00EF015A" w:rsidRDefault="00EF015A"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rPr>
          <w:bCs/>
          <w:iCs/>
        </w:rPr>
      </w:pPr>
      <w:r>
        <w:tab/>
        <w:t>ORDERED by the Florida Public Service Commission that</w:t>
      </w:r>
      <w:r w:rsidR="001C64FD">
        <w:t xml:space="preserve"> </w:t>
      </w:r>
      <w:r w:rsidR="001C64FD">
        <w:rPr>
          <w:bCs/>
          <w:iCs/>
        </w:rPr>
        <w:t>t</w:t>
      </w:r>
      <w:r w:rsidR="001C64FD" w:rsidRPr="00F00230">
        <w:rPr>
          <w:bCs/>
          <w:iCs/>
        </w:rPr>
        <w:t xml:space="preserve">he </w:t>
      </w:r>
      <w:r w:rsidR="001C64FD">
        <w:rPr>
          <w:bCs/>
          <w:iCs/>
        </w:rPr>
        <w:t>u</w:t>
      </w:r>
      <w:r w:rsidR="001C64FD" w:rsidRPr="00F00230">
        <w:rPr>
          <w:bCs/>
          <w:iCs/>
        </w:rPr>
        <w:t>tility is passing all Department of Environmental Protection (DEP) primary and secondary standards and no customer complaints or comments have been received.</w:t>
      </w:r>
      <w:r w:rsidR="00EA4207">
        <w:rPr>
          <w:bCs/>
          <w:iCs/>
        </w:rPr>
        <w:t xml:space="preserve"> </w:t>
      </w:r>
      <w:r w:rsidR="001C64FD" w:rsidRPr="00F00230">
        <w:rPr>
          <w:bCs/>
          <w:iCs/>
        </w:rPr>
        <w:t xml:space="preserve"> Therefore, the quality of service provided by Leighton </w:t>
      </w:r>
      <w:r w:rsidR="002F7E00">
        <w:rPr>
          <w:bCs/>
          <w:iCs/>
        </w:rPr>
        <w:t>is</w:t>
      </w:r>
      <w:r w:rsidR="001C64FD" w:rsidRPr="00F00230">
        <w:rPr>
          <w:bCs/>
          <w:iCs/>
        </w:rPr>
        <w:t xml:space="preserve"> satisfactory.</w:t>
      </w:r>
      <w:r w:rsidR="001C64FD">
        <w:rPr>
          <w:bCs/>
          <w:iCs/>
        </w:rPr>
        <w:t xml:space="preserve">  It is further</w:t>
      </w: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rPr>
          <w:bCs/>
          <w:iCs/>
        </w:rPr>
      </w:pP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rPr>
          <w:bCs/>
          <w:iCs/>
        </w:rPr>
        <w:tab/>
        <w:t xml:space="preserve">ORDERED that </w:t>
      </w:r>
      <w:r w:rsidRPr="001F4C35">
        <w:t>Leighton</w:t>
      </w:r>
      <w:r>
        <w:t>’s</w:t>
      </w:r>
      <w:r w:rsidRPr="001F4C35">
        <w:t xml:space="preserve"> </w:t>
      </w:r>
      <w:r>
        <w:t>w</w:t>
      </w:r>
      <w:r w:rsidRPr="001F4C35">
        <w:t xml:space="preserve">ater system </w:t>
      </w:r>
      <w:r>
        <w:t xml:space="preserve">is currently </w:t>
      </w:r>
      <w:r w:rsidRPr="001F4C35">
        <w:t xml:space="preserve">in compliance with </w:t>
      </w:r>
      <w:r>
        <w:t>DEP</w:t>
      </w:r>
      <w:r w:rsidRPr="001F4C35">
        <w:t xml:space="preserve"> regulations</w:t>
      </w:r>
      <w:r>
        <w:t>.  It is further</w:t>
      </w: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 xml:space="preserve">ORDERED that </w:t>
      </w:r>
      <w:r w:rsidRPr="009F6AE1">
        <w:t xml:space="preserve">Leighton’s WTP and water distribution system </w:t>
      </w:r>
      <w:r w:rsidR="002F7E00">
        <w:t>is</w:t>
      </w:r>
      <w:r w:rsidRPr="009F6AE1">
        <w:t xml:space="preserve"> 100 percent used and useful (U&amp;U).</w:t>
      </w:r>
      <w:r w:rsidRPr="001F4C35">
        <w:t xml:space="preserve"> </w:t>
      </w:r>
      <w:r w:rsidR="00EA4207">
        <w:t xml:space="preserve"> </w:t>
      </w:r>
      <w:r w:rsidRPr="001F4C35">
        <w:t xml:space="preserve">Additionally, there appears to be no excessive unaccounted for water (EUW); </w:t>
      </w:r>
      <w:r>
        <w:t xml:space="preserve">therefore, </w:t>
      </w:r>
      <w:r w:rsidRPr="001F4C35">
        <w:t xml:space="preserve">no adjustment </w:t>
      </w:r>
      <w:r>
        <w:t xml:space="preserve">must </w:t>
      </w:r>
      <w:r w:rsidRPr="001F4C35">
        <w:t>be made to operating expenses for chemicals and purchased power.</w:t>
      </w:r>
      <w:r>
        <w:t xml:space="preserve">  It is further</w:t>
      </w: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ORDERED that t</w:t>
      </w:r>
      <w:r w:rsidRPr="00310A28">
        <w:t>he appropriate average test year rate base for Leighton is $</w:t>
      </w:r>
      <w:r>
        <w:t>236,146.  It is further</w:t>
      </w: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ORDERED that t</w:t>
      </w:r>
      <w:r w:rsidRPr="00373913">
        <w:t>he appropriate return on equity (ROE) is 10.</w:t>
      </w:r>
      <w:r>
        <w:t>4</w:t>
      </w:r>
      <w:r w:rsidRPr="00373913">
        <w:t>5 percent with a range of 9.</w:t>
      </w:r>
      <w:r>
        <w:t>4</w:t>
      </w:r>
      <w:r w:rsidRPr="00373913">
        <w:t>5 percent to 11.</w:t>
      </w:r>
      <w:r>
        <w:t>4</w:t>
      </w:r>
      <w:r w:rsidRPr="00373913">
        <w:t>5 percent</w:t>
      </w:r>
      <w:r>
        <w:t xml:space="preserve">. </w:t>
      </w:r>
      <w:r w:rsidR="00EA4207">
        <w:t xml:space="preserve"> </w:t>
      </w:r>
      <w:r w:rsidRPr="00373913">
        <w:t>The appropriate rate of return is 6.8</w:t>
      </w:r>
      <w:r>
        <w:t>3</w:t>
      </w:r>
      <w:r w:rsidRPr="00373913">
        <w:t xml:space="preserve"> percent.</w:t>
      </w:r>
      <w:r>
        <w:t xml:space="preserve">  It is further</w:t>
      </w: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ORDERED that t</w:t>
      </w:r>
      <w:r w:rsidRPr="00680B21">
        <w:t>he appropriate test year revenues for Leighton’s water system are $28,269.</w:t>
      </w:r>
      <w:r>
        <w:t xml:space="preserve">  It is further</w:t>
      </w: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ORDERED that t</w:t>
      </w:r>
      <w:r w:rsidRPr="00A769F9">
        <w:t>he appropriate amount of operating expense for Leighton is</w:t>
      </w:r>
      <w:r>
        <w:t xml:space="preserve"> $41,981</w:t>
      </w:r>
      <w:r w:rsidRPr="00A769F9">
        <w:t>.</w:t>
      </w:r>
      <w:r>
        <w:t xml:space="preserve">  It is further</w:t>
      </w: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ORDERED that Leighton does not meet the requirement for application of the operating ratio methodology for calculating the revenue requirement.  It is further</w:t>
      </w: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ORDERED that t</w:t>
      </w:r>
      <w:r w:rsidRPr="00C74B40">
        <w:t>he appropriate revenue requirement is $</w:t>
      </w:r>
      <w:r>
        <w:t>58,098</w:t>
      </w:r>
      <w:r w:rsidRPr="00C74B40">
        <w:t xml:space="preserve"> resulting in an annual increase of $</w:t>
      </w:r>
      <w:r>
        <w:t>29,829</w:t>
      </w:r>
      <w:r w:rsidRPr="00C74B40">
        <w:t xml:space="preserve"> (</w:t>
      </w:r>
      <w:r>
        <w:t>105.52</w:t>
      </w:r>
      <w:r w:rsidRPr="00C74B40">
        <w:t xml:space="preserve"> percent).</w:t>
      </w:r>
      <w:r>
        <w:t xml:space="preserve">  It is further</w:t>
      </w: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1C64FD" w:rsidRDefault="001C64FD"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 xml:space="preserve">ORDERED that </w:t>
      </w:r>
      <w:r w:rsidR="00C82134">
        <w:t>the utility shall</w:t>
      </w:r>
      <w:r w:rsidR="00C82134" w:rsidRPr="00680B21">
        <w:t xml:space="preserve"> file revised tariff sheets and a proposed customer notice to reflect the Commission-approve</w:t>
      </w:r>
      <w:r w:rsidR="00C82134">
        <w:t>d rates.  The approved rates shal</w:t>
      </w:r>
      <w:r w:rsidR="00C82134" w:rsidRPr="00680B21">
        <w:t xml:space="preserve">l be effective for service rendered on or after the stamped approval date on the tariff sheets pursuant to Rule 25-30.475(1), F.A.C. </w:t>
      </w:r>
      <w:r w:rsidR="00C82134">
        <w:t xml:space="preserve"> </w:t>
      </w:r>
      <w:r w:rsidR="00C82134" w:rsidRPr="00680B21">
        <w:t>In add</w:t>
      </w:r>
      <w:r w:rsidR="00C82134">
        <w:t>ition, the approved rates shall</w:t>
      </w:r>
      <w:r w:rsidR="00C82134" w:rsidRPr="00680B21">
        <w:t xml:space="preserve"> not be implemented until </w:t>
      </w:r>
      <w:r w:rsidR="00C82134">
        <w:t xml:space="preserve">our </w:t>
      </w:r>
      <w:r w:rsidR="00C82134" w:rsidRPr="00680B21">
        <w:t>staff has approved the proposed customer notice and the notice has been received by</w:t>
      </w:r>
      <w:r w:rsidR="00C82134">
        <w:t xml:space="preserve"> the customers.  The utility shall</w:t>
      </w:r>
      <w:r w:rsidR="00C82134" w:rsidRPr="00680B21">
        <w:t xml:space="preserve"> provide proof of the date notice was given within 10 days of the date of the notice.</w:t>
      </w:r>
      <w:r w:rsidR="00C82134">
        <w:t xml:space="preserve">  It is further</w:t>
      </w:r>
    </w:p>
    <w:p w:rsidR="00C82134" w:rsidRDefault="00C82134"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C82134" w:rsidRDefault="00C82134"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 xml:space="preserve">ORDERED that Leighton’s </w:t>
      </w:r>
      <w:r w:rsidRPr="00680B21">
        <w:t xml:space="preserve">miscellaneous service charges </w:t>
      </w:r>
      <w:r>
        <w:t xml:space="preserve">shall </w:t>
      </w:r>
      <w:r w:rsidRPr="00680B21">
        <w:t xml:space="preserve">be revised to conform to the recent amendment to Rule 25-30.460, F.A.C. The tariff </w:t>
      </w:r>
      <w:r>
        <w:t>shall</w:t>
      </w:r>
      <w:r w:rsidRPr="00680B21">
        <w:t xml:space="preserve"> be revised to reflect the removal of initial connection and normal reconnection charges. </w:t>
      </w:r>
      <w:r>
        <w:t xml:space="preserve"> Leighton shall</w:t>
      </w:r>
      <w:r w:rsidRPr="00680B21">
        <w:t xml:space="preserve"> be required to file a proposed customer notice to reflect the Commission-approved charges. </w:t>
      </w:r>
      <w:r>
        <w:t xml:space="preserve"> The approved charges shall</w:t>
      </w:r>
      <w:r w:rsidRPr="00680B21">
        <w:t xml:space="preserve"> be effective on or after the stamped approval date on the tariff sheet pursuant to Rule 25-30.475(1), F.A.C. </w:t>
      </w:r>
      <w:r>
        <w:t xml:space="preserve"> </w:t>
      </w:r>
      <w:r w:rsidRPr="00680B21">
        <w:t>In addi</w:t>
      </w:r>
      <w:r>
        <w:t>tion, the approved charge shall</w:t>
      </w:r>
      <w:r w:rsidRPr="00680B21">
        <w:t xml:space="preserve"> not be implemented until </w:t>
      </w:r>
      <w:r>
        <w:t xml:space="preserve">our </w:t>
      </w:r>
      <w:r w:rsidRPr="00680B21">
        <w:t xml:space="preserve">staff has approved the proposed customer notice and the notice has been received by customers. </w:t>
      </w:r>
      <w:r>
        <w:t xml:space="preserve"> </w:t>
      </w:r>
      <w:r w:rsidRPr="00680B21">
        <w:t xml:space="preserve">The utility </w:t>
      </w:r>
      <w:r>
        <w:t>shall</w:t>
      </w:r>
      <w:r w:rsidRPr="00680B21">
        <w:t xml:space="preserve"> provide proof of the date notice was given no less than 10 days after the date of the notice.</w:t>
      </w:r>
      <w:r>
        <w:t xml:space="preserve">  It is further</w:t>
      </w:r>
    </w:p>
    <w:p w:rsidR="00C82134" w:rsidRDefault="00C82134"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8E480F" w:rsidRDefault="008E480F"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C82134" w:rsidRDefault="00C82134"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r>
        <w:tab/>
        <w:t>ORDERED that t</w:t>
      </w:r>
      <w:r w:rsidRPr="00680B21">
        <w:t xml:space="preserve">he appropriate </w:t>
      </w:r>
      <w:r>
        <w:t>initial customer deposits shall</w:t>
      </w:r>
      <w:r w:rsidRPr="00680B21">
        <w:t xml:space="preserve"> be $</w:t>
      </w:r>
      <w:r>
        <w:t>120</w:t>
      </w:r>
      <w:r w:rsidRPr="00680B21">
        <w:t xml:space="preserve"> for the single family residential 5/8 inch x 3/4 inch meter size for water. </w:t>
      </w:r>
      <w:r>
        <w:t xml:space="preserve"> </w:t>
      </w:r>
      <w:r w:rsidRPr="00680B21">
        <w:t xml:space="preserve">The initial customer deposits for all other residential meter sizes and all general service meter sizes should be two times the average estimated bill for water. </w:t>
      </w:r>
      <w:r>
        <w:t xml:space="preserve"> </w:t>
      </w:r>
      <w:r w:rsidRPr="00680B21">
        <w:t xml:space="preserve">The approved </w:t>
      </w:r>
      <w:r>
        <w:t>initial customer deposits shall</w:t>
      </w:r>
      <w:r w:rsidRPr="00680B21">
        <w:t xml:space="preserve"> be effective for connections made on or after the stamped approval date on the tariff sheets pursuant to Rule 25-30.475, F.A.C. </w:t>
      </w:r>
      <w:r>
        <w:t xml:space="preserve"> </w:t>
      </w:r>
      <w:r w:rsidRPr="00680B21">
        <w:t>The utility sh</w:t>
      </w:r>
      <w:r>
        <w:t>al</w:t>
      </w:r>
      <w:r w:rsidRPr="00680B21">
        <w:t>l be required to collect the approved deposits until authorized to change them by the Commission in a subsequent proceeding.</w:t>
      </w:r>
      <w:r>
        <w:t xml:space="preserve">  It is further</w:t>
      </w:r>
    </w:p>
    <w:p w:rsidR="00C82134" w:rsidRDefault="00C82134" w:rsidP="001C64FD">
      <w:pPr>
        <w:pStyle w:val="OrderBody"/>
        <w:tabs>
          <w:tab w:val="left" w:pos="720"/>
          <w:tab w:val="left" w:pos="1440"/>
          <w:tab w:val="left" w:pos="2160"/>
          <w:tab w:val="left" w:pos="2880"/>
          <w:tab w:val="left" w:pos="3600"/>
          <w:tab w:val="left" w:pos="4320"/>
          <w:tab w:val="left" w:pos="5040"/>
          <w:tab w:val="left" w:pos="5760"/>
          <w:tab w:val="left" w:pos="6480"/>
          <w:tab w:val="left" w:pos="7035"/>
        </w:tabs>
      </w:pPr>
    </w:p>
    <w:p w:rsidR="00C82134" w:rsidRDefault="00C82134" w:rsidP="00820E30">
      <w:pPr>
        <w:pStyle w:val="BodyText"/>
        <w:spacing w:after="0"/>
        <w:jc w:val="both"/>
      </w:pPr>
      <w:r>
        <w:tab/>
        <w:t>ORDERED that t</w:t>
      </w:r>
      <w:r w:rsidRPr="00680B21">
        <w:t>he rates sh</w:t>
      </w:r>
      <w:r>
        <w:t>a</w:t>
      </w:r>
      <w:r w:rsidRPr="00680B21">
        <w:t>l</w:t>
      </w:r>
      <w:r>
        <w:t>l</w:t>
      </w:r>
      <w:r w:rsidRPr="00680B21">
        <w:t xml:space="preserve"> be reduced as shown on Schedule No. 4, to remove rate case expense grossed-up for RAFs and amortized over a four-year period. </w:t>
      </w:r>
      <w:r>
        <w:t xml:space="preserve"> </w:t>
      </w:r>
      <w:r w:rsidRPr="00680B21">
        <w:t>Pursuant to Section 367.081(8), F.S., the decrease in rates sh</w:t>
      </w:r>
      <w:r>
        <w:t>al</w:t>
      </w:r>
      <w:r w:rsidRPr="00680B21">
        <w:t xml:space="preserve">l become effective immediately following the expiration of the rate case expense recovery period. </w:t>
      </w:r>
      <w:r>
        <w:t xml:space="preserve"> </w:t>
      </w:r>
      <w:r w:rsidRPr="00680B21">
        <w:t>Leighton sh</w:t>
      </w:r>
      <w:r>
        <w:t>al</w:t>
      </w:r>
      <w:r w:rsidRPr="00680B21">
        <w:t xml:space="preserve">l be required to file revised tariffs and a proposed customer notice setting forth the lower rates and the reason for the reduction no later than one month prior to the actual date of the required rate reduction. </w:t>
      </w:r>
      <w:r>
        <w:t xml:space="preserve"> </w:t>
      </w:r>
      <w:r w:rsidRPr="00680B21">
        <w:rPr>
          <w:bCs/>
        </w:rPr>
        <w:t xml:space="preserve">If the </w:t>
      </w:r>
      <w:r>
        <w:rPr>
          <w:bCs/>
        </w:rPr>
        <w:t>u</w:t>
      </w:r>
      <w:r w:rsidRPr="00680B21">
        <w:rPr>
          <w:bCs/>
        </w:rPr>
        <w:t xml:space="preserve">tility files this reduction in conjunction with a price index or pass-through rate adjustment, the </w:t>
      </w:r>
      <w:r>
        <w:rPr>
          <w:bCs/>
        </w:rPr>
        <w:t>u</w:t>
      </w:r>
      <w:r w:rsidRPr="00680B21">
        <w:rPr>
          <w:bCs/>
        </w:rPr>
        <w:t>tility shall file separate data for the price index and/or pass-through increase or decrease and the reduction in the rates due to the amortized rate case expense.</w:t>
      </w:r>
      <w:r w:rsidR="00BB6595">
        <w:t xml:space="preserve">  It is further</w:t>
      </w:r>
    </w:p>
    <w:p w:rsidR="00DC2731" w:rsidRDefault="00DC2731" w:rsidP="00DC2731">
      <w:pPr>
        <w:pStyle w:val="BodyText"/>
        <w:spacing w:after="0"/>
      </w:pPr>
    </w:p>
    <w:p w:rsidR="00BB6595" w:rsidRDefault="00BB6595" w:rsidP="00820E30">
      <w:pPr>
        <w:pStyle w:val="BodyText"/>
        <w:spacing w:after="0"/>
        <w:jc w:val="both"/>
      </w:pPr>
      <w:r>
        <w:tab/>
        <w:t>ORDERED that p</w:t>
      </w:r>
      <w:r w:rsidRPr="00BB6595">
        <w:t xml:space="preserve">ursuant to Section </w:t>
      </w:r>
      <w:r>
        <w:t>367.0814(7), F.S., the approv</w:t>
      </w:r>
      <w:r w:rsidRPr="00BB6595">
        <w:t xml:space="preserve">ed rates </w:t>
      </w:r>
      <w:r>
        <w:t>shall be</w:t>
      </w:r>
      <w:r w:rsidRPr="00BB6595">
        <w:t xml:space="preserve"> approved for the utility on a temporary basis, subject to refund with interest, in the event of a protest filed by a party other than the utility. </w:t>
      </w:r>
      <w:r>
        <w:t xml:space="preserve"> </w:t>
      </w:r>
      <w:r w:rsidRPr="00BB6595">
        <w:t>Leighton sh</w:t>
      </w:r>
      <w:r>
        <w:t>a</w:t>
      </w:r>
      <w:r w:rsidRPr="00BB6595">
        <w:t>l</w:t>
      </w:r>
      <w:r>
        <w:t>l</w:t>
      </w:r>
      <w:r w:rsidRPr="00BB6595">
        <w:t xml:space="preserve"> file revised tariff sheets and a proposed customer n</w:t>
      </w:r>
      <w:r>
        <w:t xml:space="preserve">otice to reflect our </w:t>
      </w:r>
      <w:r w:rsidRPr="00BB6595">
        <w:t>approved rates. The approved rates sh</w:t>
      </w:r>
      <w:r>
        <w:t>a</w:t>
      </w:r>
      <w:r w:rsidRPr="00BB6595">
        <w:t>l</w:t>
      </w:r>
      <w:r>
        <w:t>l</w:t>
      </w:r>
      <w:r w:rsidRPr="00BB6595">
        <w:t xml:space="preserve"> be effective for service rendered on or after the stamped approval date on the tariff sheet, pursuant to Rule 25-30.475(1), F.A.C. </w:t>
      </w:r>
      <w:r>
        <w:t xml:space="preserve"> </w:t>
      </w:r>
      <w:r w:rsidRPr="00BB6595">
        <w:t>In addition, the temporary rates sh</w:t>
      </w:r>
      <w:r>
        <w:t>a</w:t>
      </w:r>
      <w:r w:rsidRPr="00BB6595">
        <w:t>l</w:t>
      </w:r>
      <w:r>
        <w:t>l</w:t>
      </w:r>
      <w:r w:rsidRPr="00BB6595">
        <w:t xml:space="preserve"> not be implemented until</w:t>
      </w:r>
      <w:r>
        <w:t xml:space="preserve"> our</w:t>
      </w:r>
      <w:r w:rsidRPr="00BB6595">
        <w:t xml:space="preserve"> staff has approved the proposed notice, and the notice has been received by the customers. </w:t>
      </w:r>
      <w:r>
        <w:t xml:space="preserve"> </w:t>
      </w:r>
      <w:r w:rsidRPr="00BB6595">
        <w:t>Prior to implementation of any temporary rates, the utility sh</w:t>
      </w:r>
      <w:r>
        <w:t>a</w:t>
      </w:r>
      <w:r w:rsidRPr="00BB6595">
        <w:t>l</w:t>
      </w:r>
      <w:r>
        <w:t>l</w:t>
      </w:r>
      <w:r w:rsidRPr="00BB6595">
        <w:t xml:space="preserve"> provide appropriate security. </w:t>
      </w:r>
      <w:r>
        <w:t xml:space="preserve"> T</w:t>
      </w:r>
      <w:r w:rsidRPr="00BB6595">
        <w:t xml:space="preserve">he </w:t>
      </w:r>
      <w:r w:rsidR="00DC2731">
        <w:t xml:space="preserve">temporary </w:t>
      </w:r>
      <w:r w:rsidRPr="00BB6595">
        <w:t>rates collected by the utility sh</w:t>
      </w:r>
      <w:r w:rsidR="00DC2731">
        <w:t>al</w:t>
      </w:r>
      <w:r w:rsidRPr="00BB6595">
        <w:t>l be su</w:t>
      </w:r>
      <w:r w:rsidR="00DC2731">
        <w:t>bject to the refund provisions</w:t>
      </w:r>
      <w:r w:rsidRPr="00BB6595">
        <w:t>.</w:t>
      </w:r>
      <w:r w:rsidR="00DC2731">
        <w:t xml:space="preserve"> </w:t>
      </w:r>
      <w:r w:rsidRPr="00BB6595">
        <w:t xml:space="preserve"> In addition, after the increased rates are in effect, pursuant to Rule 25-30.360(6), F.A.C., the utility sh</w:t>
      </w:r>
      <w:r w:rsidR="00DC2731">
        <w:t>al</w:t>
      </w:r>
      <w:r w:rsidRPr="00BB6595">
        <w:t xml:space="preserve">l file reports with the Commission’s Office of Commission Clerk no later than the 20th of each month indicating the monthly and total amount of money subject to refund at the end of the preceding month. </w:t>
      </w:r>
      <w:r w:rsidR="00DC2731">
        <w:t xml:space="preserve"> </w:t>
      </w:r>
      <w:r w:rsidRPr="00BB6595">
        <w:t>The report filed sh</w:t>
      </w:r>
      <w:r w:rsidR="00DC2731">
        <w:t>a</w:t>
      </w:r>
      <w:r w:rsidRPr="00BB6595">
        <w:t>l</w:t>
      </w:r>
      <w:r w:rsidR="00DC2731">
        <w:t>l</w:t>
      </w:r>
      <w:r w:rsidRPr="00BB6595">
        <w:t xml:space="preserve"> also indicate the status of the security being used to guarantee repayment of any potential refund.</w:t>
      </w:r>
      <w:r w:rsidR="00DC2731">
        <w:t xml:space="preserve">  It is further</w:t>
      </w:r>
    </w:p>
    <w:p w:rsidR="00DC2731" w:rsidRDefault="00DC2731" w:rsidP="00DC2731">
      <w:pPr>
        <w:pStyle w:val="BodyText"/>
        <w:spacing w:after="0"/>
      </w:pPr>
      <w:r>
        <w:tab/>
      </w:r>
    </w:p>
    <w:p w:rsidR="00DC2731" w:rsidRDefault="00DC2731" w:rsidP="00820E30">
      <w:pPr>
        <w:pStyle w:val="BodyText"/>
        <w:spacing w:after="0"/>
        <w:ind w:firstLine="720"/>
        <w:jc w:val="both"/>
      </w:pPr>
      <w:r>
        <w:t xml:space="preserve">ORDERED that </w:t>
      </w:r>
      <w:r w:rsidRPr="00EA2709">
        <w:t>Leighton sh</w:t>
      </w:r>
      <w:r>
        <w:t>a</w:t>
      </w:r>
      <w:r w:rsidRPr="00EA2709">
        <w:t>l</w:t>
      </w:r>
      <w:r>
        <w:t>l</w:t>
      </w:r>
      <w:r w:rsidRPr="00EA2709">
        <w:t xml:space="preserve"> be r</w:t>
      </w:r>
      <w:r>
        <w:t>equired to notify us</w:t>
      </w:r>
      <w:r w:rsidRPr="00EA2709">
        <w:t>, in writing, that it has adjusted its books in a</w:t>
      </w:r>
      <w:r>
        <w:t>ccordance with our</w:t>
      </w:r>
      <w:r w:rsidRPr="00EA2709">
        <w:t xml:space="preserve"> decision. </w:t>
      </w:r>
      <w:r>
        <w:t xml:space="preserve"> </w:t>
      </w:r>
      <w:r w:rsidRPr="00EA2709">
        <w:t>Leighton sh</w:t>
      </w:r>
      <w:r>
        <w:t>a</w:t>
      </w:r>
      <w:r w:rsidRPr="00EA2709">
        <w:t>l</w:t>
      </w:r>
      <w:r>
        <w:t>l</w:t>
      </w:r>
      <w:r w:rsidRPr="00EA2709">
        <w:t xml:space="preserve"> submit a letter within 90 days of the final order in this docket, confirming that the adjustments to all applicable NARUC USOA primary accounts have been made to the </w:t>
      </w:r>
      <w:r>
        <w:t>u</w:t>
      </w:r>
      <w:r w:rsidRPr="00EA2709">
        <w:t xml:space="preserve">tility’s books and records. </w:t>
      </w:r>
      <w:r>
        <w:t xml:space="preserve"> </w:t>
      </w:r>
      <w:r w:rsidRPr="00EA2709">
        <w:t xml:space="preserve">In the event the </w:t>
      </w:r>
      <w:r>
        <w:t>u</w:t>
      </w:r>
      <w:r w:rsidRPr="00EA2709">
        <w:t>tility needs additional time to complete the adjustments, notice providing good cause sh</w:t>
      </w:r>
      <w:r>
        <w:t>a</w:t>
      </w:r>
      <w:r w:rsidRPr="00EA2709">
        <w:t>l</w:t>
      </w:r>
      <w:r>
        <w:t>l</w:t>
      </w:r>
      <w:r w:rsidRPr="00EA2709">
        <w:t xml:space="preserve"> be filed not less than seven days prior to the deadline. </w:t>
      </w:r>
      <w:r>
        <w:t xml:space="preserve"> </w:t>
      </w:r>
      <w:r w:rsidRPr="00EA2709">
        <w:t xml:space="preserve">Upon providing good cause, </w:t>
      </w:r>
      <w:r>
        <w:t xml:space="preserve">our </w:t>
      </w:r>
      <w:r w:rsidRPr="00EA2709">
        <w:t>staff sh</w:t>
      </w:r>
      <w:r>
        <w:t>a</w:t>
      </w:r>
      <w:r w:rsidRPr="00EA2709">
        <w:t>l</w:t>
      </w:r>
      <w:r>
        <w:t>l</w:t>
      </w:r>
      <w:r w:rsidRPr="00EA2709">
        <w:t xml:space="preserve"> be given administrative authority to grant an extension of up to 60 days.</w:t>
      </w:r>
      <w:r>
        <w:t xml:space="preserve">  It is further</w:t>
      </w:r>
    </w:p>
    <w:p w:rsidR="00DC2731" w:rsidRDefault="00DC2731" w:rsidP="00DC2731">
      <w:pPr>
        <w:pStyle w:val="BodyText"/>
        <w:spacing w:after="0"/>
        <w:ind w:firstLine="720"/>
      </w:pPr>
    </w:p>
    <w:p w:rsidR="00EF015A" w:rsidRDefault="00DC2731" w:rsidP="00E072D4">
      <w:pPr>
        <w:autoSpaceDE w:val="0"/>
        <w:autoSpaceDN w:val="0"/>
        <w:adjustRightInd w:val="0"/>
        <w:jc w:val="both"/>
      </w:pPr>
      <w:r>
        <w:t xml:space="preserve">ORDERED that if no person whose substantial interests are affected by the proposed agency action files a protest within 21 days of the issuance of this Order, a Consummating Order shall be issued.  </w:t>
      </w:r>
      <w:r w:rsidR="005E3343">
        <w:t>This docket should remain open for staff</w:t>
      </w:r>
      <w:r w:rsidR="00E072D4">
        <w:t>’</w:t>
      </w:r>
      <w:r w:rsidR="005E3343">
        <w:t>s verification that the revised tariff sheets and</w:t>
      </w:r>
      <w:r w:rsidR="00E072D4">
        <w:t xml:space="preserve"> </w:t>
      </w:r>
      <w:r w:rsidR="005E3343">
        <w:t>customer notices have been filed by the utility and approved by staff. Also, the docket should remain open to</w:t>
      </w:r>
      <w:r w:rsidR="00E072D4">
        <w:t xml:space="preserve"> </w:t>
      </w:r>
      <w:r w:rsidR="005E3343">
        <w:t>allow the utility to provide the recommended reporting information.</w:t>
      </w:r>
      <w:r w:rsidR="00E072D4">
        <w:t xml:space="preserve"> Upon staff’s approval of the tariff sheets and customer notices, along with staff</w:t>
      </w:r>
      <w:r w:rsidR="002A09EB">
        <w:t>’</w:t>
      </w:r>
      <w:bookmarkStart w:id="7" w:name="_GoBack"/>
      <w:bookmarkEnd w:id="7"/>
      <w:r w:rsidR="00E072D4">
        <w:t xml:space="preserve">s completion of its review of the recommended reporting information, this docket should be closed administratively if no adjustments are necessary. </w:t>
      </w:r>
    </w:p>
    <w:p w:rsidR="0083703B" w:rsidRDefault="0083703B" w:rsidP="0083703B">
      <w:pPr>
        <w:pStyle w:val="OrderBody"/>
        <w:ind w:firstLine="720"/>
      </w:pPr>
    </w:p>
    <w:p w:rsidR="00EF015A" w:rsidRDefault="00EF015A" w:rsidP="00EF015A">
      <w:pPr>
        <w:pStyle w:val="OrderBody"/>
        <w:keepNext/>
        <w:keepLines/>
      </w:pPr>
      <w:r>
        <w:tab/>
        <w:t xml:space="preserve">By ORDER of the Florida Public Service Commission this </w:t>
      </w:r>
      <w:bookmarkStart w:id="8" w:name="replaceDate"/>
      <w:bookmarkEnd w:id="8"/>
      <w:r w:rsidR="00E439E0">
        <w:rPr>
          <w:u w:val="single"/>
        </w:rPr>
        <w:t>22nd</w:t>
      </w:r>
      <w:r w:rsidR="00E439E0">
        <w:t xml:space="preserve"> day of </w:t>
      </w:r>
      <w:r w:rsidR="00E439E0">
        <w:rPr>
          <w:u w:val="single"/>
        </w:rPr>
        <w:t>December</w:t>
      </w:r>
      <w:r w:rsidR="00E439E0">
        <w:t xml:space="preserve">, </w:t>
      </w:r>
      <w:r w:rsidR="00E439E0">
        <w:rPr>
          <w:u w:val="single"/>
        </w:rPr>
        <w:t>2022</w:t>
      </w:r>
      <w:r w:rsidR="00E439E0">
        <w:t>.</w:t>
      </w:r>
    </w:p>
    <w:p w:rsidR="00E439E0" w:rsidRPr="00E439E0" w:rsidRDefault="00E439E0" w:rsidP="00EF015A">
      <w:pPr>
        <w:pStyle w:val="OrderBody"/>
        <w:keepNext/>
        <w:keepLines/>
      </w:pPr>
    </w:p>
    <w:p w:rsidR="00EF015A" w:rsidRDefault="00EF015A" w:rsidP="00EF015A">
      <w:pPr>
        <w:pStyle w:val="OrderBody"/>
        <w:keepNext/>
        <w:keepLines/>
      </w:pPr>
    </w:p>
    <w:p w:rsidR="00EF015A" w:rsidRDefault="00EF015A" w:rsidP="00EF015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F015A" w:rsidTr="00EF015A">
        <w:tc>
          <w:tcPr>
            <w:tcW w:w="720" w:type="dxa"/>
            <w:shd w:val="clear" w:color="auto" w:fill="auto"/>
          </w:tcPr>
          <w:p w:rsidR="00EF015A" w:rsidRDefault="00EF015A" w:rsidP="00EF015A">
            <w:pPr>
              <w:pStyle w:val="OrderBody"/>
              <w:keepNext/>
              <w:keepLines/>
            </w:pPr>
            <w:bookmarkStart w:id="9" w:name="bkmrkSignature" w:colFirst="0" w:colLast="0"/>
          </w:p>
        </w:tc>
        <w:tc>
          <w:tcPr>
            <w:tcW w:w="4320" w:type="dxa"/>
            <w:tcBorders>
              <w:bottom w:val="single" w:sz="4" w:space="0" w:color="auto"/>
            </w:tcBorders>
            <w:shd w:val="clear" w:color="auto" w:fill="auto"/>
          </w:tcPr>
          <w:p w:rsidR="00EF015A" w:rsidRDefault="003E47CD" w:rsidP="00EF015A">
            <w:pPr>
              <w:pStyle w:val="OrderBody"/>
              <w:keepNext/>
              <w:keepLines/>
            </w:pPr>
            <w:r>
              <w:t>/s/ Adam J. Teitzman</w:t>
            </w:r>
          </w:p>
        </w:tc>
      </w:tr>
      <w:bookmarkEnd w:id="9"/>
      <w:tr w:rsidR="00EF015A" w:rsidTr="00EF015A">
        <w:tc>
          <w:tcPr>
            <w:tcW w:w="720" w:type="dxa"/>
            <w:shd w:val="clear" w:color="auto" w:fill="auto"/>
          </w:tcPr>
          <w:p w:rsidR="00EF015A" w:rsidRDefault="00EF015A" w:rsidP="00EF015A">
            <w:pPr>
              <w:pStyle w:val="OrderBody"/>
              <w:keepNext/>
              <w:keepLines/>
            </w:pPr>
          </w:p>
        </w:tc>
        <w:tc>
          <w:tcPr>
            <w:tcW w:w="4320" w:type="dxa"/>
            <w:tcBorders>
              <w:top w:val="single" w:sz="4" w:space="0" w:color="auto"/>
            </w:tcBorders>
            <w:shd w:val="clear" w:color="auto" w:fill="auto"/>
          </w:tcPr>
          <w:p w:rsidR="00EF015A" w:rsidRDefault="00EF015A" w:rsidP="00EF015A">
            <w:pPr>
              <w:pStyle w:val="OrderBody"/>
              <w:keepNext/>
              <w:keepLines/>
            </w:pPr>
            <w:r>
              <w:t>ADAM J. TEITZMAN</w:t>
            </w:r>
          </w:p>
          <w:p w:rsidR="00EF015A" w:rsidRDefault="00EF015A" w:rsidP="00EF015A">
            <w:pPr>
              <w:pStyle w:val="OrderBody"/>
              <w:keepNext/>
              <w:keepLines/>
            </w:pPr>
            <w:r>
              <w:t>Commission Clerk</w:t>
            </w:r>
          </w:p>
        </w:tc>
      </w:tr>
    </w:tbl>
    <w:p w:rsidR="00EF015A" w:rsidRDefault="00EF015A" w:rsidP="00EF015A">
      <w:pPr>
        <w:pStyle w:val="OrderSigInfo"/>
        <w:keepNext/>
        <w:keepLines/>
      </w:pPr>
      <w:r>
        <w:t>Florida Public Service Commission</w:t>
      </w:r>
    </w:p>
    <w:p w:rsidR="00EF015A" w:rsidRDefault="00EF015A" w:rsidP="00EF015A">
      <w:pPr>
        <w:pStyle w:val="OrderSigInfo"/>
        <w:keepNext/>
        <w:keepLines/>
      </w:pPr>
      <w:r>
        <w:t>2540 Shumard Oak Boulevard</w:t>
      </w:r>
    </w:p>
    <w:p w:rsidR="00EF015A" w:rsidRDefault="00EF015A" w:rsidP="00EF015A">
      <w:pPr>
        <w:pStyle w:val="OrderSigInfo"/>
        <w:keepNext/>
        <w:keepLines/>
      </w:pPr>
      <w:r>
        <w:t>Tallahassee, Florida 32399</w:t>
      </w:r>
    </w:p>
    <w:p w:rsidR="00EF015A" w:rsidRDefault="00EF015A" w:rsidP="00EF015A">
      <w:pPr>
        <w:pStyle w:val="OrderSigInfo"/>
        <w:keepNext/>
        <w:keepLines/>
      </w:pPr>
      <w:r>
        <w:t>(850) 413</w:t>
      </w:r>
      <w:r>
        <w:noBreakHyphen/>
        <w:t>6770</w:t>
      </w:r>
    </w:p>
    <w:p w:rsidR="00EF015A" w:rsidRDefault="00EF015A" w:rsidP="00EF015A">
      <w:pPr>
        <w:pStyle w:val="OrderSigInfo"/>
        <w:keepNext/>
        <w:keepLines/>
      </w:pPr>
      <w:r>
        <w:t>www.floridapsc.com</w:t>
      </w:r>
    </w:p>
    <w:p w:rsidR="00EF015A" w:rsidRDefault="00EF015A" w:rsidP="00EF015A">
      <w:pPr>
        <w:pStyle w:val="OrderSigInfo"/>
        <w:keepNext/>
        <w:keepLines/>
      </w:pPr>
    </w:p>
    <w:p w:rsidR="00EF015A" w:rsidRDefault="00EF015A" w:rsidP="00EF015A">
      <w:pPr>
        <w:pStyle w:val="OrderSigInfo"/>
        <w:keepNext/>
        <w:keepLines/>
      </w:pPr>
      <w:r>
        <w:t>Copies furnished:  A copy of this document is provided to the parties of record at the time of issuance and, if applicable, interested persons.</w:t>
      </w:r>
    </w:p>
    <w:p w:rsidR="00EF015A" w:rsidRDefault="00EF015A" w:rsidP="00EF015A">
      <w:pPr>
        <w:pStyle w:val="OrderBody"/>
        <w:keepNext/>
        <w:keepLines/>
      </w:pPr>
    </w:p>
    <w:p w:rsidR="00EF015A" w:rsidRDefault="00EF015A" w:rsidP="00EF015A">
      <w:pPr>
        <w:pStyle w:val="OrderBody"/>
        <w:keepNext/>
        <w:keepLines/>
      </w:pPr>
    </w:p>
    <w:p w:rsidR="00EF015A" w:rsidRDefault="00EF015A" w:rsidP="00EF015A">
      <w:pPr>
        <w:pStyle w:val="OrderBody"/>
      </w:pPr>
      <w:r>
        <w:t>WLT</w:t>
      </w:r>
    </w:p>
    <w:p w:rsidR="00EF015A" w:rsidRDefault="00EF015A" w:rsidP="00EF015A">
      <w:pPr>
        <w:pStyle w:val="OrderBody"/>
      </w:pPr>
    </w:p>
    <w:p w:rsidR="00EF015A" w:rsidRDefault="00EF015A" w:rsidP="00EF015A">
      <w:pPr>
        <w:pStyle w:val="OrderBody"/>
      </w:pPr>
    </w:p>
    <w:p w:rsidR="00EF015A" w:rsidRDefault="00EF015A" w:rsidP="00EF015A">
      <w:pPr>
        <w:pStyle w:val="OrderBody"/>
      </w:pPr>
    </w:p>
    <w:p w:rsidR="00EF015A" w:rsidRDefault="00EF015A" w:rsidP="00EF015A">
      <w:pPr>
        <w:pStyle w:val="CenterUnderline"/>
      </w:pPr>
      <w:r>
        <w:t>NOTICE OF FURTHER PROCEEDINGS OR JUDICIAL REVIEW</w:t>
      </w:r>
    </w:p>
    <w:p w:rsidR="00EF015A" w:rsidRDefault="00EF015A" w:rsidP="00EF015A">
      <w:pPr>
        <w:pStyle w:val="CenterUnderline"/>
        <w:rPr>
          <w:u w:val="none"/>
        </w:rPr>
      </w:pPr>
    </w:p>
    <w:p w:rsidR="00EF015A" w:rsidRDefault="00EF015A" w:rsidP="00EF01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F015A" w:rsidRDefault="00EF015A" w:rsidP="00EF015A">
      <w:pPr>
        <w:pStyle w:val="OrderBody"/>
      </w:pPr>
    </w:p>
    <w:p w:rsidR="00EF015A" w:rsidRDefault="00EF015A" w:rsidP="00EF015A">
      <w:pPr>
        <w:pStyle w:val="OrderBody"/>
      </w:pPr>
      <w:r>
        <w:tab/>
      </w:r>
      <w:r w:rsidR="009B4B4D">
        <w:t>O</w:t>
      </w:r>
      <w:r>
        <w:t xml:space="preserve">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E439E0">
        <w:rPr>
          <w:u w:val="single"/>
        </w:rPr>
        <w:t>January 12, 2023</w:t>
      </w:r>
      <w:r>
        <w:t xml:space="preserve">. </w:t>
      </w:r>
      <w:r>
        <w:tab/>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EF015A" w:rsidRDefault="00EF015A" w:rsidP="00EF015A">
      <w:pPr>
        <w:pStyle w:val="OrderBody"/>
      </w:pPr>
    </w:p>
    <w:p w:rsidR="00EF015A" w:rsidRDefault="00EF015A" w:rsidP="00EF015A">
      <w:pPr>
        <w:pStyle w:val="OrderBody"/>
      </w:pPr>
      <w:r>
        <w:tab/>
        <w:t>Any objection or protest filed in this docket before the issuance date of this order is considered abandoned unless it satisfies the foregoing conditions and is renewed within the specified protest period.</w:t>
      </w:r>
    </w:p>
    <w:p w:rsidR="00EF015A" w:rsidRDefault="00EF015A" w:rsidP="00EF015A">
      <w:pPr>
        <w:pStyle w:val="OrderBody"/>
      </w:pPr>
    </w:p>
    <w:p w:rsidR="00EF015A" w:rsidRDefault="00EF015A" w:rsidP="00EF015A">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F015A" w:rsidRDefault="00EF015A" w:rsidP="00EF015A">
      <w:pPr>
        <w:pStyle w:val="OrderBody"/>
      </w:pPr>
    </w:p>
    <w:p w:rsidR="00EF015A" w:rsidRDefault="00EF015A" w:rsidP="00EF015A">
      <w:pPr>
        <w:pStyle w:val="OrderBody"/>
      </w:pPr>
    </w:p>
    <w:p w:rsidR="00EF015A" w:rsidRPr="00EF015A" w:rsidRDefault="00EF015A" w:rsidP="00EF015A">
      <w:pPr>
        <w:pStyle w:val="OrderBody"/>
      </w:pPr>
    </w:p>
    <w:p w:rsidR="00913796" w:rsidRPr="001B669F" w:rsidRDefault="00913796" w:rsidP="00913796">
      <w:pPr>
        <w:jc w:val="both"/>
      </w:pPr>
    </w:p>
    <w:p w:rsidR="00913796" w:rsidRPr="001B669F" w:rsidRDefault="00913796" w:rsidP="00913796">
      <w:pPr>
        <w:jc w:val="both"/>
        <w:sectPr w:rsidR="00913796" w:rsidRPr="001B669F">
          <w:headerReference w:type="default" r:id="rId7"/>
          <w:footerReference w:type="first" r:id="rId8"/>
          <w:pgSz w:w="12240" w:h="15840" w:code="1"/>
          <w:pgMar w:top="1440" w:right="1440" w:bottom="1440" w:left="1440" w:header="720" w:footer="720" w:gutter="0"/>
          <w:cols w:space="720"/>
          <w:titlePg/>
          <w:docGrid w:linePitch="360"/>
        </w:sectPr>
      </w:pPr>
    </w:p>
    <w:tbl>
      <w:tblPr>
        <w:tblStyle w:val="TableGrid13"/>
        <w:tblW w:w="5186" w:type="pct"/>
        <w:tblBorders>
          <w:insideH w:val="none" w:sz="0" w:space="0" w:color="auto"/>
          <w:insideV w:val="none" w:sz="0" w:space="0" w:color="auto"/>
        </w:tblBorders>
        <w:tblLayout w:type="fixed"/>
        <w:tblLook w:val="04A0" w:firstRow="1" w:lastRow="0" w:firstColumn="1" w:lastColumn="0" w:noHBand="0" w:noVBand="1"/>
      </w:tblPr>
      <w:tblGrid>
        <w:gridCol w:w="417"/>
        <w:gridCol w:w="5032"/>
        <w:gridCol w:w="1474"/>
        <w:gridCol w:w="1283"/>
        <w:gridCol w:w="1476"/>
        <w:gridCol w:w="250"/>
      </w:tblGrid>
      <w:tr w:rsidR="00913796" w:rsidRPr="001B669F" w:rsidTr="001B669F">
        <w:trPr>
          <w:trHeight w:val="277"/>
        </w:trPr>
        <w:tc>
          <w:tcPr>
            <w:tcW w:w="210" w:type="pct"/>
            <w:tcBorders>
              <w:top w:val="single" w:sz="4" w:space="0" w:color="auto"/>
              <w:bottom w:val="nil"/>
            </w:tcBorders>
          </w:tcPr>
          <w:p w:rsidR="00913796" w:rsidRPr="001B669F" w:rsidRDefault="00913796" w:rsidP="001B669F">
            <w:pPr>
              <w:jc w:val="both"/>
              <w:rPr>
                <w:rFonts w:ascii="Times New Roman" w:hAnsi="Times New Roman" w:cs="Times New Roman"/>
                <w:sz w:val="22"/>
                <w:szCs w:val="22"/>
              </w:rPr>
            </w:pPr>
          </w:p>
        </w:tc>
        <w:tc>
          <w:tcPr>
            <w:tcW w:w="2533" w:type="pct"/>
            <w:tcBorders>
              <w:top w:val="single" w:sz="4" w:space="0" w:color="auto"/>
              <w:bottom w:val="nil"/>
            </w:tcBorders>
          </w:tcPr>
          <w:p w:rsidR="00913796" w:rsidRPr="001B669F" w:rsidRDefault="00913796" w:rsidP="001B669F">
            <w:pPr>
              <w:jc w:val="both"/>
              <w:rPr>
                <w:rFonts w:ascii="Times New Roman" w:hAnsi="Times New Roman" w:cs="Times New Roman"/>
                <w:b/>
                <w:sz w:val="22"/>
                <w:szCs w:val="22"/>
              </w:rPr>
            </w:pPr>
            <w:r w:rsidRPr="001B669F">
              <w:rPr>
                <w:rFonts w:ascii="Times New Roman" w:hAnsi="Times New Roman" w:cs="Times New Roman"/>
                <w:b/>
                <w:sz w:val="22"/>
                <w:szCs w:val="22"/>
              </w:rPr>
              <w:t xml:space="preserve">LEIGHTON ESTATES UTILITIES, LLC. </w:t>
            </w:r>
          </w:p>
        </w:tc>
        <w:tc>
          <w:tcPr>
            <w:tcW w:w="2131" w:type="pct"/>
            <w:gridSpan w:val="3"/>
            <w:tcBorders>
              <w:top w:val="single" w:sz="4" w:space="0" w:color="auto"/>
              <w:bottom w:val="nil"/>
            </w:tcBorders>
          </w:tcPr>
          <w:p w:rsidR="00913796" w:rsidRPr="001B669F" w:rsidRDefault="00913796" w:rsidP="001B669F">
            <w:pPr>
              <w:jc w:val="right"/>
              <w:rPr>
                <w:rFonts w:ascii="Times New Roman" w:hAnsi="Times New Roman" w:cs="Times New Roman"/>
                <w:b/>
                <w:sz w:val="22"/>
                <w:szCs w:val="22"/>
              </w:rPr>
            </w:pPr>
            <w:r w:rsidRPr="001B669F">
              <w:rPr>
                <w:rFonts w:ascii="Times New Roman" w:hAnsi="Times New Roman" w:cs="Times New Roman"/>
                <w:b/>
                <w:sz w:val="22"/>
                <w:szCs w:val="22"/>
              </w:rPr>
              <w:t>SCHEDULE NO. 1-A</w:t>
            </w:r>
          </w:p>
        </w:tc>
        <w:tc>
          <w:tcPr>
            <w:tcW w:w="126" w:type="pct"/>
            <w:tcBorders>
              <w:top w:val="single" w:sz="4" w:space="0" w:color="auto"/>
              <w:bottom w:val="nil"/>
            </w:tcBorders>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60"/>
        </w:trPr>
        <w:tc>
          <w:tcPr>
            <w:tcW w:w="210" w:type="pct"/>
            <w:tcBorders>
              <w:top w:val="nil"/>
              <w:bottom w:val="nil"/>
            </w:tcBorders>
          </w:tcPr>
          <w:p w:rsidR="00913796" w:rsidRPr="001B669F" w:rsidRDefault="00913796" w:rsidP="001B669F">
            <w:pPr>
              <w:jc w:val="both"/>
              <w:rPr>
                <w:rFonts w:ascii="Times New Roman" w:hAnsi="Times New Roman" w:cs="Times New Roman"/>
                <w:sz w:val="22"/>
                <w:szCs w:val="22"/>
              </w:rPr>
            </w:pPr>
          </w:p>
        </w:tc>
        <w:tc>
          <w:tcPr>
            <w:tcW w:w="2533" w:type="pct"/>
            <w:tcBorders>
              <w:top w:val="nil"/>
              <w:bottom w:val="nil"/>
            </w:tcBorders>
          </w:tcPr>
          <w:p w:rsidR="00913796" w:rsidRPr="001B669F" w:rsidRDefault="00913796" w:rsidP="001B669F">
            <w:pPr>
              <w:jc w:val="both"/>
              <w:rPr>
                <w:rFonts w:ascii="Times New Roman" w:hAnsi="Times New Roman" w:cs="Times New Roman"/>
                <w:b/>
                <w:sz w:val="22"/>
                <w:szCs w:val="22"/>
              </w:rPr>
            </w:pPr>
            <w:r w:rsidRPr="001B669F">
              <w:rPr>
                <w:rFonts w:ascii="Times New Roman" w:hAnsi="Times New Roman" w:cs="Times New Roman"/>
                <w:b/>
                <w:sz w:val="22"/>
                <w:szCs w:val="22"/>
              </w:rPr>
              <w:t xml:space="preserve">TEST YEAR ENDED 12/31/2021 </w:t>
            </w:r>
            <w:r w:rsidRPr="001B669F">
              <w:fldChar w:fldCharType="begin"/>
            </w:r>
            <w:r w:rsidRPr="001B669F">
              <w:rPr>
                <w:rFonts w:ascii="Times New Roman" w:hAnsi="Times New Roman" w:cs="Times New Roman"/>
              </w:rPr>
              <w:instrText xml:space="preserve"> TC "</w:instrText>
            </w:r>
            <w:bookmarkStart w:id="11" w:name="_Toc111533849"/>
            <w:bookmarkStart w:id="12" w:name="_Toc119660387"/>
            <w:r w:rsidRPr="001B669F">
              <w:rPr>
                <w:rFonts w:ascii="Times New Roman" w:hAnsi="Times New Roman" w:cs="Times New Roman"/>
              </w:rPr>
              <w:tab/>
              <w:instrText>Schedule No. 1-A Rate Base</w:instrText>
            </w:r>
            <w:bookmarkEnd w:id="11"/>
            <w:bookmarkEnd w:id="12"/>
            <w:r w:rsidRPr="001B669F">
              <w:rPr>
                <w:rFonts w:ascii="Times New Roman" w:hAnsi="Times New Roman" w:cs="Times New Roman"/>
              </w:rPr>
              <w:instrText xml:space="preserve">" \l 1 </w:instrText>
            </w:r>
            <w:r w:rsidRPr="001B669F">
              <w:fldChar w:fldCharType="end"/>
            </w:r>
          </w:p>
        </w:tc>
        <w:tc>
          <w:tcPr>
            <w:tcW w:w="2131" w:type="pct"/>
            <w:gridSpan w:val="3"/>
            <w:tcBorders>
              <w:top w:val="nil"/>
              <w:bottom w:val="nil"/>
            </w:tcBorders>
          </w:tcPr>
          <w:p w:rsidR="00913796" w:rsidRPr="001B669F" w:rsidRDefault="00913796" w:rsidP="001B669F">
            <w:pPr>
              <w:jc w:val="right"/>
              <w:rPr>
                <w:rFonts w:ascii="Times New Roman" w:hAnsi="Times New Roman" w:cs="Times New Roman"/>
                <w:b/>
                <w:sz w:val="22"/>
                <w:szCs w:val="22"/>
              </w:rPr>
            </w:pPr>
            <w:r w:rsidRPr="001B669F">
              <w:rPr>
                <w:rFonts w:ascii="Times New Roman" w:hAnsi="Times New Roman" w:cs="Times New Roman"/>
                <w:b/>
                <w:sz w:val="22"/>
                <w:szCs w:val="22"/>
              </w:rPr>
              <w:t>DOCKET NO. 20220026-WU</w:t>
            </w:r>
          </w:p>
        </w:tc>
        <w:tc>
          <w:tcPr>
            <w:tcW w:w="126" w:type="pct"/>
            <w:tcBorders>
              <w:top w:val="nil"/>
              <w:bottom w:val="nil"/>
            </w:tcBorders>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Borders>
              <w:top w:val="nil"/>
              <w:bottom w:val="single" w:sz="4" w:space="0" w:color="auto"/>
            </w:tcBorders>
          </w:tcPr>
          <w:p w:rsidR="00913796" w:rsidRPr="001B669F" w:rsidRDefault="00913796" w:rsidP="001B669F">
            <w:pPr>
              <w:jc w:val="both"/>
              <w:rPr>
                <w:rFonts w:ascii="Times New Roman" w:hAnsi="Times New Roman" w:cs="Times New Roman"/>
                <w:sz w:val="22"/>
                <w:szCs w:val="22"/>
              </w:rPr>
            </w:pPr>
          </w:p>
        </w:tc>
        <w:tc>
          <w:tcPr>
            <w:tcW w:w="2533" w:type="pct"/>
            <w:tcBorders>
              <w:top w:val="nil"/>
              <w:bottom w:val="single" w:sz="4" w:space="0" w:color="auto"/>
            </w:tcBorders>
          </w:tcPr>
          <w:p w:rsidR="00913796" w:rsidRPr="001B669F" w:rsidRDefault="00913796" w:rsidP="001B669F">
            <w:pPr>
              <w:jc w:val="both"/>
              <w:rPr>
                <w:rFonts w:ascii="Times New Roman" w:hAnsi="Times New Roman" w:cs="Times New Roman"/>
                <w:b/>
                <w:sz w:val="22"/>
                <w:szCs w:val="22"/>
              </w:rPr>
            </w:pPr>
            <w:r w:rsidRPr="001B669F">
              <w:rPr>
                <w:rFonts w:ascii="Times New Roman" w:hAnsi="Times New Roman" w:cs="Times New Roman"/>
                <w:b/>
                <w:sz w:val="22"/>
                <w:szCs w:val="22"/>
              </w:rPr>
              <w:t>SCHEDULE OF WATER RATE BASE</w:t>
            </w:r>
          </w:p>
        </w:tc>
        <w:tc>
          <w:tcPr>
            <w:tcW w:w="2131" w:type="pct"/>
            <w:gridSpan w:val="3"/>
            <w:tcBorders>
              <w:top w:val="nil"/>
              <w:bottom w:val="single" w:sz="4" w:space="0" w:color="auto"/>
            </w:tcBorders>
          </w:tcPr>
          <w:p w:rsidR="00913796" w:rsidRPr="001B669F" w:rsidRDefault="00913796" w:rsidP="001B669F">
            <w:pPr>
              <w:jc w:val="both"/>
              <w:rPr>
                <w:rFonts w:ascii="Times New Roman" w:hAnsi="Times New Roman" w:cs="Times New Roman"/>
                <w:b/>
                <w:sz w:val="22"/>
                <w:szCs w:val="22"/>
              </w:rPr>
            </w:pPr>
          </w:p>
        </w:tc>
        <w:tc>
          <w:tcPr>
            <w:tcW w:w="126" w:type="pct"/>
            <w:tcBorders>
              <w:top w:val="nil"/>
              <w:bottom w:val="single" w:sz="4" w:space="0" w:color="auto"/>
            </w:tcBorders>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Borders>
              <w:top w:val="single" w:sz="4" w:space="0" w:color="auto"/>
              <w:bottom w:val="nil"/>
            </w:tcBorders>
          </w:tcPr>
          <w:p w:rsidR="00913796" w:rsidRPr="001B669F" w:rsidRDefault="00913796" w:rsidP="001B669F">
            <w:pPr>
              <w:jc w:val="both"/>
              <w:rPr>
                <w:rFonts w:ascii="Times New Roman" w:hAnsi="Times New Roman" w:cs="Times New Roman"/>
                <w:sz w:val="22"/>
                <w:szCs w:val="22"/>
              </w:rPr>
            </w:pPr>
          </w:p>
        </w:tc>
        <w:tc>
          <w:tcPr>
            <w:tcW w:w="2533" w:type="pct"/>
            <w:tcBorders>
              <w:top w:val="single" w:sz="4" w:space="0" w:color="auto"/>
              <w:bottom w:val="nil"/>
            </w:tcBorders>
          </w:tcPr>
          <w:p w:rsidR="00913796" w:rsidRPr="001B669F" w:rsidRDefault="00913796" w:rsidP="001B669F">
            <w:pPr>
              <w:jc w:val="both"/>
              <w:rPr>
                <w:rFonts w:ascii="Times New Roman" w:hAnsi="Times New Roman" w:cs="Times New Roman"/>
                <w:b/>
                <w:sz w:val="22"/>
                <w:szCs w:val="22"/>
              </w:rPr>
            </w:pPr>
          </w:p>
        </w:tc>
        <w:tc>
          <w:tcPr>
            <w:tcW w:w="742" w:type="pct"/>
            <w:tcBorders>
              <w:top w:val="single" w:sz="4" w:space="0" w:color="auto"/>
              <w:bottom w:val="nil"/>
            </w:tcBorders>
          </w:tcPr>
          <w:p w:rsidR="00913796" w:rsidRPr="001B669F" w:rsidRDefault="00913796" w:rsidP="001B669F">
            <w:pPr>
              <w:jc w:val="center"/>
              <w:rPr>
                <w:rFonts w:ascii="Times New Roman" w:hAnsi="Times New Roman" w:cs="Times New Roman"/>
                <w:b/>
                <w:sz w:val="22"/>
                <w:szCs w:val="22"/>
              </w:rPr>
            </w:pPr>
            <w:r w:rsidRPr="001B669F">
              <w:rPr>
                <w:rFonts w:ascii="Times New Roman" w:hAnsi="Times New Roman" w:cs="Times New Roman"/>
                <w:b/>
                <w:sz w:val="22"/>
                <w:szCs w:val="22"/>
              </w:rPr>
              <w:t>BALANCE</w:t>
            </w:r>
          </w:p>
        </w:tc>
        <w:tc>
          <w:tcPr>
            <w:tcW w:w="646" w:type="pct"/>
            <w:tcBorders>
              <w:top w:val="single" w:sz="4" w:space="0" w:color="auto"/>
              <w:bottom w:val="nil"/>
            </w:tcBorders>
          </w:tcPr>
          <w:p w:rsidR="00913796" w:rsidRPr="001B669F" w:rsidRDefault="00913796" w:rsidP="001B669F">
            <w:pPr>
              <w:jc w:val="center"/>
              <w:rPr>
                <w:rFonts w:ascii="Times New Roman" w:hAnsi="Times New Roman" w:cs="Times New Roman"/>
                <w:b/>
                <w:sz w:val="22"/>
                <w:szCs w:val="22"/>
              </w:rPr>
            </w:pPr>
          </w:p>
        </w:tc>
        <w:tc>
          <w:tcPr>
            <w:tcW w:w="743" w:type="pct"/>
            <w:tcBorders>
              <w:top w:val="single" w:sz="4" w:space="0" w:color="auto"/>
              <w:bottom w:val="nil"/>
            </w:tcBorders>
          </w:tcPr>
          <w:p w:rsidR="00913796" w:rsidRPr="001B669F" w:rsidRDefault="00913796" w:rsidP="001B669F">
            <w:pPr>
              <w:jc w:val="center"/>
              <w:rPr>
                <w:rFonts w:ascii="Times New Roman" w:hAnsi="Times New Roman" w:cs="Times New Roman"/>
                <w:b/>
                <w:sz w:val="22"/>
                <w:szCs w:val="22"/>
              </w:rPr>
            </w:pPr>
            <w:r w:rsidRPr="001B669F">
              <w:rPr>
                <w:rFonts w:ascii="Times New Roman" w:hAnsi="Times New Roman" w:cs="Times New Roman"/>
                <w:b/>
                <w:sz w:val="22"/>
                <w:szCs w:val="22"/>
              </w:rPr>
              <w:t>BALANCE</w:t>
            </w:r>
          </w:p>
        </w:tc>
        <w:tc>
          <w:tcPr>
            <w:tcW w:w="126" w:type="pct"/>
            <w:tcBorders>
              <w:top w:val="single" w:sz="4" w:space="0" w:color="auto"/>
              <w:bottom w:val="nil"/>
            </w:tcBorders>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Borders>
              <w:top w:val="nil"/>
              <w:bottom w:val="nil"/>
            </w:tcBorders>
          </w:tcPr>
          <w:p w:rsidR="00913796" w:rsidRPr="001B669F" w:rsidRDefault="00913796" w:rsidP="001B669F">
            <w:pPr>
              <w:jc w:val="both"/>
              <w:rPr>
                <w:rFonts w:ascii="Times New Roman" w:hAnsi="Times New Roman" w:cs="Times New Roman"/>
                <w:sz w:val="22"/>
                <w:szCs w:val="22"/>
              </w:rPr>
            </w:pPr>
          </w:p>
        </w:tc>
        <w:tc>
          <w:tcPr>
            <w:tcW w:w="2533" w:type="pct"/>
            <w:tcBorders>
              <w:top w:val="nil"/>
              <w:bottom w:val="nil"/>
            </w:tcBorders>
          </w:tcPr>
          <w:p w:rsidR="00913796" w:rsidRPr="001B669F" w:rsidRDefault="00913796" w:rsidP="001B669F">
            <w:pPr>
              <w:jc w:val="both"/>
              <w:rPr>
                <w:rFonts w:ascii="Times New Roman" w:hAnsi="Times New Roman" w:cs="Times New Roman"/>
                <w:b/>
                <w:sz w:val="22"/>
                <w:szCs w:val="22"/>
              </w:rPr>
            </w:pPr>
          </w:p>
        </w:tc>
        <w:tc>
          <w:tcPr>
            <w:tcW w:w="742" w:type="pct"/>
            <w:tcBorders>
              <w:top w:val="nil"/>
              <w:bottom w:val="nil"/>
            </w:tcBorders>
          </w:tcPr>
          <w:p w:rsidR="00913796" w:rsidRPr="001B669F" w:rsidRDefault="00913796" w:rsidP="001B669F">
            <w:pPr>
              <w:jc w:val="center"/>
              <w:rPr>
                <w:rFonts w:ascii="Times New Roman" w:hAnsi="Times New Roman" w:cs="Times New Roman"/>
                <w:b/>
                <w:sz w:val="22"/>
                <w:szCs w:val="22"/>
              </w:rPr>
            </w:pPr>
            <w:r w:rsidRPr="001B669F">
              <w:rPr>
                <w:rFonts w:ascii="Times New Roman" w:hAnsi="Times New Roman" w:cs="Times New Roman"/>
                <w:b/>
                <w:sz w:val="22"/>
                <w:szCs w:val="22"/>
              </w:rPr>
              <w:t>PER</w:t>
            </w:r>
          </w:p>
        </w:tc>
        <w:tc>
          <w:tcPr>
            <w:tcW w:w="646" w:type="pct"/>
            <w:tcBorders>
              <w:top w:val="nil"/>
              <w:bottom w:val="nil"/>
            </w:tcBorders>
          </w:tcPr>
          <w:p w:rsidR="00913796" w:rsidRPr="001B669F" w:rsidRDefault="00D967A0" w:rsidP="001B669F">
            <w:pPr>
              <w:jc w:val="center"/>
              <w:rPr>
                <w:rFonts w:ascii="Times New Roman" w:hAnsi="Times New Roman" w:cs="Times New Roman"/>
                <w:b/>
                <w:sz w:val="22"/>
                <w:szCs w:val="22"/>
              </w:rPr>
            </w:pPr>
            <w:r>
              <w:rPr>
                <w:rFonts w:ascii="Times New Roman" w:hAnsi="Times New Roman" w:cs="Times New Roman"/>
                <w:b/>
                <w:sz w:val="22"/>
                <w:szCs w:val="22"/>
              </w:rPr>
              <w:t>COMM.</w:t>
            </w:r>
          </w:p>
        </w:tc>
        <w:tc>
          <w:tcPr>
            <w:tcW w:w="743" w:type="pct"/>
            <w:tcBorders>
              <w:top w:val="nil"/>
              <w:bottom w:val="nil"/>
            </w:tcBorders>
          </w:tcPr>
          <w:p w:rsidR="00913796" w:rsidRPr="001B669F" w:rsidRDefault="00913796" w:rsidP="001B669F">
            <w:pPr>
              <w:jc w:val="center"/>
              <w:rPr>
                <w:rFonts w:ascii="Times New Roman" w:hAnsi="Times New Roman" w:cs="Times New Roman"/>
                <w:b/>
                <w:sz w:val="22"/>
                <w:szCs w:val="22"/>
              </w:rPr>
            </w:pPr>
            <w:r w:rsidRPr="001B669F">
              <w:rPr>
                <w:rFonts w:ascii="Times New Roman" w:hAnsi="Times New Roman" w:cs="Times New Roman"/>
                <w:b/>
                <w:sz w:val="22"/>
                <w:szCs w:val="22"/>
              </w:rPr>
              <w:t>PER</w:t>
            </w:r>
          </w:p>
        </w:tc>
        <w:tc>
          <w:tcPr>
            <w:tcW w:w="126" w:type="pct"/>
            <w:tcBorders>
              <w:top w:val="nil"/>
              <w:bottom w:val="nil"/>
            </w:tcBorders>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Borders>
              <w:top w:val="nil"/>
              <w:bottom w:val="single" w:sz="4" w:space="0" w:color="auto"/>
            </w:tcBorders>
          </w:tcPr>
          <w:p w:rsidR="00913796" w:rsidRPr="001B669F" w:rsidRDefault="00913796" w:rsidP="001B669F">
            <w:pPr>
              <w:jc w:val="both"/>
              <w:rPr>
                <w:rFonts w:ascii="Times New Roman" w:hAnsi="Times New Roman" w:cs="Times New Roman"/>
                <w:sz w:val="22"/>
                <w:szCs w:val="22"/>
              </w:rPr>
            </w:pPr>
          </w:p>
        </w:tc>
        <w:tc>
          <w:tcPr>
            <w:tcW w:w="2533" w:type="pct"/>
            <w:tcBorders>
              <w:top w:val="nil"/>
              <w:bottom w:val="single" w:sz="4" w:space="0" w:color="auto"/>
            </w:tcBorders>
          </w:tcPr>
          <w:p w:rsidR="00913796" w:rsidRPr="001B669F" w:rsidRDefault="00913796" w:rsidP="001B669F">
            <w:pPr>
              <w:jc w:val="both"/>
              <w:rPr>
                <w:rFonts w:ascii="Times New Roman" w:hAnsi="Times New Roman" w:cs="Times New Roman"/>
                <w:b/>
                <w:sz w:val="22"/>
                <w:szCs w:val="22"/>
              </w:rPr>
            </w:pPr>
            <w:r w:rsidRPr="001B669F">
              <w:rPr>
                <w:rFonts w:ascii="Times New Roman" w:hAnsi="Times New Roman" w:cs="Times New Roman"/>
                <w:b/>
                <w:sz w:val="22"/>
                <w:szCs w:val="22"/>
              </w:rPr>
              <w:t>DESCRIPTION</w:t>
            </w:r>
          </w:p>
        </w:tc>
        <w:tc>
          <w:tcPr>
            <w:tcW w:w="742" w:type="pct"/>
            <w:tcBorders>
              <w:top w:val="nil"/>
              <w:bottom w:val="single" w:sz="4" w:space="0" w:color="auto"/>
            </w:tcBorders>
          </w:tcPr>
          <w:p w:rsidR="00913796" w:rsidRPr="001B669F" w:rsidRDefault="00913796" w:rsidP="001B669F">
            <w:pPr>
              <w:jc w:val="center"/>
              <w:rPr>
                <w:rFonts w:ascii="Times New Roman" w:hAnsi="Times New Roman" w:cs="Times New Roman"/>
                <w:b/>
                <w:sz w:val="22"/>
                <w:szCs w:val="22"/>
              </w:rPr>
            </w:pPr>
            <w:r w:rsidRPr="001B669F">
              <w:rPr>
                <w:rFonts w:ascii="Times New Roman" w:hAnsi="Times New Roman" w:cs="Times New Roman"/>
                <w:b/>
                <w:sz w:val="22"/>
                <w:szCs w:val="22"/>
              </w:rPr>
              <w:t>UTILITY</w:t>
            </w:r>
          </w:p>
        </w:tc>
        <w:tc>
          <w:tcPr>
            <w:tcW w:w="646" w:type="pct"/>
            <w:tcBorders>
              <w:top w:val="nil"/>
              <w:bottom w:val="single" w:sz="4" w:space="0" w:color="auto"/>
            </w:tcBorders>
          </w:tcPr>
          <w:p w:rsidR="00913796" w:rsidRPr="001B669F" w:rsidRDefault="00913796" w:rsidP="001B669F">
            <w:pPr>
              <w:jc w:val="center"/>
              <w:rPr>
                <w:rFonts w:ascii="Times New Roman" w:hAnsi="Times New Roman" w:cs="Times New Roman"/>
                <w:b/>
                <w:sz w:val="22"/>
                <w:szCs w:val="22"/>
              </w:rPr>
            </w:pPr>
            <w:r w:rsidRPr="001B669F">
              <w:rPr>
                <w:rFonts w:ascii="Times New Roman" w:hAnsi="Times New Roman" w:cs="Times New Roman"/>
                <w:b/>
                <w:sz w:val="22"/>
                <w:szCs w:val="22"/>
              </w:rPr>
              <w:t>ADJUST.</w:t>
            </w:r>
          </w:p>
        </w:tc>
        <w:tc>
          <w:tcPr>
            <w:tcW w:w="743" w:type="pct"/>
            <w:tcBorders>
              <w:top w:val="nil"/>
              <w:bottom w:val="single" w:sz="4" w:space="0" w:color="auto"/>
            </w:tcBorders>
          </w:tcPr>
          <w:p w:rsidR="00913796" w:rsidRPr="001B669F" w:rsidRDefault="00D967A0" w:rsidP="001B669F">
            <w:pPr>
              <w:jc w:val="center"/>
              <w:rPr>
                <w:rFonts w:ascii="Times New Roman" w:hAnsi="Times New Roman" w:cs="Times New Roman"/>
                <w:b/>
                <w:sz w:val="22"/>
                <w:szCs w:val="22"/>
              </w:rPr>
            </w:pPr>
            <w:r>
              <w:rPr>
                <w:rFonts w:ascii="Times New Roman" w:hAnsi="Times New Roman" w:cs="Times New Roman"/>
                <w:b/>
                <w:sz w:val="22"/>
                <w:szCs w:val="22"/>
              </w:rPr>
              <w:t>COMM.</w:t>
            </w:r>
          </w:p>
        </w:tc>
        <w:tc>
          <w:tcPr>
            <w:tcW w:w="126" w:type="pct"/>
            <w:tcBorders>
              <w:top w:val="nil"/>
              <w:bottom w:val="single" w:sz="4" w:space="0" w:color="auto"/>
            </w:tcBorders>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60"/>
        </w:trPr>
        <w:tc>
          <w:tcPr>
            <w:tcW w:w="210" w:type="pct"/>
            <w:tcBorders>
              <w:top w:val="single" w:sz="4" w:space="0" w:color="auto"/>
            </w:tcBorders>
          </w:tcPr>
          <w:p w:rsidR="00913796" w:rsidRPr="001B669F" w:rsidRDefault="00913796" w:rsidP="001B669F">
            <w:pPr>
              <w:jc w:val="both"/>
              <w:rPr>
                <w:rFonts w:ascii="Times New Roman" w:hAnsi="Times New Roman" w:cs="Times New Roman"/>
                <w:sz w:val="22"/>
                <w:szCs w:val="22"/>
              </w:rPr>
            </w:pPr>
          </w:p>
        </w:tc>
        <w:tc>
          <w:tcPr>
            <w:tcW w:w="2533" w:type="pct"/>
            <w:tcBorders>
              <w:top w:val="single" w:sz="4" w:space="0" w:color="auto"/>
            </w:tcBorders>
          </w:tcPr>
          <w:p w:rsidR="00913796" w:rsidRPr="001B669F" w:rsidRDefault="00913796" w:rsidP="001B669F">
            <w:pPr>
              <w:jc w:val="both"/>
              <w:rPr>
                <w:rFonts w:ascii="Times New Roman" w:hAnsi="Times New Roman" w:cs="Times New Roman"/>
                <w:sz w:val="22"/>
                <w:szCs w:val="22"/>
              </w:rPr>
            </w:pPr>
          </w:p>
        </w:tc>
        <w:tc>
          <w:tcPr>
            <w:tcW w:w="742" w:type="pct"/>
            <w:tcBorders>
              <w:top w:val="single" w:sz="4" w:space="0" w:color="auto"/>
            </w:tcBorders>
          </w:tcPr>
          <w:p w:rsidR="00913796" w:rsidRPr="001B669F" w:rsidRDefault="00913796" w:rsidP="001B669F">
            <w:pPr>
              <w:jc w:val="both"/>
              <w:rPr>
                <w:rFonts w:ascii="Times New Roman" w:hAnsi="Times New Roman" w:cs="Times New Roman"/>
                <w:sz w:val="22"/>
                <w:szCs w:val="22"/>
              </w:rPr>
            </w:pPr>
          </w:p>
        </w:tc>
        <w:tc>
          <w:tcPr>
            <w:tcW w:w="646" w:type="pct"/>
            <w:tcBorders>
              <w:top w:val="single" w:sz="4" w:space="0" w:color="auto"/>
            </w:tcBorders>
          </w:tcPr>
          <w:p w:rsidR="00913796" w:rsidRPr="001B669F" w:rsidRDefault="00913796" w:rsidP="001B669F">
            <w:pPr>
              <w:jc w:val="both"/>
              <w:rPr>
                <w:rFonts w:ascii="Times New Roman" w:hAnsi="Times New Roman" w:cs="Times New Roman"/>
                <w:sz w:val="22"/>
                <w:szCs w:val="22"/>
              </w:rPr>
            </w:pPr>
          </w:p>
        </w:tc>
        <w:tc>
          <w:tcPr>
            <w:tcW w:w="743" w:type="pct"/>
            <w:tcBorders>
              <w:top w:val="single" w:sz="4" w:space="0" w:color="auto"/>
            </w:tcBorders>
          </w:tcPr>
          <w:p w:rsidR="00913796" w:rsidRPr="001B669F" w:rsidRDefault="00913796" w:rsidP="001B669F">
            <w:pPr>
              <w:jc w:val="both"/>
              <w:rPr>
                <w:rFonts w:ascii="Times New Roman" w:hAnsi="Times New Roman" w:cs="Times New Roman"/>
                <w:sz w:val="22"/>
                <w:szCs w:val="22"/>
              </w:rPr>
            </w:pPr>
          </w:p>
        </w:tc>
        <w:tc>
          <w:tcPr>
            <w:tcW w:w="126" w:type="pct"/>
            <w:tcBorders>
              <w:top w:val="single" w:sz="4" w:space="0" w:color="auto"/>
            </w:tcBorders>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1.</w:t>
            </w:r>
          </w:p>
        </w:tc>
        <w:tc>
          <w:tcPr>
            <w:tcW w:w="2533"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UTILITY PLANT IN SERVICE</w:t>
            </w:r>
          </w:p>
        </w:tc>
        <w:tc>
          <w:tcPr>
            <w:tcW w:w="742"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$366,405</w:t>
            </w:r>
          </w:p>
        </w:tc>
        <w:tc>
          <w:tcPr>
            <w:tcW w:w="646"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$1,614</w:t>
            </w:r>
          </w:p>
        </w:tc>
        <w:tc>
          <w:tcPr>
            <w:tcW w:w="743"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$368,019</w:t>
            </w: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p>
        </w:tc>
        <w:tc>
          <w:tcPr>
            <w:tcW w:w="2533" w:type="pct"/>
          </w:tcPr>
          <w:p w:rsidR="00913796" w:rsidRPr="001B669F" w:rsidRDefault="00913796" w:rsidP="001B669F">
            <w:pPr>
              <w:jc w:val="both"/>
              <w:rPr>
                <w:rFonts w:ascii="Times New Roman" w:hAnsi="Times New Roman" w:cs="Times New Roman"/>
                <w:sz w:val="22"/>
                <w:szCs w:val="22"/>
              </w:rPr>
            </w:pPr>
          </w:p>
        </w:tc>
        <w:tc>
          <w:tcPr>
            <w:tcW w:w="742" w:type="pct"/>
          </w:tcPr>
          <w:p w:rsidR="00913796" w:rsidRPr="001B669F" w:rsidRDefault="00913796" w:rsidP="001B669F">
            <w:pPr>
              <w:jc w:val="right"/>
              <w:rPr>
                <w:rFonts w:ascii="Times New Roman" w:hAnsi="Times New Roman" w:cs="Times New Roman"/>
                <w:sz w:val="22"/>
                <w:szCs w:val="22"/>
              </w:rPr>
            </w:pPr>
          </w:p>
        </w:tc>
        <w:tc>
          <w:tcPr>
            <w:tcW w:w="646" w:type="pct"/>
          </w:tcPr>
          <w:p w:rsidR="00913796" w:rsidRPr="001B669F" w:rsidRDefault="00913796" w:rsidP="001B669F">
            <w:pPr>
              <w:jc w:val="right"/>
              <w:rPr>
                <w:rFonts w:ascii="Times New Roman" w:hAnsi="Times New Roman" w:cs="Times New Roman"/>
                <w:sz w:val="22"/>
                <w:szCs w:val="22"/>
              </w:rPr>
            </w:pPr>
          </w:p>
        </w:tc>
        <w:tc>
          <w:tcPr>
            <w:tcW w:w="743" w:type="pct"/>
          </w:tcPr>
          <w:p w:rsidR="00913796" w:rsidRPr="001B669F" w:rsidRDefault="00913796" w:rsidP="001B669F">
            <w:pPr>
              <w:jc w:val="right"/>
              <w:rPr>
                <w:rFonts w:ascii="Times New Roman" w:hAnsi="Times New Roman" w:cs="Times New Roman"/>
                <w:sz w:val="22"/>
                <w:szCs w:val="22"/>
              </w:rPr>
            </w:pP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2.</w:t>
            </w:r>
          </w:p>
        </w:tc>
        <w:tc>
          <w:tcPr>
            <w:tcW w:w="2533"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LAND &amp; LAND RIGHTS</w:t>
            </w:r>
          </w:p>
        </w:tc>
        <w:tc>
          <w:tcPr>
            <w:tcW w:w="742"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30,000</w:t>
            </w:r>
          </w:p>
        </w:tc>
        <w:tc>
          <w:tcPr>
            <w:tcW w:w="646"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0</w:t>
            </w:r>
          </w:p>
        </w:tc>
        <w:tc>
          <w:tcPr>
            <w:tcW w:w="743"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30,000</w:t>
            </w: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p>
        </w:tc>
        <w:tc>
          <w:tcPr>
            <w:tcW w:w="2533" w:type="pct"/>
          </w:tcPr>
          <w:p w:rsidR="00913796" w:rsidRPr="001B669F" w:rsidRDefault="00913796" w:rsidP="001B669F">
            <w:pPr>
              <w:jc w:val="both"/>
              <w:rPr>
                <w:rFonts w:ascii="Times New Roman" w:hAnsi="Times New Roman" w:cs="Times New Roman"/>
                <w:sz w:val="22"/>
                <w:szCs w:val="22"/>
              </w:rPr>
            </w:pPr>
          </w:p>
        </w:tc>
        <w:tc>
          <w:tcPr>
            <w:tcW w:w="742" w:type="pct"/>
          </w:tcPr>
          <w:p w:rsidR="00913796" w:rsidRPr="001B669F" w:rsidRDefault="00913796" w:rsidP="001B669F">
            <w:pPr>
              <w:jc w:val="right"/>
              <w:rPr>
                <w:rFonts w:ascii="Times New Roman" w:hAnsi="Times New Roman" w:cs="Times New Roman"/>
                <w:sz w:val="22"/>
                <w:szCs w:val="22"/>
              </w:rPr>
            </w:pPr>
          </w:p>
        </w:tc>
        <w:tc>
          <w:tcPr>
            <w:tcW w:w="646" w:type="pct"/>
          </w:tcPr>
          <w:p w:rsidR="00913796" w:rsidRPr="001B669F" w:rsidRDefault="00913796" w:rsidP="001B669F">
            <w:pPr>
              <w:jc w:val="right"/>
              <w:rPr>
                <w:rFonts w:ascii="Times New Roman" w:hAnsi="Times New Roman" w:cs="Times New Roman"/>
                <w:sz w:val="22"/>
                <w:szCs w:val="22"/>
              </w:rPr>
            </w:pPr>
          </w:p>
        </w:tc>
        <w:tc>
          <w:tcPr>
            <w:tcW w:w="743" w:type="pct"/>
          </w:tcPr>
          <w:p w:rsidR="00913796" w:rsidRPr="001B669F" w:rsidRDefault="00913796" w:rsidP="001B669F">
            <w:pPr>
              <w:jc w:val="right"/>
              <w:rPr>
                <w:rFonts w:ascii="Times New Roman" w:hAnsi="Times New Roman" w:cs="Times New Roman"/>
                <w:sz w:val="22"/>
                <w:szCs w:val="22"/>
              </w:rPr>
            </w:pP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60"/>
        </w:trPr>
        <w:tc>
          <w:tcPr>
            <w:tcW w:w="210"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3.</w:t>
            </w:r>
          </w:p>
        </w:tc>
        <w:tc>
          <w:tcPr>
            <w:tcW w:w="2533"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ACCUMULATED DEPRECIATION</w:t>
            </w:r>
          </w:p>
        </w:tc>
        <w:tc>
          <w:tcPr>
            <w:tcW w:w="742"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(123,119)</w:t>
            </w:r>
          </w:p>
        </w:tc>
        <w:tc>
          <w:tcPr>
            <w:tcW w:w="646"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12,474</w:t>
            </w:r>
          </w:p>
        </w:tc>
        <w:tc>
          <w:tcPr>
            <w:tcW w:w="743"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(110,645)</w:t>
            </w: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p>
        </w:tc>
        <w:tc>
          <w:tcPr>
            <w:tcW w:w="2533" w:type="pct"/>
          </w:tcPr>
          <w:p w:rsidR="00913796" w:rsidRPr="001B669F" w:rsidRDefault="00913796" w:rsidP="001B669F">
            <w:pPr>
              <w:jc w:val="both"/>
              <w:rPr>
                <w:rFonts w:ascii="Times New Roman" w:hAnsi="Times New Roman" w:cs="Times New Roman"/>
                <w:sz w:val="22"/>
                <w:szCs w:val="22"/>
              </w:rPr>
            </w:pPr>
          </w:p>
        </w:tc>
        <w:tc>
          <w:tcPr>
            <w:tcW w:w="742" w:type="pct"/>
          </w:tcPr>
          <w:p w:rsidR="00913796" w:rsidRPr="001B669F" w:rsidRDefault="00913796" w:rsidP="001B669F">
            <w:pPr>
              <w:jc w:val="right"/>
              <w:rPr>
                <w:rFonts w:ascii="Times New Roman" w:hAnsi="Times New Roman" w:cs="Times New Roman"/>
                <w:sz w:val="22"/>
                <w:szCs w:val="22"/>
              </w:rPr>
            </w:pPr>
          </w:p>
        </w:tc>
        <w:tc>
          <w:tcPr>
            <w:tcW w:w="646" w:type="pct"/>
          </w:tcPr>
          <w:p w:rsidR="00913796" w:rsidRPr="001B669F" w:rsidRDefault="00913796" w:rsidP="001B669F">
            <w:pPr>
              <w:jc w:val="right"/>
              <w:rPr>
                <w:rFonts w:ascii="Times New Roman" w:hAnsi="Times New Roman" w:cs="Times New Roman"/>
                <w:sz w:val="22"/>
                <w:szCs w:val="22"/>
              </w:rPr>
            </w:pPr>
          </w:p>
        </w:tc>
        <w:tc>
          <w:tcPr>
            <w:tcW w:w="743" w:type="pct"/>
          </w:tcPr>
          <w:p w:rsidR="00913796" w:rsidRPr="001B669F" w:rsidRDefault="00913796" w:rsidP="001B669F">
            <w:pPr>
              <w:jc w:val="right"/>
              <w:rPr>
                <w:rFonts w:ascii="Times New Roman" w:hAnsi="Times New Roman" w:cs="Times New Roman"/>
                <w:sz w:val="22"/>
                <w:szCs w:val="22"/>
              </w:rPr>
            </w:pP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4.</w:t>
            </w:r>
          </w:p>
        </w:tc>
        <w:tc>
          <w:tcPr>
            <w:tcW w:w="2533"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CIAC</w:t>
            </w:r>
          </w:p>
        </w:tc>
        <w:tc>
          <w:tcPr>
            <w:tcW w:w="742"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(10,165)</w:t>
            </w:r>
          </w:p>
        </w:tc>
        <w:tc>
          <w:tcPr>
            <w:tcW w:w="646"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1,083</w:t>
            </w:r>
          </w:p>
        </w:tc>
        <w:tc>
          <w:tcPr>
            <w:tcW w:w="743"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(9,083)</w:t>
            </w: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p>
        </w:tc>
        <w:tc>
          <w:tcPr>
            <w:tcW w:w="2533" w:type="pct"/>
          </w:tcPr>
          <w:p w:rsidR="00913796" w:rsidRPr="001B669F" w:rsidRDefault="00913796" w:rsidP="001B669F">
            <w:pPr>
              <w:jc w:val="both"/>
              <w:rPr>
                <w:rFonts w:ascii="Times New Roman" w:hAnsi="Times New Roman" w:cs="Times New Roman"/>
                <w:sz w:val="22"/>
                <w:szCs w:val="22"/>
              </w:rPr>
            </w:pPr>
          </w:p>
        </w:tc>
        <w:tc>
          <w:tcPr>
            <w:tcW w:w="742" w:type="pct"/>
          </w:tcPr>
          <w:p w:rsidR="00913796" w:rsidRPr="001B669F" w:rsidRDefault="00913796" w:rsidP="001B669F">
            <w:pPr>
              <w:jc w:val="right"/>
              <w:rPr>
                <w:rFonts w:ascii="Times New Roman" w:hAnsi="Times New Roman" w:cs="Times New Roman"/>
                <w:sz w:val="22"/>
                <w:szCs w:val="22"/>
              </w:rPr>
            </w:pPr>
          </w:p>
        </w:tc>
        <w:tc>
          <w:tcPr>
            <w:tcW w:w="646" w:type="pct"/>
          </w:tcPr>
          <w:p w:rsidR="00913796" w:rsidRPr="001B669F" w:rsidRDefault="00913796" w:rsidP="001B669F">
            <w:pPr>
              <w:jc w:val="right"/>
              <w:rPr>
                <w:rFonts w:ascii="Times New Roman" w:hAnsi="Times New Roman" w:cs="Times New Roman"/>
                <w:sz w:val="22"/>
                <w:szCs w:val="22"/>
              </w:rPr>
            </w:pPr>
          </w:p>
        </w:tc>
        <w:tc>
          <w:tcPr>
            <w:tcW w:w="743" w:type="pct"/>
          </w:tcPr>
          <w:p w:rsidR="00913796" w:rsidRPr="001B669F" w:rsidRDefault="00913796" w:rsidP="001B669F">
            <w:pPr>
              <w:jc w:val="right"/>
              <w:rPr>
                <w:rFonts w:ascii="Times New Roman" w:hAnsi="Times New Roman" w:cs="Times New Roman"/>
                <w:sz w:val="22"/>
                <w:szCs w:val="22"/>
              </w:rPr>
            </w:pP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5.</w:t>
            </w:r>
          </w:p>
        </w:tc>
        <w:tc>
          <w:tcPr>
            <w:tcW w:w="2533"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ACCUMULATED AMORTIZATION OF CIAC</w:t>
            </w:r>
          </w:p>
        </w:tc>
        <w:tc>
          <w:tcPr>
            <w:tcW w:w="742"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846</w:t>
            </w:r>
          </w:p>
        </w:tc>
        <w:tc>
          <w:tcPr>
            <w:tcW w:w="646"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(167)</w:t>
            </w:r>
          </w:p>
        </w:tc>
        <w:tc>
          <w:tcPr>
            <w:tcW w:w="743"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680</w:t>
            </w: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p>
        </w:tc>
        <w:tc>
          <w:tcPr>
            <w:tcW w:w="2533" w:type="pct"/>
          </w:tcPr>
          <w:p w:rsidR="00913796" w:rsidRPr="001B669F" w:rsidRDefault="00913796" w:rsidP="001B669F">
            <w:pPr>
              <w:jc w:val="both"/>
              <w:rPr>
                <w:rFonts w:ascii="Times New Roman" w:hAnsi="Times New Roman" w:cs="Times New Roman"/>
                <w:sz w:val="22"/>
                <w:szCs w:val="22"/>
              </w:rPr>
            </w:pPr>
          </w:p>
        </w:tc>
        <w:tc>
          <w:tcPr>
            <w:tcW w:w="742" w:type="pct"/>
          </w:tcPr>
          <w:p w:rsidR="00913796" w:rsidRPr="001B669F" w:rsidRDefault="00913796" w:rsidP="001B669F">
            <w:pPr>
              <w:jc w:val="right"/>
              <w:rPr>
                <w:rFonts w:ascii="Times New Roman" w:hAnsi="Times New Roman" w:cs="Times New Roman"/>
                <w:sz w:val="22"/>
                <w:szCs w:val="22"/>
              </w:rPr>
            </w:pPr>
          </w:p>
        </w:tc>
        <w:tc>
          <w:tcPr>
            <w:tcW w:w="646" w:type="pct"/>
          </w:tcPr>
          <w:p w:rsidR="00913796" w:rsidRPr="001B669F" w:rsidRDefault="00913796" w:rsidP="001B669F">
            <w:pPr>
              <w:jc w:val="right"/>
              <w:rPr>
                <w:rFonts w:ascii="Times New Roman" w:hAnsi="Times New Roman" w:cs="Times New Roman"/>
                <w:sz w:val="22"/>
                <w:szCs w:val="22"/>
              </w:rPr>
            </w:pPr>
          </w:p>
        </w:tc>
        <w:tc>
          <w:tcPr>
            <w:tcW w:w="743" w:type="pct"/>
          </w:tcPr>
          <w:p w:rsidR="00913796" w:rsidRPr="001B669F" w:rsidRDefault="00913796" w:rsidP="001B669F">
            <w:pPr>
              <w:jc w:val="right"/>
              <w:rPr>
                <w:rFonts w:ascii="Times New Roman" w:hAnsi="Times New Roman" w:cs="Times New Roman"/>
                <w:sz w:val="22"/>
                <w:szCs w:val="22"/>
              </w:rPr>
            </w:pP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60"/>
        </w:trPr>
        <w:tc>
          <w:tcPr>
            <w:tcW w:w="210"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6.</w:t>
            </w:r>
          </w:p>
        </w:tc>
        <w:tc>
          <w:tcPr>
            <w:tcW w:w="2533"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ACQUISITION ADJUSTMENT (NET)</w:t>
            </w:r>
          </w:p>
        </w:tc>
        <w:tc>
          <w:tcPr>
            <w:tcW w:w="742"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(47,985)</w:t>
            </w:r>
          </w:p>
        </w:tc>
        <w:tc>
          <w:tcPr>
            <w:tcW w:w="646"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1,127</w:t>
            </w:r>
          </w:p>
        </w:tc>
        <w:tc>
          <w:tcPr>
            <w:tcW w:w="743" w:type="pct"/>
          </w:tcPr>
          <w:p w:rsidR="00913796" w:rsidRPr="001B669F" w:rsidRDefault="00913796" w:rsidP="001B669F">
            <w:pPr>
              <w:jc w:val="right"/>
              <w:rPr>
                <w:rFonts w:ascii="Times New Roman" w:hAnsi="Times New Roman" w:cs="Times New Roman"/>
                <w:sz w:val="22"/>
                <w:szCs w:val="22"/>
              </w:rPr>
            </w:pPr>
            <w:r w:rsidRPr="001B669F">
              <w:rPr>
                <w:rFonts w:ascii="Times New Roman" w:hAnsi="Times New Roman" w:cs="Times New Roman"/>
                <w:sz w:val="22"/>
                <w:szCs w:val="22"/>
              </w:rPr>
              <w:t>(46,858)</w:t>
            </w: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60"/>
        </w:trPr>
        <w:tc>
          <w:tcPr>
            <w:tcW w:w="210" w:type="pct"/>
          </w:tcPr>
          <w:p w:rsidR="00913796" w:rsidRPr="001B669F" w:rsidRDefault="00913796" w:rsidP="001B669F">
            <w:pPr>
              <w:jc w:val="both"/>
              <w:rPr>
                <w:rFonts w:ascii="Times New Roman" w:hAnsi="Times New Roman" w:cs="Times New Roman"/>
                <w:sz w:val="22"/>
                <w:szCs w:val="22"/>
              </w:rPr>
            </w:pPr>
          </w:p>
        </w:tc>
        <w:tc>
          <w:tcPr>
            <w:tcW w:w="2533" w:type="pct"/>
          </w:tcPr>
          <w:p w:rsidR="00913796" w:rsidRPr="001B669F" w:rsidRDefault="00913796" w:rsidP="001B669F">
            <w:pPr>
              <w:jc w:val="both"/>
              <w:rPr>
                <w:rFonts w:ascii="Times New Roman" w:hAnsi="Times New Roman" w:cs="Times New Roman"/>
                <w:sz w:val="22"/>
                <w:szCs w:val="22"/>
              </w:rPr>
            </w:pPr>
          </w:p>
        </w:tc>
        <w:tc>
          <w:tcPr>
            <w:tcW w:w="742" w:type="pct"/>
          </w:tcPr>
          <w:p w:rsidR="00913796" w:rsidRPr="001B669F" w:rsidRDefault="00913796" w:rsidP="001B669F">
            <w:pPr>
              <w:jc w:val="right"/>
              <w:rPr>
                <w:rFonts w:ascii="Times New Roman" w:hAnsi="Times New Roman" w:cs="Times New Roman"/>
                <w:sz w:val="22"/>
                <w:szCs w:val="22"/>
              </w:rPr>
            </w:pPr>
          </w:p>
        </w:tc>
        <w:tc>
          <w:tcPr>
            <w:tcW w:w="646" w:type="pct"/>
          </w:tcPr>
          <w:p w:rsidR="00913796" w:rsidRPr="001B669F" w:rsidRDefault="00913796" w:rsidP="001B669F">
            <w:pPr>
              <w:jc w:val="right"/>
              <w:rPr>
                <w:rFonts w:ascii="Times New Roman" w:hAnsi="Times New Roman" w:cs="Times New Roman"/>
                <w:sz w:val="22"/>
                <w:szCs w:val="22"/>
              </w:rPr>
            </w:pPr>
          </w:p>
        </w:tc>
        <w:tc>
          <w:tcPr>
            <w:tcW w:w="743" w:type="pct"/>
          </w:tcPr>
          <w:p w:rsidR="00913796" w:rsidRPr="001B669F" w:rsidRDefault="00913796" w:rsidP="001B669F">
            <w:pPr>
              <w:jc w:val="right"/>
              <w:rPr>
                <w:rFonts w:ascii="Times New Roman" w:hAnsi="Times New Roman" w:cs="Times New Roman"/>
                <w:sz w:val="22"/>
                <w:szCs w:val="22"/>
              </w:rPr>
            </w:pP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60"/>
        </w:trPr>
        <w:tc>
          <w:tcPr>
            <w:tcW w:w="210"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7.</w:t>
            </w:r>
          </w:p>
        </w:tc>
        <w:tc>
          <w:tcPr>
            <w:tcW w:w="2533"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WORKING CAPITAL ALLOWANCE</w:t>
            </w:r>
          </w:p>
        </w:tc>
        <w:tc>
          <w:tcPr>
            <w:tcW w:w="742" w:type="pct"/>
          </w:tcPr>
          <w:p w:rsidR="00913796" w:rsidRPr="001B669F" w:rsidRDefault="00913796" w:rsidP="001B669F">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0</w:t>
            </w:r>
          </w:p>
        </w:tc>
        <w:tc>
          <w:tcPr>
            <w:tcW w:w="646" w:type="pct"/>
          </w:tcPr>
          <w:p w:rsidR="00913796" w:rsidRPr="001B669F" w:rsidRDefault="00913796" w:rsidP="001B669F">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4,032</w:t>
            </w:r>
          </w:p>
        </w:tc>
        <w:tc>
          <w:tcPr>
            <w:tcW w:w="743" w:type="pct"/>
          </w:tcPr>
          <w:p w:rsidR="00913796" w:rsidRPr="001B669F" w:rsidRDefault="00913796" w:rsidP="001B669F">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4,032</w:t>
            </w: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60"/>
        </w:trPr>
        <w:tc>
          <w:tcPr>
            <w:tcW w:w="210" w:type="pct"/>
          </w:tcPr>
          <w:p w:rsidR="00913796" w:rsidRPr="001B669F" w:rsidRDefault="00913796" w:rsidP="001B669F">
            <w:pPr>
              <w:jc w:val="both"/>
              <w:rPr>
                <w:rFonts w:ascii="Times New Roman" w:hAnsi="Times New Roman" w:cs="Times New Roman"/>
                <w:sz w:val="22"/>
                <w:szCs w:val="22"/>
              </w:rPr>
            </w:pPr>
          </w:p>
        </w:tc>
        <w:tc>
          <w:tcPr>
            <w:tcW w:w="2533" w:type="pct"/>
          </w:tcPr>
          <w:p w:rsidR="00913796" w:rsidRPr="001B669F" w:rsidRDefault="00913796" w:rsidP="001B669F">
            <w:pPr>
              <w:jc w:val="both"/>
              <w:rPr>
                <w:rFonts w:ascii="Times New Roman" w:hAnsi="Times New Roman" w:cs="Times New Roman"/>
                <w:sz w:val="22"/>
                <w:szCs w:val="22"/>
              </w:rPr>
            </w:pPr>
          </w:p>
        </w:tc>
        <w:tc>
          <w:tcPr>
            <w:tcW w:w="742" w:type="pct"/>
          </w:tcPr>
          <w:p w:rsidR="00913796" w:rsidRPr="001B669F" w:rsidRDefault="00913796" w:rsidP="001B669F">
            <w:pPr>
              <w:jc w:val="right"/>
              <w:rPr>
                <w:rFonts w:ascii="Times New Roman" w:hAnsi="Times New Roman" w:cs="Times New Roman"/>
                <w:sz w:val="22"/>
                <w:szCs w:val="22"/>
              </w:rPr>
            </w:pPr>
          </w:p>
        </w:tc>
        <w:tc>
          <w:tcPr>
            <w:tcW w:w="646" w:type="pct"/>
          </w:tcPr>
          <w:p w:rsidR="00913796" w:rsidRPr="001B669F" w:rsidRDefault="00913796" w:rsidP="001B669F">
            <w:pPr>
              <w:jc w:val="right"/>
              <w:rPr>
                <w:rFonts w:ascii="Times New Roman" w:hAnsi="Times New Roman" w:cs="Times New Roman"/>
                <w:sz w:val="22"/>
                <w:szCs w:val="22"/>
              </w:rPr>
            </w:pPr>
          </w:p>
        </w:tc>
        <w:tc>
          <w:tcPr>
            <w:tcW w:w="743" w:type="pct"/>
          </w:tcPr>
          <w:p w:rsidR="00913796" w:rsidRPr="001B669F" w:rsidRDefault="00913796" w:rsidP="001B669F">
            <w:pPr>
              <w:jc w:val="right"/>
              <w:rPr>
                <w:rFonts w:ascii="Times New Roman" w:hAnsi="Times New Roman" w:cs="Times New Roman"/>
                <w:sz w:val="22"/>
                <w:szCs w:val="22"/>
              </w:rPr>
            </w:pP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8.</w:t>
            </w:r>
          </w:p>
        </w:tc>
        <w:tc>
          <w:tcPr>
            <w:tcW w:w="2533" w:type="pct"/>
          </w:tcPr>
          <w:p w:rsidR="00913796" w:rsidRPr="001B669F" w:rsidRDefault="00913796" w:rsidP="001B669F">
            <w:pPr>
              <w:jc w:val="both"/>
              <w:rPr>
                <w:rFonts w:ascii="Times New Roman" w:hAnsi="Times New Roman" w:cs="Times New Roman"/>
                <w:sz w:val="22"/>
                <w:szCs w:val="22"/>
              </w:rPr>
            </w:pPr>
            <w:r w:rsidRPr="001B669F">
              <w:rPr>
                <w:rFonts w:ascii="Times New Roman" w:hAnsi="Times New Roman" w:cs="Times New Roman"/>
                <w:sz w:val="22"/>
                <w:szCs w:val="22"/>
              </w:rPr>
              <w:t>WATER RATE BASE</w:t>
            </w:r>
          </w:p>
        </w:tc>
        <w:tc>
          <w:tcPr>
            <w:tcW w:w="742" w:type="pct"/>
          </w:tcPr>
          <w:p w:rsidR="00913796" w:rsidRPr="001B669F" w:rsidRDefault="00913796" w:rsidP="001B669F">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$215,982</w:t>
            </w:r>
          </w:p>
        </w:tc>
        <w:tc>
          <w:tcPr>
            <w:tcW w:w="646" w:type="pct"/>
          </w:tcPr>
          <w:p w:rsidR="00913796" w:rsidRPr="001B669F" w:rsidRDefault="00913796" w:rsidP="001B669F">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$20,164</w:t>
            </w:r>
          </w:p>
        </w:tc>
        <w:tc>
          <w:tcPr>
            <w:tcW w:w="743" w:type="pct"/>
          </w:tcPr>
          <w:p w:rsidR="00913796" w:rsidRPr="001B669F" w:rsidRDefault="00913796" w:rsidP="001B669F">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$236,146</w:t>
            </w:r>
          </w:p>
        </w:tc>
        <w:tc>
          <w:tcPr>
            <w:tcW w:w="126" w:type="pct"/>
          </w:tcPr>
          <w:p w:rsidR="00913796" w:rsidRPr="001B669F" w:rsidRDefault="00913796" w:rsidP="001B669F">
            <w:pPr>
              <w:jc w:val="both"/>
              <w:rPr>
                <w:rFonts w:ascii="Times New Roman" w:hAnsi="Times New Roman" w:cs="Times New Roman"/>
                <w:sz w:val="22"/>
                <w:szCs w:val="22"/>
              </w:rPr>
            </w:pPr>
          </w:p>
        </w:tc>
      </w:tr>
      <w:tr w:rsidR="00913796" w:rsidRPr="001B669F" w:rsidTr="001B669F">
        <w:trPr>
          <w:trHeight w:val="277"/>
        </w:trPr>
        <w:tc>
          <w:tcPr>
            <w:tcW w:w="210" w:type="pct"/>
          </w:tcPr>
          <w:p w:rsidR="00913796" w:rsidRPr="001B669F" w:rsidRDefault="00913796" w:rsidP="001B669F">
            <w:pPr>
              <w:jc w:val="both"/>
              <w:rPr>
                <w:rFonts w:ascii="Times New Roman" w:hAnsi="Times New Roman" w:cs="Times New Roman"/>
                <w:sz w:val="22"/>
                <w:szCs w:val="22"/>
              </w:rPr>
            </w:pPr>
          </w:p>
        </w:tc>
        <w:tc>
          <w:tcPr>
            <w:tcW w:w="2533" w:type="pct"/>
          </w:tcPr>
          <w:p w:rsidR="00913796" w:rsidRPr="001B669F" w:rsidRDefault="00913796" w:rsidP="001B669F">
            <w:pPr>
              <w:jc w:val="both"/>
              <w:rPr>
                <w:rFonts w:ascii="Times New Roman" w:hAnsi="Times New Roman" w:cs="Times New Roman"/>
                <w:sz w:val="22"/>
                <w:szCs w:val="22"/>
              </w:rPr>
            </w:pPr>
          </w:p>
        </w:tc>
        <w:tc>
          <w:tcPr>
            <w:tcW w:w="742" w:type="pct"/>
          </w:tcPr>
          <w:p w:rsidR="00913796" w:rsidRPr="001B669F" w:rsidRDefault="00913796" w:rsidP="001B669F">
            <w:pPr>
              <w:jc w:val="right"/>
              <w:rPr>
                <w:rFonts w:ascii="Times New Roman" w:hAnsi="Times New Roman" w:cs="Times New Roman"/>
                <w:sz w:val="22"/>
                <w:szCs w:val="22"/>
                <w:u w:val="double"/>
              </w:rPr>
            </w:pPr>
          </w:p>
        </w:tc>
        <w:tc>
          <w:tcPr>
            <w:tcW w:w="646" w:type="pct"/>
          </w:tcPr>
          <w:p w:rsidR="00913796" w:rsidRPr="001B669F" w:rsidRDefault="00913796" w:rsidP="001B669F">
            <w:pPr>
              <w:jc w:val="right"/>
              <w:rPr>
                <w:rFonts w:ascii="Times New Roman" w:hAnsi="Times New Roman" w:cs="Times New Roman"/>
                <w:sz w:val="22"/>
                <w:szCs w:val="22"/>
                <w:u w:val="double"/>
              </w:rPr>
            </w:pPr>
          </w:p>
        </w:tc>
        <w:tc>
          <w:tcPr>
            <w:tcW w:w="743" w:type="pct"/>
          </w:tcPr>
          <w:p w:rsidR="00913796" w:rsidRPr="001B669F" w:rsidRDefault="00913796" w:rsidP="001B669F">
            <w:pPr>
              <w:jc w:val="right"/>
              <w:rPr>
                <w:rFonts w:ascii="Times New Roman" w:hAnsi="Times New Roman" w:cs="Times New Roman"/>
                <w:sz w:val="22"/>
                <w:szCs w:val="22"/>
                <w:u w:val="double"/>
              </w:rPr>
            </w:pPr>
          </w:p>
        </w:tc>
        <w:tc>
          <w:tcPr>
            <w:tcW w:w="126" w:type="pct"/>
          </w:tcPr>
          <w:p w:rsidR="00913796" w:rsidRPr="001B669F" w:rsidRDefault="00913796" w:rsidP="001B669F">
            <w:pPr>
              <w:jc w:val="both"/>
              <w:rPr>
                <w:rFonts w:ascii="Times New Roman" w:hAnsi="Times New Roman" w:cs="Times New Roman"/>
                <w:sz w:val="22"/>
                <w:szCs w:val="22"/>
              </w:rPr>
            </w:pPr>
          </w:p>
        </w:tc>
      </w:tr>
    </w:tbl>
    <w:p w:rsidR="00E177A5" w:rsidRDefault="00E177A5" w:rsidP="00913796">
      <w:pPr>
        <w:jc w:val="both"/>
        <w:sectPr w:rsidR="00E177A5" w:rsidSect="001B669F">
          <w:headerReference w:type="default" r:id="rId9"/>
          <w:footerReference w:type="default" r:id="rId10"/>
          <w:pgSz w:w="12240" w:h="15840" w:code="1"/>
          <w:pgMar w:top="1584" w:right="1440" w:bottom="1440" w:left="1440" w:header="720" w:footer="720" w:gutter="0"/>
          <w:cols w:space="720"/>
          <w:formProt w:val="0"/>
          <w:docGrid w:linePitch="360"/>
        </w:sectPr>
      </w:pPr>
    </w:p>
    <w:p w:rsidR="00E177A5" w:rsidRPr="001B669F" w:rsidRDefault="00E177A5" w:rsidP="00913796">
      <w:pPr>
        <w:jc w:val="both"/>
      </w:pPr>
    </w:p>
    <w:tbl>
      <w:tblPr>
        <w:tblStyle w:val="TableGrid1"/>
        <w:tblW w:w="9824" w:type="dxa"/>
        <w:tblBorders>
          <w:insideH w:val="none" w:sz="0" w:space="0" w:color="auto"/>
          <w:insideV w:val="none" w:sz="0" w:space="0" w:color="auto"/>
        </w:tblBorders>
        <w:tblLook w:val="04A0" w:firstRow="1" w:lastRow="0" w:firstColumn="1" w:lastColumn="0" w:noHBand="0" w:noVBand="1"/>
      </w:tblPr>
      <w:tblGrid>
        <w:gridCol w:w="381"/>
        <w:gridCol w:w="5143"/>
        <w:gridCol w:w="1846"/>
        <w:gridCol w:w="2218"/>
        <w:gridCol w:w="236"/>
      </w:tblGrid>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b/>
                <w:sz w:val="22"/>
                <w:szCs w:val="22"/>
              </w:rPr>
            </w:pPr>
            <w:r w:rsidRPr="001B669F">
              <w:rPr>
                <w:rFonts w:ascii="Times New Roman" w:hAnsi="Times New Roman" w:cs="Times New Roman"/>
                <w:b/>
                <w:sz w:val="22"/>
                <w:szCs w:val="22"/>
              </w:rPr>
              <w:t xml:space="preserve">LEIGHTON ESTATES UTILITIES, LLC. </w:t>
            </w:r>
          </w:p>
        </w:tc>
        <w:tc>
          <w:tcPr>
            <w:tcW w:w="3728" w:type="dxa"/>
            <w:gridSpan w:val="2"/>
          </w:tcPr>
          <w:p w:rsidR="00913796" w:rsidRPr="001B669F" w:rsidRDefault="00913796" w:rsidP="00913796">
            <w:pPr>
              <w:jc w:val="right"/>
              <w:rPr>
                <w:rFonts w:ascii="Times New Roman" w:hAnsi="Times New Roman" w:cs="Times New Roman"/>
                <w:b/>
                <w:sz w:val="22"/>
                <w:szCs w:val="22"/>
              </w:rPr>
            </w:pPr>
            <w:r w:rsidRPr="001B669F">
              <w:rPr>
                <w:rFonts w:ascii="Times New Roman" w:hAnsi="Times New Roman" w:cs="Times New Roman"/>
                <w:b/>
                <w:sz w:val="22"/>
                <w:szCs w:val="22"/>
              </w:rPr>
              <w:t>SCHEDULE NO. 1-B</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Borders>
              <w:bottom w:val="nil"/>
            </w:tcBorders>
          </w:tcPr>
          <w:p w:rsidR="00913796" w:rsidRPr="001B669F" w:rsidRDefault="00913796" w:rsidP="00913796">
            <w:pPr>
              <w:jc w:val="both"/>
              <w:rPr>
                <w:rFonts w:ascii="Times New Roman" w:hAnsi="Times New Roman" w:cs="Times New Roman"/>
                <w:sz w:val="22"/>
                <w:szCs w:val="22"/>
              </w:rPr>
            </w:pPr>
          </w:p>
        </w:tc>
        <w:tc>
          <w:tcPr>
            <w:tcW w:w="0" w:type="auto"/>
            <w:tcBorders>
              <w:bottom w:val="nil"/>
            </w:tcBorders>
          </w:tcPr>
          <w:p w:rsidR="00913796" w:rsidRPr="001B669F" w:rsidRDefault="00913796" w:rsidP="00913796">
            <w:pPr>
              <w:jc w:val="both"/>
              <w:rPr>
                <w:rFonts w:ascii="Times New Roman" w:hAnsi="Times New Roman" w:cs="Times New Roman"/>
                <w:b/>
                <w:sz w:val="22"/>
                <w:szCs w:val="22"/>
              </w:rPr>
            </w:pPr>
            <w:r w:rsidRPr="001B669F">
              <w:rPr>
                <w:rFonts w:ascii="Times New Roman" w:hAnsi="Times New Roman" w:cs="Times New Roman"/>
                <w:b/>
                <w:sz w:val="22"/>
                <w:szCs w:val="22"/>
              </w:rPr>
              <w:t>TEST YEAR ENDED 12/31/2021</w:t>
            </w:r>
            <w:r w:rsidRPr="001B669F">
              <w:fldChar w:fldCharType="begin"/>
            </w:r>
            <w:r w:rsidRPr="001B669F">
              <w:rPr>
                <w:rFonts w:ascii="Times New Roman" w:hAnsi="Times New Roman" w:cs="Times New Roman"/>
              </w:rPr>
              <w:instrText xml:space="preserve"> TC "</w:instrText>
            </w:r>
            <w:bookmarkStart w:id="13" w:name="_Toc433269942"/>
            <w:bookmarkStart w:id="14" w:name="_Toc448761992"/>
            <w:bookmarkStart w:id="15" w:name="_Toc21427544"/>
            <w:bookmarkStart w:id="16" w:name="_Toc82175409"/>
            <w:bookmarkStart w:id="17" w:name="_Toc82430613"/>
            <w:bookmarkStart w:id="18" w:name="_Toc111533850"/>
            <w:bookmarkStart w:id="19" w:name="_Toc119660388"/>
            <w:r w:rsidRPr="001B669F">
              <w:rPr>
                <w:rFonts w:ascii="Times New Roman" w:hAnsi="Times New Roman" w:cs="Times New Roman"/>
              </w:rPr>
              <w:tab/>
              <w:instrText>Schedule No. 1-B Rate Base</w:instrText>
            </w:r>
            <w:bookmarkEnd w:id="13"/>
            <w:bookmarkEnd w:id="14"/>
            <w:bookmarkEnd w:id="15"/>
            <w:bookmarkEnd w:id="16"/>
            <w:bookmarkEnd w:id="17"/>
            <w:bookmarkEnd w:id="18"/>
            <w:bookmarkEnd w:id="19"/>
            <w:r w:rsidRPr="001B669F">
              <w:rPr>
                <w:rFonts w:ascii="Times New Roman" w:hAnsi="Times New Roman" w:cs="Times New Roman"/>
              </w:rPr>
              <w:instrText xml:space="preserve">" \l 1 </w:instrText>
            </w:r>
            <w:r w:rsidRPr="001B669F">
              <w:fldChar w:fldCharType="end"/>
            </w:r>
          </w:p>
        </w:tc>
        <w:tc>
          <w:tcPr>
            <w:tcW w:w="3728" w:type="dxa"/>
            <w:gridSpan w:val="2"/>
            <w:tcBorders>
              <w:bottom w:val="nil"/>
            </w:tcBorders>
          </w:tcPr>
          <w:p w:rsidR="00913796" w:rsidRPr="001B669F" w:rsidRDefault="00913796" w:rsidP="00913796">
            <w:pPr>
              <w:jc w:val="right"/>
              <w:rPr>
                <w:rFonts w:ascii="Times New Roman" w:hAnsi="Times New Roman" w:cs="Times New Roman"/>
                <w:b/>
                <w:sz w:val="22"/>
                <w:szCs w:val="22"/>
              </w:rPr>
            </w:pPr>
            <w:r w:rsidRPr="001B669F">
              <w:rPr>
                <w:rFonts w:ascii="Times New Roman" w:hAnsi="Times New Roman" w:cs="Times New Roman"/>
                <w:b/>
                <w:sz w:val="22"/>
                <w:szCs w:val="22"/>
              </w:rPr>
              <w:t>DOCKET NO. 20220026-WU</w:t>
            </w:r>
          </w:p>
        </w:tc>
        <w:tc>
          <w:tcPr>
            <w:tcW w:w="236" w:type="dxa"/>
            <w:tcBorders>
              <w:bottom w:val="nil"/>
            </w:tcBorders>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306"/>
        </w:trPr>
        <w:tc>
          <w:tcPr>
            <w:tcW w:w="0" w:type="auto"/>
            <w:tcBorders>
              <w:top w:val="nil"/>
              <w:bottom w:val="single" w:sz="4" w:space="0" w:color="auto"/>
            </w:tcBorders>
          </w:tcPr>
          <w:p w:rsidR="00913796" w:rsidRPr="001B669F" w:rsidRDefault="00913796" w:rsidP="00913796">
            <w:pPr>
              <w:jc w:val="both"/>
              <w:rPr>
                <w:rFonts w:ascii="Times New Roman" w:hAnsi="Times New Roman" w:cs="Times New Roman"/>
                <w:sz w:val="22"/>
                <w:szCs w:val="22"/>
              </w:rPr>
            </w:pPr>
          </w:p>
        </w:tc>
        <w:tc>
          <w:tcPr>
            <w:tcW w:w="0" w:type="auto"/>
            <w:tcBorders>
              <w:top w:val="nil"/>
              <w:bottom w:val="single" w:sz="4" w:space="0" w:color="auto"/>
            </w:tcBorders>
          </w:tcPr>
          <w:p w:rsidR="00913796" w:rsidRPr="001B669F" w:rsidRDefault="00913796" w:rsidP="00913796">
            <w:pPr>
              <w:jc w:val="both"/>
              <w:rPr>
                <w:rFonts w:ascii="Times New Roman" w:hAnsi="Times New Roman" w:cs="Times New Roman"/>
                <w:b/>
                <w:sz w:val="22"/>
                <w:szCs w:val="22"/>
              </w:rPr>
            </w:pPr>
            <w:r w:rsidRPr="001B669F">
              <w:rPr>
                <w:rFonts w:ascii="Times New Roman" w:hAnsi="Times New Roman" w:cs="Times New Roman"/>
                <w:b/>
                <w:sz w:val="22"/>
                <w:szCs w:val="22"/>
              </w:rPr>
              <w:t>ADJUSTMENTS TO RATE BASE</w:t>
            </w:r>
          </w:p>
        </w:tc>
        <w:tc>
          <w:tcPr>
            <w:tcW w:w="1672" w:type="dxa"/>
            <w:tcBorders>
              <w:top w:val="nil"/>
              <w:bottom w:val="single" w:sz="4" w:space="0" w:color="auto"/>
            </w:tcBorders>
          </w:tcPr>
          <w:p w:rsidR="00913796" w:rsidRPr="001B669F" w:rsidRDefault="00913796" w:rsidP="00913796">
            <w:pPr>
              <w:jc w:val="both"/>
              <w:rPr>
                <w:rFonts w:ascii="Times New Roman" w:hAnsi="Times New Roman" w:cs="Times New Roman"/>
                <w:b/>
                <w:sz w:val="22"/>
                <w:szCs w:val="22"/>
              </w:rPr>
            </w:pPr>
          </w:p>
        </w:tc>
        <w:tc>
          <w:tcPr>
            <w:tcW w:w="2056" w:type="dxa"/>
            <w:tcBorders>
              <w:top w:val="nil"/>
              <w:bottom w:val="single" w:sz="4" w:space="0" w:color="auto"/>
            </w:tcBorders>
          </w:tcPr>
          <w:p w:rsidR="00913796" w:rsidRPr="001B669F" w:rsidRDefault="00913796" w:rsidP="00913796">
            <w:pPr>
              <w:jc w:val="both"/>
              <w:rPr>
                <w:rFonts w:ascii="Times New Roman" w:hAnsi="Times New Roman" w:cs="Times New Roman"/>
                <w:b/>
                <w:sz w:val="22"/>
                <w:szCs w:val="22"/>
              </w:rPr>
            </w:pPr>
          </w:p>
        </w:tc>
        <w:tc>
          <w:tcPr>
            <w:tcW w:w="236" w:type="dxa"/>
            <w:tcBorders>
              <w:top w:val="nil"/>
              <w:bottom w:val="single" w:sz="4" w:space="0" w:color="auto"/>
            </w:tcBorders>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Borders>
              <w:top w:val="single" w:sz="4" w:space="0" w:color="auto"/>
            </w:tcBorders>
          </w:tcPr>
          <w:p w:rsidR="00913796" w:rsidRPr="001B669F" w:rsidRDefault="00913796" w:rsidP="00913796">
            <w:pPr>
              <w:jc w:val="both"/>
              <w:rPr>
                <w:rFonts w:ascii="Times New Roman" w:hAnsi="Times New Roman" w:cs="Times New Roman"/>
                <w:sz w:val="22"/>
                <w:szCs w:val="22"/>
              </w:rPr>
            </w:pPr>
          </w:p>
        </w:tc>
        <w:tc>
          <w:tcPr>
            <w:tcW w:w="0" w:type="auto"/>
            <w:tcBorders>
              <w:top w:val="single" w:sz="4" w:space="0" w:color="auto"/>
            </w:tcBorders>
          </w:tcPr>
          <w:p w:rsidR="00913796" w:rsidRPr="001B669F" w:rsidRDefault="00913796" w:rsidP="00913796">
            <w:pPr>
              <w:jc w:val="both"/>
              <w:rPr>
                <w:rFonts w:ascii="Times New Roman" w:hAnsi="Times New Roman" w:cs="Times New Roman"/>
                <w:sz w:val="22"/>
                <w:szCs w:val="22"/>
              </w:rPr>
            </w:pPr>
          </w:p>
        </w:tc>
        <w:tc>
          <w:tcPr>
            <w:tcW w:w="1672" w:type="dxa"/>
            <w:tcBorders>
              <w:top w:val="single" w:sz="4" w:space="0" w:color="auto"/>
            </w:tcBorders>
          </w:tcPr>
          <w:p w:rsidR="00913796" w:rsidRPr="001B669F" w:rsidRDefault="00913796" w:rsidP="00913796">
            <w:pPr>
              <w:jc w:val="both"/>
              <w:rPr>
                <w:rFonts w:ascii="Times New Roman" w:hAnsi="Times New Roman" w:cs="Times New Roman"/>
                <w:sz w:val="22"/>
                <w:szCs w:val="22"/>
              </w:rPr>
            </w:pPr>
          </w:p>
        </w:tc>
        <w:tc>
          <w:tcPr>
            <w:tcW w:w="2056" w:type="dxa"/>
            <w:tcBorders>
              <w:top w:val="single" w:sz="4" w:space="0" w:color="auto"/>
            </w:tcBorders>
          </w:tcPr>
          <w:p w:rsidR="00913796" w:rsidRPr="001B669F" w:rsidRDefault="00913796" w:rsidP="00913796">
            <w:pPr>
              <w:jc w:val="both"/>
              <w:rPr>
                <w:rFonts w:ascii="Times New Roman" w:hAnsi="Times New Roman" w:cs="Times New Roman"/>
                <w:sz w:val="22"/>
                <w:szCs w:val="22"/>
              </w:rPr>
            </w:pPr>
          </w:p>
        </w:tc>
        <w:tc>
          <w:tcPr>
            <w:tcW w:w="236" w:type="dxa"/>
            <w:tcBorders>
              <w:top w:val="single" w:sz="4" w:space="0" w:color="auto"/>
            </w:tcBorders>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b/>
                <w:sz w:val="22"/>
                <w:szCs w:val="22"/>
              </w:rPr>
            </w:pPr>
          </w:p>
        </w:tc>
        <w:tc>
          <w:tcPr>
            <w:tcW w:w="1672" w:type="dxa"/>
          </w:tcPr>
          <w:p w:rsidR="00913796" w:rsidRPr="001B669F" w:rsidRDefault="00913796" w:rsidP="00913796">
            <w:pPr>
              <w:jc w:val="both"/>
              <w:rPr>
                <w:rFonts w:ascii="Times New Roman" w:hAnsi="Times New Roman" w:cs="Times New Roman"/>
                <w:b/>
                <w:sz w:val="22"/>
                <w:szCs w:val="22"/>
              </w:rPr>
            </w:pPr>
          </w:p>
        </w:tc>
        <w:tc>
          <w:tcPr>
            <w:tcW w:w="2056" w:type="dxa"/>
          </w:tcPr>
          <w:p w:rsidR="00913796" w:rsidRPr="001B669F" w:rsidRDefault="00913796" w:rsidP="00913796">
            <w:pPr>
              <w:rPr>
                <w:rFonts w:ascii="Times New Roman" w:hAnsi="Times New Roman" w:cs="Times New Roman"/>
                <w:b/>
                <w:sz w:val="22"/>
                <w:szCs w:val="22"/>
                <w:u w:val="single"/>
              </w:rPr>
            </w:pPr>
            <w:r w:rsidRPr="001B669F">
              <w:rPr>
                <w:rFonts w:ascii="Times New Roman" w:hAnsi="Times New Roman" w:cs="Times New Roman"/>
                <w:b/>
                <w:sz w:val="22"/>
                <w:szCs w:val="22"/>
                <w:u w:val="single"/>
              </w:rPr>
              <w:t>WATER</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b/>
                <w:sz w:val="22"/>
                <w:szCs w:val="22"/>
                <w:u w:val="single"/>
              </w:rPr>
            </w:pPr>
            <w:r w:rsidRPr="001B669F">
              <w:rPr>
                <w:rFonts w:ascii="Times New Roman" w:hAnsi="Times New Roman" w:cs="Times New Roman"/>
                <w:b/>
                <w:sz w:val="22"/>
                <w:szCs w:val="22"/>
                <w:u w:val="single"/>
              </w:rPr>
              <w:t>UTILITY PLANT IN SERVICE</w:t>
            </w:r>
          </w:p>
        </w:tc>
        <w:tc>
          <w:tcPr>
            <w:tcW w:w="1672" w:type="dxa"/>
          </w:tcPr>
          <w:p w:rsidR="00913796" w:rsidRPr="001B669F" w:rsidRDefault="00913796" w:rsidP="00913796">
            <w:pPr>
              <w:jc w:val="both"/>
              <w:rPr>
                <w:rFonts w:ascii="Times New Roman" w:hAnsi="Times New Roman" w:cs="Times New Roman"/>
                <w:b/>
                <w:sz w:val="22"/>
                <w:szCs w:val="22"/>
              </w:rPr>
            </w:pPr>
          </w:p>
        </w:tc>
        <w:tc>
          <w:tcPr>
            <w:tcW w:w="2056" w:type="dxa"/>
          </w:tcPr>
          <w:p w:rsidR="00913796" w:rsidRPr="001B669F" w:rsidRDefault="00913796" w:rsidP="00913796">
            <w:pPr>
              <w:rPr>
                <w:rFonts w:ascii="Times New Roman" w:hAnsi="Times New Roman" w:cs="Times New Roman"/>
                <w:b/>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1.</w:t>
            </w: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an averaging adjustment.</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($2,064)</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2.</w:t>
            </w: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pro forma additions.</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9,871</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3.</w:t>
            </w: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pro forma retirements.</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(6,193)</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 xml:space="preserve">   Total</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$1,614</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b/>
                <w:sz w:val="22"/>
                <w:szCs w:val="22"/>
                <w:u w:val="single"/>
              </w:rPr>
            </w:pP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b/>
                <w:sz w:val="22"/>
                <w:szCs w:val="22"/>
                <w:u w:val="single"/>
              </w:rPr>
            </w:pPr>
            <w:r w:rsidRPr="001B669F">
              <w:rPr>
                <w:rFonts w:ascii="Times New Roman" w:hAnsi="Times New Roman" w:cs="Times New Roman"/>
                <w:b/>
                <w:sz w:val="22"/>
                <w:szCs w:val="22"/>
                <w:u w:val="single"/>
              </w:rPr>
              <w:t>ACCUMULATED DEPRECIATION</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1.</w:t>
            </w: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an auditing adjustment.</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$34</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2.</w:t>
            </w: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an averaging adjustment.</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6,638</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3.</w:t>
            </w: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pro forma adjustment.</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5,802</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 xml:space="preserve">   Total</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$12,474</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b/>
                <w:sz w:val="22"/>
                <w:szCs w:val="22"/>
                <w:u w:val="single"/>
              </w:rPr>
            </w:pPr>
            <w:r w:rsidRPr="001B669F">
              <w:rPr>
                <w:rFonts w:ascii="Times New Roman" w:hAnsi="Times New Roman" w:cs="Times New Roman"/>
                <w:b/>
                <w:sz w:val="22"/>
                <w:szCs w:val="22"/>
                <w:u w:val="single"/>
              </w:rPr>
              <w:t>CIAC</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an averaging adjustment.</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$1,083</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b/>
                <w:sz w:val="22"/>
                <w:szCs w:val="22"/>
                <w:u w:val="single"/>
              </w:rPr>
            </w:pPr>
            <w:r w:rsidRPr="001B669F">
              <w:rPr>
                <w:rFonts w:ascii="Times New Roman" w:hAnsi="Times New Roman" w:cs="Times New Roman"/>
                <w:b/>
                <w:sz w:val="22"/>
                <w:szCs w:val="22"/>
                <w:u w:val="single"/>
              </w:rPr>
              <w:t>ACCUMULATED AMORTIZATION OF CIAC</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an averaging adjustment.</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($167)</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9207" w:type="dxa"/>
            <w:gridSpan w:val="3"/>
          </w:tcPr>
          <w:p w:rsidR="00913796" w:rsidRPr="001B669F" w:rsidRDefault="00913796" w:rsidP="00913796">
            <w:pPr>
              <w:rPr>
                <w:rFonts w:ascii="Times New Roman" w:hAnsi="Times New Roman" w:cs="Times New Roman"/>
                <w:sz w:val="22"/>
                <w:szCs w:val="22"/>
                <w:u w:val="single"/>
              </w:rPr>
            </w:pPr>
            <w:r w:rsidRPr="001B669F">
              <w:rPr>
                <w:rFonts w:ascii="Times New Roman" w:hAnsi="Times New Roman" w:cs="Times New Roman"/>
                <w:b/>
                <w:sz w:val="22"/>
                <w:szCs w:val="22"/>
                <w:u w:val="single"/>
              </w:rPr>
              <w:t>ACQUISITION ADJUSTMENT (NET)</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7151" w:type="dxa"/>
            <w:gridSpan w:val="2"/>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accumulated amortization of acquisition adjustment.</w:t>
            </w:r>
          </w:p>
        </w:tc>
        <w:tc>
          <w:tcPr>
            <w:tcW w:w="2056" w:type="dxa"/>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$1,127</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b/>
                <w:sz w:val="22"/>
                <w:szCs w:val="22"/>
                <w:u w:val="single"/>
              </w:rPr>
            </w:pPr>
            <w:r w:rsidRPr="001B669F">
              <w:rPr>
                <w:rFonts w:ascii="Times New Roman" w:hAnsi="Times New Roman" w:cs="Times New Roman"/>
                <w:b/>
                <w:sz w:val="22"/>
                <w:szCs w:val="22"/>
                <w:u w:val="single"/>
              </w:rPr>
              <w:t>WORKING CAPITAL ALLOWANCE</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r w:rsidRPr="001B669F">
              <w:rPr>
                <w:rFonts w:ascii="Times New Roman" w:hAnsi="Times New Roman" w:cs="Times New Roman"/>
                <w:sz w:val="22"/>
                <w:szCs w:val="22"/>
              </w:rPr>
              <w:t>To reflect 1/8 of test year O&amp;M expenses.</w:t>
            </w: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$4,032</w:t>
            </w:r>
          </w:p>
        </w:tc>
        <w:tc>
          <w:tcPr>
            <w:tcW w:w="236" w:type="dxa"/>
          </w:tcPr>
          <w:p w:rsidR="00913796" w:rsidRPr="001B669F" w:rsidRDefault="00913796" w:rsidP="00913796">
            <w:pPr>
              <w:jc w:val="both"/>
              <w:rPr>
                <w:rFonts w:ascii="Times New Roman" w:hAnsi="Times New Roman" w:cs="Times New Roman"/>
                <w:sz w:val="22"/>
                <w:szCs w:val="22"/>
              </w:rPr>
            </w:pPr>
          </w:p>
        </w:tc>
      </w:tr>
      <w:tr w:rsidR="00913796" w:rsidRPr="001B669F" w:rsidTr="001B669F">
        <w:trPr>
          <w:trHeight w:val="290"/>
        </w:trPr>
        <w:tc>
          <w:tcPr>
            <w:tcW w:w="0" w:type="auto"/>
          </w:tcPr>
          <w:p w:rsidR="00913796" w:rsidRPr="001B669F" w:rsidRDefault="00913796" w:rsidP="00913796">
            <w:pPr>
              <w:jc w:val="both"/>
              <w:rPr>
                <w:rFonts w:ascii="Times New Roman" w:hAnsi="Times New Roman" w:cs="Times New Roman"/>
                <w:sz w:val="22"/>
                <w:szCs w:val="22"/>
              </w:rPr>
            </w:pPr>
          </w:p>
        </w:tc>
        <w:tc>
          <w:tcPr>
            <w:tcW w:w="0" w:type="auto"/>
          </w:tcPr>
          <w:p w:rsidR="00913796" w:rsidRPr="001B669F" w:rsidRDefault="00913796" w:rsidP="00913796">
            <w:pPr>
              <w:jc w:val="both"/>
              <w:rPr>
                <w:rFonts w:ascii="Times New Roman" w:hAnsi="Times New Roman" w:cs="Times New Roman"/>
                <w:sz w:val="22"/>
                <w:szCs w:val="22"/>
              </w:rPr>
            </w:pPr>
          </w:p>
        </w:tc>
        <w:tc>
          <w:tcPr>
            <w:tcW w:w="1672" w:type="dxa"/>
          </w:tcPr>
          <w:p w:rsidR="00913796" w:rsidRPr="001B669F" w:rsidRDefault="00913796" w:rsidP="00913796">
            <w:pPr>
              <w:jc w:val="both"/>
              <w:rPr>
                <w:rFonts w:ascii="Times New Roman" w:hAnsi="Times New Roman" w:cs="Times New Roman"/>
                <w:sz w:val="22"/>
                <w:szCs w:val="22"/>
              </w:rPr>
            </w:pPr>
          </w:p>
        </w:tc>
        <w:tc>
          <w:tcPr>
            <w:tcW w:w="2056" w:type="dxa"/>
          </w:tcPr>
          <w:p w:rsidR="00913796" w:rsidRPr="001B669F" w:rsidRDefault="00913796" w:rsidP="00913796">
            <w:pPr>
              <w:rPr>
                <w:rFonts w:ascii="Times New Roman" w:hAnsi="Times New Roman" w:cs="Times New Roman"/>
                <w:sz w:val="22"/>
                <w:szCs w:val="22"/>
                <w:u w:val="single"/>
              </w:rPr>
            </w:pPr>
          </w:p>
        </w:tc>
        <w:tc>
          <w:tcPr>
            <w:tcW w:w="236" w:type="dxa"/>
          </w:tcPr>
          <w:p w:rsidR="00913796" w:rsidRPr="001B669F" w:rsidRDefault="00913796" w:rsidP="00913796">
            <w:pPr>
              <w:jc w:val="both"/>
              <w:rPr>
                <w:rFonts w:ascii="Times New Roman" w:hAnsi="Times New Roman" w:cs="Times New Roman"/>
                <w:sz w:val="22"/>
                <w:szCs w:val="22"/>
              </w:rPr>
            </w:pPr>
          </w:p>
        </w:tc>
      </w:tr>
    </w:tbl>
    <w:p w:rsidR="00913796" w:rsidRPr="001B669F" w:rsidRDefault="00913796" w:rsidP="00913796">
      <w:pPr>
        <w:spacing w:after="240"/>
        <w:jc w:val="both"/>
        <w:sectPr w:rsidR="00913796" w:rsidRPr="001B669F" w:rsidSect="001B669F">
          <w:headerReference w:type="default" r:id="rId11"/>
          <w:pgSz w:w="12240" w:h="15840" w:code="1"/>
          <w:pgMar w:top="1584" w:right="1440" w:bottom="1440" w:left="1440" w:header="720" w:footer="720" w:gutter="0"/>
          <w:cols w:space="720"/>
          <w:formProt w:val="0"/>
          <w:docGrid w:linePitch="360"/>
        </w:sectPr>
      </w:pPr>
    </w:p>
    <w:tbl>
      <w:tblPr>
        <w:tblStyle w:val="TableGrid2"/>
        <w:tblW w:w="5000" w:type="pct"/>
        <w:tblBorders>
          <w:insideH w:val="none" w:sz="0" w:space="0" w:color="auto"/>
          <w:insideV w:val="none" w:sz="0" w:space="0" w:color="auto"/>
        </w:tblBorders>
        <w:tblLook w:val="04A0" w:firstRow="1" w:lastRow="0" w:firstColumn="1" w:lastColumn="0" w:noHBand="0" w:noVBand="1"/>
      </w:tblPr>
      <w:tblGrid>
        <w:gridCol w:w="464"/>
        <w:gridCol w:w="3508"/>
        <w:gridCol w:w="1397"/>
        <w:gridCol w:w="1397"/>
        <w:gridCol w:w="1574"/>
        <w:gridCol w:w="1546"/>
        <w:gridCol w:w="1092"/>
        <w:gridCol w:w="1783"/>
        <w:gridCol w:w="271"/>
      </w:tblGrid>
      <w:tr w:rsidR="00913796" w:rsidRPr="001B669F" w:rsidTr="001B669F">
        <w:trPr>
          <w:trHeight w:val="65"/>
        </w:trPr>
        <w:tc>
          <w:tcPr>
            <w:tcW w:w="178" w:type="pct"/>
          </w:tcPr>
          <w:p w:rsidR="00913796" w:rsidRPr="001B669F" w:rsidRDefault="00913796" w:rsidP="00913796">
            <w:pPr>
              <w:rPr>
                <w:rFonts w:ascii="Times New Roman" w:hAnsi="Times New Roman" w:cs="Times New Roman"/>
                <w:sz w:val="22"/>
                <w:szCs w:val="22"/>
              </w:rPr>
            </w:pPr>
          </w:p>
        </w:tc>
        <w:tc>
          <w:tcPr>
            <w:tcW w:w="2417" w:type="pct"/>
            <w:gridSpan w:val="3"/>
          </w:tcPr>
          <w:p w:rsidR="00913796" w:rsidRPr="001B669F" w:rsidRDefault="00913796" w:rsidP="00913796">
            <w:pPr>
              <w:rPr>
                <w:rFonts w:ascii="Times New Roman" w:hAnsi="Times New Roman" w:cs="Times New Roman"/>
                <w:b/>
                <w:sz w:val="22"/>
                <w:szCs w:val="22"/>
              </w:rPr>
            </w:pPr>
            <w:r w:rsidRPr="001B669F">
              <w:rPr>
                <w:rFonts w:ascii="Times New Roman" w:hAnsi="Times New Roman" w:cs="Times New Roman"/>
                <w:b/>
                <w:sz w:val="22"/>
                <w:szCs w:val="22"/>
              </w:rPr>
              <w:t>LEIGHTON ESTATES UTILITIES, LLC.</w:t>
            </w:r>
          </w:p>
        </w:tc>
        <w:tc>
          <w:tcPr>
            <w:tcW w:w="604" w:type="pct"/>
          </w:tcPr>
          <w:p w:rsidR="00913796" w:rsidRPr="001B669F" w:rsidRDefault="00913796" w:rsidP="00913796">
            <w:pPr>
              <w:rPr>
                <w:rFonts w:ascii="Times New Roman" w:hAnsi="Times New Roman" w:cs="Times New Roman"/>
                <w:b/>
                <w:sz w:val="22"/>
                <w:szCs w:val="22"/>
              </w:rPr>
            </w:pPr>
          </w:p>
        </w:tc>
        <w:tc>
          <w:tcPr>
            <w:tcW w:w="1696" w:type="pct"/>
            <w:gridSpan w:val="3"/>
          </w:tcPr>
          <w:p w:rsidR="00913796" w:rsidRPr="001B669F" w:rsidRDefault="00913796" w:rsidP="00913796">
            <w:pPr>
              <w:jc w:val="right"/>
              <w:rPr>
                <w:rFonts w:ascii="Times New Roman" w:hAnsi="Times New Roman" w:cs="Times New Roman"/>
                <w:b/>
                <w:sz w:val="22"/>
                <w:szCs w:val="22"/>
              </w:rPr>
            </w:pPr>
            <w:r w:rsidRPr="001B669F">
              <w:rPr>
                <w:rFonts w:ascii="Times New Roman" w:hAnsi="Times New Roman" w:cs="Times New Roman"/>
                <w:b/>
                <w:sz w:val="22"/>
                <w:szCs w:val="22"/>
              </w:rPr>
              <w:t>SCHEDULE NO. 2</w:t>
            </w:r>
          </w:p>
        </w:tc>
        <w:tc>
          <w:tcPr>
            <w:tcW w:w="104" w:type="pct"/>
          </w:tcPr>
          <w:p w:rsidR="00913796" w:rsidRPr="001B669F" w:rsidRDefault="00913796" w:rsidP="00913796">
            <w:pPr>
              <w:rPr>
                <w:rFonts w:ascii="Times New Roman" w:hAnsi="Times New Roman" w:cs="Times New Roman"/>
                <w:b/>
                <w:sz w:val="22"/>
                <w:szCs w:val="22"/>
              </w:rPr>
            </w:pPr>
          </w:p>
        </w:tc>
      </w:tr>
      <w:tr w:rsidR="00913796" w:rsidRPr="001B669F" w:rsidTr="001B669F">
        <w:trPr>
          <w:trHeight w:val="75"/>
        </w:trPr>
        <w:tc>
          <w:tcPr>
            <w:tcW w:w="178" w:type="pct"/>
            <w:tcBorders>
              <w:bottom w:val="nil"/>
            </w:tcBorders>
          </w:tcPr>
          <w:p w:rsidR="00913796" w:rsidRPr="001B669F" w:rsidRDefault="00913796" w:rsidP="00913796">
            <w:pPr>
              <w:rPr>
                <w:rFonts w:ascii="Times New Roman" w:hAnsi="Times New Roman" w:cs="Times New Roman"/>
                <w:sz w:val="22"/>
                <w:szCs w:val="22"/>
              </w:rPr>
            </w:pPr>
          </w:p>
        </w:tc>
        <w:tc>
          <w:tcPr>
            <w:tcW w:w="2417" w:type="pct"/>
            <w:gridSpan w:val="3"/>
            <w:tcBorders>
              <w:bottom w:val="nil"/>
            </w:tcBorders>
          </w:tcPr>
          <w:p w:rsidR="00913796" w:rsidRPr="001B669F" w:rsidRDefault="00913796" w:rsidP="00913796">
            <w:pPr>
              <w:rPr>
                <w:rFonts w:ascii="Times New Roman" w:hAnsi="Times New Roman" w:cs="Times New Roman"/>
                <w:b/>
                <w:sz w:val="22"/>
                <w:szCs w:val="22"/>
              </w:rPr>
            </w:pPr>
            <w:r w:rsidRPr="001B669F">
              <w:rPr>
                <w:rFonts w:ascii="Times New Roman" w:hAnsi="Times New Roman" w:cs="Times New Roman"/>
                <w:b/>
                <w:sz w:val="22"/>
                <w:szCs w:val="22"/>
              </w:rPr>
              <w:t>TEST YEAR ENDED 12/31/2021</w:t>
            </w:r>
            <w:r w:rsidRPr="001B669F">
              <w:fldChar w:fldCharType="begin"/>
            </w:r>
            <w:r w:rsidRPr="001B669F">
              <w:rPr>
                <w:rFonts w:ascii="Times New Roman" w:hAnsi="Times New Roman" w:cs="Times New Roman"/>
              </w:rPr>
              <w:instrText xml:space="preserve"> TC "</w:instrText>
            </w:r>
            <w:bookmarkStart w:id="20" w:name="_Toc111533851"/>
            <w:bookmarkStart w:id="21" w:name="_Toc119660389"/>
            <w:r w:rsidRPr="001B669F">
              <w:rPr>
                <w:rFonts w:ascii="Times New Roman" w:hAnsi="Times New Roman" w:cs="Times New Roman"/>
              </w:rPr>
              <w:tab/>
              <w:instrText>Schedule No. 2 Capital Structure</w:instrText>
            </w:r>
            <w:bookmarkEnd w:id="20"/>
            <w:bookmarkEnd w:id="21"/>
            <w:r w:rsidRPr="001B669F">
              <w:rPr>
                <w:rFonts w:ascii="Times New Roman" w:hAnsi="Times New Roman" w:cs="Times New Roman"/>
              </w:rPr>
              <w:instrText xml:space="preserve">" \l 1 </w:instrText>
            </w:r>
            <w:r w:rsidRPr="001B669F">
              <w:fldChar w:fldCharType="end"/>
            </w:r>
          </w:p>
        </w:tc>
        <w:tc>
          <w:tcPr>
            <w:tcW w:w="604" w:type="pct"/>
            <w:tcBorders>
              <w:bottom w:val="nil"/>
            </w:tcBorders>
          </w:tcPr>
          <w:p w:rsidR="00913796" w:rsidRPr="001B669F" w:rsidRDefault="00913796" w:rsidP="00913796">
            <w:pPr>
              <w:rPr>
                <w:rFonts w:ascii="Times New Roman" w:hAnsi="Times New Roman" w:cs="Times New Roman"/>
                <w:b/>
                <w:sz w:val="22"/>
                <w:szCs w:val="22"/>
              </w:rPr>
            </w:pPr>
          </w:p>
        </w:tc>
        <w:tc>
          <w:tcPr>
            <w:tcW w:w="1696" w:type="pct"/>
            <w:gridSpan w:val="3"/>
            <w:tcBorders>
              <w:bottom w:val="nil"/>
            </w:tcBorders>
          </w:tcPr>
          <w:p w:rsidR="00913796" w:rsidRPr="001B669F" w:rsidRDefault="00913796" w:rsidP="00913796">
            <w:pPr>
              <w:jc w:val="right"/>
              <w:rPr>
                <w:rFonts w:ascii="Times New Roman" w:hAnsi="Times New Roman" w:cs="Times New Roman"/>
                <w:b/>
                <w:sz w:val="22"/>
                <w:szCs w:val="22"/>
              </w:rPr>
            </w:pPr>
            <w:r w:rsidRPr="001B669F">
              <w:rPr>
                <w:rFonts w:ascii="Times New Roman" w:hAnsi="Times New Roman" w:cs="Times New Roman"/>
                <w:b/>
                <w:sz w:val="22"/>
                <w:szCs w:val="22"/>
              </w:rPr>
              <w:t>DOCKET NO. 20220026-WU</w:t>
            </w:r>
          </w:p>
        </w:tc>
        <w:tc>
          <w:tcPr>
            <w:tcW w:w="104" w:type="pct"/>
            <w:tcBorders>
              <w:bottom w:val="nil"/>
            </w:tcBorders>
          </w:tcPr>
          <w:p w:rsidR="00913796" w:rsidRPr="001B669F" w:rsidRDefault="00913796" w:rsidP="00913796">
            <w:pPr>
              <w:rPr>
                <w:rFonts w:ascii="Times New Roman" w:hAnsi="Times New Roman" w:cs="Times New Roman"/>
                <w:b/>
                <w:sz w:val="22"/>
                <w:szCs w:val="22"/>
              </w:rPr>
            </w:pPr>
          </w:p>
        </w:tc>
      </w:tr>
      <w:tr w:rsidR="00913796" w:rsidRPr="001B669F" w:rsidTr="001B669F">
        <w:tc>
          <w:tcPr>
            <w:tcW w:w="178" w:type="pct"/>
            <w:tcBorders>
              <w:top w:val="nil"/>
              <w:bottom w:val="single" w:sz="4" w:space="0" w:color="auto"/>
            </w:tcBorders>
          </w:tcPr>
          <w:p w:rsidR="00913796" w:rsidRPr="001B669F" w:rsidRDefault="00913796" w:rsidP="00913796">
            <w:pPr>
              <w:rPr>
                <w:rFonts w:ascii="Times New Roman" w:hAnsi="Times New Roman" w:cs="Times New Roman"/>
                <w:sz w:val="22"/>
                <w:szCs w:val="22"/>
              </w:rPr>
            </w:pPr>
          </w:p>
        </w:tc>
        <w:tc>
          <w:tcPr>
            <w:tcW w:w="2417" w:type="pct"/>
            <w:gridSpan w:val="3"/>
            <w:tcBorders>
              <w:top w:val="nil"/>
              <w:bottom w:val="single" w:sz="4" w:space="0" w:color="auto"/>
            </w:tcBorders>
          </w:tcPr>
          <w:p w:rsidR="00913796" w:rsidRPr="001B669F" w:rsidRDefault="00913796" w:rsidP="00913796">
            <w:pPr>
              <w:rPr>
                <w:rFonts w:ascii="Times New Roman" w:hAnsi="Times New Roman" w:cs="Times New Roman"/>
                <w:b/>
                <w:sz w:val="22"/>
                <w:szCs w:val="22"/>
              </w:rPr>
            </w:pPr>
            <w:r w:rsidRPr="001B669F">
              <w:rPr>
                <w:rFonts w:ascii="Times New Roman" w:hAnsi="Times New Roman" w:cs="Times New Roman"/>
                <w:b/>
                <w:sz w:val="22"/>
                <w:szCs w:val="22"/>
              </w:rPr>
              <w:t>SCHEDULE OF CAPITAL STRUCTURE</w:t>
            </w:r>
          </w:p>
        </w:tc>
        <w:tc>
          <w:tcPr>
            <w:tcW w:w="2300" w:type="pct"/>
            <w:gridSpan w:val="4"/>
            <w:tcBorders>
              <w:top w:val="nil"/>
              <w:bottom w:val="single" w:sz="4" w:space="0" w:color="auto"/>
            </w:tcBorders>
          </w:tcPr>
          <w:p w:rsidR="00913796" w:rsidRPr="001B669F" w:rsidRDefault="00913796" w:rsidP="00913796">
            <w:pPr>
              <w:rPr>
                <w:rFonts w:ascii="Times New Roman" w:hAnsi="Times New Roman" w:cs="Times New Roman"/>
                <w:b/>
                <w:sz w:val="22"/>
                <w:szCs w:val="22"/>
              </w:rPr>
            </w:pPr>
          </w:p>
        </w:tc>
        <w:tc>
          <w:tcPr>
            <w:tcW w:w="104" w:type="pct"/>
            <w:tcBorders>
              <w:top w:val="nil"/>
              <w:bottom w:val="single" w:sz="4" w:space="0" w:color="auto"/>
            </w:tcBorders>
          </w:tcPr>
          <w:p w:rsidR="00913796" w:rsidRPr="001B669F" w:rsidRDefault="00913796" w:rsidP="00913796">
            <w:pPr>
              <w:rPr>
                <w:rFonts w:ascii="Times New Roman" w:hAnsi="Times New Roman" w:cs="Times New Roman"/>
                <w:b/>
                <w:sz w:val="22"/>
                <w:szCs w:val="22"/>
              </w:rPr>
            </w:pPr>
          </w:p>
        </w:tc>
      </w:tr>
      <w:tr w:rsidR="00913796" w:rsidRPr="001B669F" w:rsidTr="001B669F">
        <w:tc>
          <w:tcPr>
            <w:tcW w:w="178" w:type="pct"/>
            <w:tcBorders>
              <w:top w:val="single" w:sz="4" w:space="0" w:color="auto"/>
            </w:tcBorders>
          </w:tcPr>
          <w:p w:rsidR="00913796" w:rsidRPr="001B669F" w:rsidRDefault="00913796" w:rsidP="00913796">
            <w:pPr>
              <w:rPr>
                <w:rFonts w:ascii="Times New Roman" w:hAnsi="Times New Roman" w:cs="Times New Roman"/>
                <w:sz w:val="22"/>
                <w:szCs w:val="22"/>
              </w:rPr>
            </w:pPr>
          </w:p>
        </w:tc>
        <w:tc>
          <w:tcPr>
            <w:tcW w:w="1346" w:type="pct"/>
            <w:tcBorders>
              <w:top w:val="single" w:sz="4" w:space="0" w:color="auto"/>
            </w:tcBorders>
          </w:tcPr>
          <w:p w:rsidR="00913796" w:rsidRPr="001B669F" w:rsidRDefault="00913796" w:rsidP="00913796">
            <w:pPr>
              <w:rPr>
                <w:rFonts w:ascii="Times New Roman" w:hAnsi="Times New Roman" w:cs="Times New Roman"/>
                <w:b/>
                <w:sz w:val="22"/>
                <w:szCs w:val="22"/>
              </w:rPr>
            </w:pPr>
          </w:p>
        </w:tc>
        <w:tc>
          <w:tcPr>
            <w:tcW w:w="536" w:type="pct"/>
            <w:tcBorders>
              <w:top w:val="single" w:sz="4" w:space="0" w:color="auto"/>
            </w:tcBorders>
          </w:tcPr>
          <w:p w:rsidR="00913796" w:rsidRPr="001B669F" w:rsidRDefault="00913796" w:rsidP="00913796">
            <w:pPr>
              <w:rPr>
                <w:rFonts w:ascii="Times New Roman" w:hAnsi="Times New Roman" w:cs="Times New Roman"/>
                <w:b/>
                <w:sz w:val="22"/>
                <w:szCs w:val="22"/>
              </w:rPr>
            </w:pPr>
          </w:p>
        </w:tc>
        <w:tc>
          <w:tcPr>
            <w:tcW w:w="536" w:type="pct"/>
            <w:tcBorders>
              <w:top w:val="single" w:sz="4" w:space="0" w:color="auto"/>
            </w:tcBorders>
          </w:tcPr>
          <w:p w:rsidR="00913796" w:rsidRPr="001B669F" w:rsidRDefault="00913796" w:rsidP="00913796">
            <w:pPr>
              <w:rPr>
                <w:rFonts w:ascii="Times New Roman" w:hAnsi="Times New Roman" w:cs="Times New Roman"/>
                <w:b/>
                <w:sz w:val="22"/>
                <w:szCs w:val="22"/>
              </w:rPr>
            </w:pPr>
          </w:p>
        </w:tc>
        <w:tc>
          <w:tcPr>
            <w:tcW w:w="604" w:type="pct"/>
            <w:tcBorders>
              <w:top w:val="single" w:sz="4" w:space="0" w:color="auto"/>
            </w:tcBorders>
          </w:tcPr>
          <w:p w:rsidR="00913796" w:rsidRPr="001B669F" w:rsidRDefault="00913796" w:rsidP="00913796">
            <w:pPr>
              <w:rPr>
                <w:rFonts w:ascii="Times New Roman" w:hAnsi="Times New Roman" w:cs="Times New Roman"/>
                <w:b/>
                <w:sz w:val="22"/>
                <w:szCs w:val="22"/>
              </w:rPr>
            </w:pPr>
          </w:p>
        </w:tc>
        <w:tc>
          <w:tcPr>
            <w:tcW w:w="593" w:type="pct"/>
            <w:tcBorders>
              <w:top w:val="single" w:sz="4" w:space="0" w:color="auto"/>
            </w:tcBorders>
          </w:tcPr>
          <w:p w:rsidR="00913796" w:rsidRPr="001B669F" w:rsidRDefault="00913796" w:rsidP="00913796">
            <w:pPr>
              <w:rPr>
                <w:rFonts w:ascii="Times New Roman" w:hAnsi="Times New Roman" w:cs="Times New Roman"/>
                <w:b/>
                <w:sz w:val="22"/>
                <w:szCs w:val="22"/>
              </w:rPr>
            </w:pPr>
          </w:p>
        </w:tc>
        <w:tc>
          <w:tcPr>
            <w:tcW w:w="419" w:type="pct"/>
            <w:tcBorders>
              <w:top w:val="single" w:sz="4" w:space="0" w:color="auto"/>
            </w:tcBorders>
          </w:tcPr>
          <w:p w:rsidR="00913796" w:rsidRPr="001B669F" w:rsidRDefault="00913796" w:rsidP="00913796">
            <w:pPr>
              <w:rPr>
                <w:rFonts w:ascii="Times New Roman" w:hAnsi="Times New Roman" w:cs="Times New Roman"/>
                <w:b/>
                <w:sz w:val="22"/>
                <w:szCs w:val="22"/>
              </w:rPr>
            </w:pPr>
          </w:p>
        </w:tc>
        <w:tc>
          <w:tcPr>
            <w:tcW w:w="684" w:type="pct"/>
            <w:tcBorders>
              <w:top w:val="single" w:sz="4" w:space="0" w:color="auto"/>
            </w:tcBorders>
          </w:tcPr>
          <w:p w:rsidR="00913796" w:rsidRPr="001B669F" w:rsidRDefault="00913796" w:rsidP="00913796">
            <w:pPr>
              <w:rPr>
                <w:rFonts w:ascii="Times New Roman" w:hAnsi="Times New Roman" w:cs="Times New Roman"/>
                <w:b/>
                <w:sz w:val="22"/>
                <w:szCs w:val="22"/>
              </w:rPr>
            </w:pPr>
          </w:p>
        </w:tc>
        <w:tc>
          <w:tcPr>
            <w:tcW w:w="104" w:type="pct"/>
            <w:tcBorders>
              <w:top w:val="single" w:sz="4" w:space="0" w:color="auto"/>
            </w:tcBorders>
          </w:tcPr>
          <w:p w:rsidR="00913796" w:rsidRPr="001B669F" w:rsidRDefault="00913796" w:rsidP="00913796">
            <w:pPr>
              <w:rPr>
                <w:rFonts w:ascii="Times New Roman" w:hAnsi="Times New Roman" w:cs="Times New Roman"/>
                <w:b/>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p>
        </w:tc>
        <w:tc>
          <w:tcPr>
            <w:tcW w:w="1346" w:type="pct"/>
          </w:tcPr>
          <w:p w:rsidR="00913796" w:rsidRPr="001B669F" w:rsidRDefault="00913796" w:rsidP="00913796">
            <w:pPr>
              <w:rPr>
                <w:rFonts w:ascii="Times New Roman" w:hAnsi="Times New Roman" w:cs="Times New Roman"/>
                <w:b/>
                <w:sz w:val="22"/>
                <w:szCs w:val="22"/>
              </w:rPr>
            </w:pPr>
          </w:p>
        </w:tc>
        <w:tc>
          <w:tcPr>
            <w:tcW w:w="536" w:type="pct"/>
          </w:tcPr>
          <w:p w:rsidR="00913796" w:rsidRPr="001B669F" w:rsidRDefault="00913796" w:rsidP="00913796">
            <w:pPr>
              <w:jc w:val="center"/>
              <w:rPr>
                <w:rFonts w:ascii="Times New Roman" w:hAnsi="Times New Roman" w:cs="Times New Roman"/>
                <w:b/>
                <w:sz w:val="22"/>
                <w:szCs w:val="22"/>
              </w:rPr>
            </w:pPr>
          </w:p>
        </w:tc>
        <w:tc>
          <w:tcPr>
            <w:tcW w:w="536" w:type="pct"/>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PRO RATA</w:t>
            </w:r>
          </w:p>
        </w:tc>
        <w:tc>
          <w:tcPr>
            <w:tcW w:w="604" w:type="pct"/>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BALANCE</w:t>
            </w:r>
          </w:p>
        </w:tc>
        <w:tc>
          <w:tcPr>
            <w:tcW w:w="593" w:type="pct"/>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PERCENT</w:t>
            </w:r>
          </w:p>
        </w:tc>
        <w:tc>
          <w:tcPr>
            <w:tcW w:w="419" w:type="pct"/>
          </w:tcPr>
          <w:p w:rsidR="00913796" w:rsidRPr="001B669F" w:rsidRDefault="00913796" w:rsidP="00913796">
            <w:pPr>
              <w:jc w:val="center"/>
              <w:rPr>
                <w:rFonts w:ascii="Times New Roman" w:hAnsi="Times New Roman" w:cs="Times New Roman"/>
                <w:b/>
                <w:sz w:val="22"/>
                <w:szCs w:val="22"/>
              </w:rPr>
            </w:pPr>
          </w:p>
        </w:tc>
        <w:tc>
          <w:tcPr>
            <w:tcW w:w="684" w:type="pct"/>
          </w:tcPr>
          <w:p w:rsidR="00913796" w:rsidRPr="001B669F" w:rsidRDefault="00913796" w:rsidP="00913796">
            <w:pPr>
              <w:jc w:val="center"/>
              <w:rPr>
                <w:rFonts w:ascii="Times New Roman" w:hAnsi="Times New Roman" w:cs="Times New Roman"/>
                <w:b/>
                <w:sz w:val="22"/>
                <w:szCs w:val="22"/>
              </w:rPr>
            </w:pPr>
          </w:p>
        </w:tc>
        <w:tc>
          <w:tcPr>
            <w:tcW w:w="104" w:type="pct"/>
          </w:tcPr>
          <w:p w:rsidR="00913796" w:rsidRPr="001B669F" w:rsidRDefault="00913796" w:rsidP="00913796">
            <w:pPr>
              <w:rPr>
                <w:rFonts w:ascii="Times New Roman" w:hAnsi="Times New Roman" w:cs="Times New Roman"/>
                <w:b/>
                <w:sz w:val="22"/>
                <w:szCs w:val="22"/>
              </w:rPr>
            </w:pPr>
          </w:p>
        </w:tc>
      </w:tr>
      <w:tr w:rsidR="00913796" w:rsidRPr="001B669F" w:rsidTr="001B669F">
        <w:tc>
          <w:tcPr>
            <w:tcW w:w="178" w:type="pct"/>
            <w:tcBorders>
              <w:bottom w:val="nil"/>
            </w:tcBorders>
          </w:tcPr>
          <w:p w:rsidR="00913796" w:rsidRPr="001B669F" w:rsidRDefault="00913796" w:rsidP="00913796">
            <w:pPr>
              <w:rPr>
                <w:rFonts w:ascii="Times New Roman" w:hAnsi="Times New Roman" w:cs="Times New Roman"/>
                <w:sz w:val="22"/>
                <w:szCs w:val="22"/>
              </w:rPr>
            </w:pPr>
          </w:p>
        </w:tc>
        <w:tc>
          <w:tcPr>
            <w:tcW w:w="1346" w:type="pct"/>
            <w:tcBorders>
              <w:bottom w:val="nil"/>
            </w:tcBorders>
          </w:tcPr>
          <w:p w:rsidR="00913796" w:rsidRPr="001B669F" w:rsidRDefault="00913796" w:rsidP="00913796">
            <w:pPr>
              <w:rPr>
                <w:rFonts w:ascii="Times New Roman" w:hAnsi="Times New Roman" w:cs="Times New Roman"/>
                <w:b/>
                <w:sz w:val="22"/>
                <w:szCs w:val="22"/>
              </w:rPr>
            </w:pPr>
          </w:p>
        </w:tc>
        <w:tc>
          <w:tcPr>
            <w:tcW w:w="536" w:type="pct"/>
            <w:tcBorders>
              <w:bottom w:val="nil"/>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PER</w:t>
            </w:r>
          </w:p>
        </w:tc>
        <w:tc>
          <w:tcPr>
            <w:tcW w:w="536" w:type="pct"/>
            <w:tcBorders>
              <w:bottom w:val="nil"/>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ADJUST-</w:t>
            </w:r>
          </w:p>
        </w:tc>
        <w:tc>
          <w:tcPr>
            <w:tcW w:w="604" w:type="pct"/>
            <w:tcBorders>
              <w:bottom w:val="nil"/>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PER</w:t>
            </w:r>
          </w:p>
        </w:tc>
        <w:tc>
          <w:tcPr>
            <w:tcW w:w="593" w:type="pct"/>
            <w:tcBorders>
              <w:bottom w:val="nil"/>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OF</w:t>
            </w:r>
          </w:p>
        </w:tc>
        <w:tc>
          <w:tcPr>
            <w:tcW w:w="419" w:type="pct"/>
            <w:tcBorders>
              <w:bottom w:val="nil"/>
            </w:tcBorders>
          </w:tcPr>
          <w:p w:rsidR="00913796" w:rsidRPr="001B669F" w:rsidRDefault="00913796" w:rsidP="00913796">
            <w:pPr>
              <w:jc w:val="center"/>
              <w:rPr>
                <w:rFonts w:ascii="Times New Roman" w:hAnsi="Times New Roman" w:cs="Times New Roman"/>
                <w:b/>
                <w:sz w:val="22"/>
                <w:szCs w:val="22"/>
              </w:rPr>
            </w:pPr>
          </w:p>
        </w:tc>
        <w:tc>
          <w:tcPr>
            <w:tcW w:w="684" w:type="pct"/>
            <w:tcBorders>
              <w:bottom w:val="nil"/>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WEIGHTED</w:t>
            </w:r>
          </w:p>
        </w:tc>
        <w:tc>
          <w:tcPr>
            <w:tcW w:w="104" w:type="pct"/>
            <w:tcBorders>
              <w:bottom w:val="nil"/>
            </w:tcBorders>
          </w:tcPr>
          <w:p w:rsidR="00913796" w:rsidRPr="001B669F" w:rsidRDefault="00913796" w:rsidP="00913796">
            <w:pPr>
              <w:rPr>
                <w:rFonts w:ascii="Times New Roman" w:hAnsi="Times New Roman" w:cs="Times New Roman"/>
                <w:b/>
                <w:sz w:val="22"/>
                <w:szCs w:val="22"/>
              </w:rPr>
            </w:pPr>
          </w:p>
        </w:tc>
      </w:tr>
      <w:tr w:rsidR="00913796" w:rsidRPr="001B669F" w:rsidTr="001B669F">
        <w:tc>
          <w:tcPr>
            <w:tcW w:w="178" w:type="pct"/>
            <w:tcBorders>
              <w:top w:val="nil"/>
              <w:bottom w:val="single" w:sz="4" w:space="0" w:color="auto"/>
            </w:tcBorders>
          </w:tcPr>
          <w:p w:rsidR="00913796" w:rsidRPr="001B669F" w:rsidRDefault="00913796" w:rsidP="00913796">
            <w:pPr>
              <w:rPr>
                <w:rFonts w:ascii="Times New Roman" w:hAnsi="Times New Roman" w:cs="Times New Roman"/>
                <w:sz w:val="22"/>
                <w:szCs w:val="22"/>
              </w:rPr>
            </w:pPr>
          </w:p>
        </w:tc>
        <w:tc>
          <w:tcPr>
            <w:tcW w:w="1346" w:type="pct"/>
            <w:tcBorders>
              <w:top w:val="nil"/>
              <w:bottom w:val="single" w:sz="4" w:space="0" w:color="auto"/>
            </w:tcBorders>
          </w:tcPr>
          <w:p w:rsidR="00913796" w:rsidRPr="001B669F" w:rsidRDefault="00913796" w:rsidP="00913796">
            <w:pPr>
              <w:rPr>
                <w:rFonts w:ascii="Times New Roman" w:hAnsi="Times New Roman" w:cs="Times New Roman"/>
                <w:b/>
                <w:sz w:val="22"/>
                <w:szCs w:val="22"/>
              </w:rPr>
            </w:pPr>
            <w:r w:rsidRPr="001B669F">
              <w:rPr>
                <w:rFonts w:ascii="Times New Roman" w:hAnsi="Times New Roman" w:cs="Times New Roman"/>
                <w:b/>
                <w:sz w:val="22"/>
                <w:szCs w:val="22"/>
              </w:rPr>
              <w:t>CAPITAL COMPONENT</w:t>
            </w:r>
          </w:p>
        </w:tc>
        <w:tc>
          <w:tcPr>
            <w:tcW w:w="536" w:type="pct"/>
            <w:tcBorders>
              <w:top w:val="nil"/>
              <w:bottom w:val="single" w:sz="4" w:space="0" w:color="auto"/>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UTILITY</w:t>
            </w:r>
          </w:p>
        </w:tc>
        <w:tc>
          <w:tcPr>
            <w:tcW w:w="536" w:type="pct"/>
            <w:tcBorders>
              <w:top w:val="nil"/>
              <w:bottom w:val="single" w:sz="4" w:space="0" w:color="auto"/>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MENTS</w:t>
            </w:r>
          </w:p>
        </w:tc>
        <w:tc>
          <w:tcPr>
            <w:tcW w:w="604" w:type="pct"/>
            <w:tcBorders>
              <w:top w:val="nil"/>
              <w:bottom w:val="single" w:sz="4" w:space="0" w:color="auto"/>
            </w:tcBorders>
          </w:tcPr>
          <w:p w:rsidR="00913796" w:rsidRPr="001B669F" w:rsidRDefault="00D967A0" w:rsidP="00913796">
            <w:pPr>
              <w:jc w:val="center"/>
              <w:rPr>
                <w:rFonts w:ascii="Times New Roman" w:hAnsi="Times New Roman" w:cs="Times New Roman"/>
                <w:b/>
                <w:sz w:val="22"/>
                <w:szCs w:val="22"/>
              </w:rPr>
            </w:pPr>
            <w:r>
              <w:rPr>
                <w:rFonts w:ascii="Times New Roman" w:hAnsi="Times New Roman" w:cs="Times New Roman"/>
                <w:b/>
                <w:sz w:val="22"/>
                <w:szCs w:val="22"/>
              </w:rPr>
              <w:t>COMM.</w:t>
            </w:r>
          </w:p>
        </w:tc>
        <w:tc>
          <w:tcPr>
            <w:tcW w:w="593" w:type="pct"/>
            <w:tcBorders>
              <w:top w:val="nil"/>
              <w:bottom w:val="single" w:sz="4" w:space="0" w:color="auto"/>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TOTAL</w:t>
            </w:r>
          </w:p>
        </w:tc>
        <w:tc>
          <w:tcPr>
            <w:tcW w:w="419" w:type="pct"/>
            <w:tcBorders>
              <w:top w:val="nil"/>
              <w:bottom w:val="single" w:sz="4" w:space="0" w:color="auto"/>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COST</w:t>
            </w:r>
          </w:p>
        </w:tc>
        <w:tc>
          <w:tcPr>
            <w:tcW w:w="684" w:type="pct"/>
            <w:tcBorders>
              <w:top w:val="nil"/>
              <w:bottom w:val="single" w:sz="4" w:space="0" w:color="auto"/>
            </w:tcBorders>
          </w:tcPr>
          <w:p w:rsidR="00913796" w:rsidRPr="001B669F" w:rsidRDefault="00913796" w:rsidP="00913796">
            <w:pPr>
              <w:jc w:val="center"/>
              <w:rPr>
                <w:rFonts w:ascii="Times New Roman" w:hAnsi="Times New Roman" w:cs="Times New Roman"/>
                <w:b/>
                <w:sz w:val="22"/>
                <w:szCs w:val="22"/>
              </w:rPr>
            </w:pPr>
            <w:r w:rsidRPr="001B669F">
              <w:rPr>
                <w:rFonts w:ascii="Times New Roman" w:hAnsi="Times New Roman" w:cs="Times New Roman"/>
                <w:b/>
                <w:sz w:val="22"/>
                <w:szCs w:val="22"/>
              </w:rPr>
              <w:t>COST</w:t>
            </w:r>
          </w:p>
        </w:tc>
        <w:tc>
          <w:tcPr>
            <w:tcW w:w="104" w:type="pct"/>
            <w:tcBorders>
              <w:top w:val="nil"/>
              <w:bottom w:val="single" w:sz="4" w:space="0" w:color="auto"/>
            </w:tcBorders>
          </w:tcPr>
          <w:p w:rsidR="00913796" w:rsidRPr="001B669F" w:rsidRDefault="00913796" w:rsidP="00913796">
            <w:pPr>
              <w:rPr>
                <w:rFonts w:ascii="Times New Roman" w:hAnsi="Times New Roman" w:cs="Times New Roman"/>
                <w:b/>
                <w:sz w:val="22"/>
                <w:szCs w:val="22"/>
              </w:rPr>
            </w:pPr>
          </w:p>
        </w:tc>
      </w:tr>
      <w:tr w:rsidR="00913796" w:rsidRPr="001B669F" w:rsidTr="001B669F">
        <w:tc>
          <w:tcPr>
            <w:tcW w:w="178" w:type="pct"/>
            <w:tcBorders>
              <w:top w:val="single" w:sz="4" w:space="0" w:color="auto"/>
            </w:tcBorders>
          </w:tcPr>
          <w:p w:rsidR="00913796" w:rsidRPr="001B669F" w:rsidRDefault="00913796" w:rsidP="00913796">
            <w:pPr>
              <w:rPr>
                <w:rFonts w:ascii="Times New Roman" w:hAnsi="Times New Roman" w:cs="Times New Roman"/>
                <w:sz w:val="22"/>
                <w:szCs w:val="22"/>
              </w:rPr>
            </w:pPr>
          </w:p>
        </w:tc>
        <w:tc>
          <w:tcPr>
            <w:tcW w:w="1346" w:type="pct"/>
            <w:tcBorders>
              <w:top w:val="single" w:sz="4" w:space="0" w:color="auto"/>
            </w:tcBorders>
          </w:tcPr>
          <w:p w:rsidR="00913796" w:rsidRPr="001B669F" w:rsidRDefault="00913796" w:rsidP="00913796">
            <w:pPr>
              <w:rPr>
                <w:rFonts w:ascii="Times New Roman" w:hAnsi="Times New Roman" w:cs="Times New Roman"/>
                <w:sz w:val="22"/>
                <w:szCs w:val="22"/>
              </w:rPr>
            </w:pPr>
          </w:p>
        </w:tc>
        <w:tc>
          <w:tcPr>
            <w:tcW w:w="536" w:type="pct"/>
            <w:tcBorders>
              <w:top w:val="single" w:sz="4" w:space="0" w:color="auto"/>
            </w:tcBorders>
          </w:tcPr>
          <w:p w:rsidR="00913796" w:rsidRPr="001B669F" w:rsidRDefault="00913796" w:rsidP="00913796">
            <w:pPr>
              <w:rPr>
                <w:rFonts w:ascii="Times New Roman" w:hAnsi="Times New Roman" w:cs="Times New Roman"/>
                <w:sz w:val="22"/>
                <w:szCs w:val="22"/>
              </w:rPr>
            </w:pPr>
          </w:p>
        </w:tc>
        <w:tc>
          <w:tcPr>
            <w:tcW w:w="536" w:type="pct"/>
            <w:tcBorders>
              <w:top w:val="single" w:sz="4" w:space="0" w:color="auto"/>
            </w:tcBorders>
          </w:tcPr>
          <w:p w:rsidR="00913796" w:rsidRPr="001B669F" w:rsidRDefault="00913796" w:rsidP="00913796">
            <w:pPr>
              <w:rPr>
                <w:rFonts w:ascii="Times New Roman" w:hAnsi="Times New Roman" w:cs="Times New Roman"/>
                <w:sz w:val="22"/>
                <w:szCs w:val="22"/>
              </w:rPr>
            </w:pPr>
          </w:p>
        </w:tc>
        <w:tc>
          <w:tcPr>
            <w:tcW w:w="604" w:type="pct"/>
            <w:tcBorders>
              <w:top w:val="single" w:sz="4" w:space="0" w:color="auto"/>
            </w:tcBorders>
          </w:tcPr>
          <w:p w:rsidR="00913796" w:rsidRPr="001B669F" w:rsidRDefault="00913796" w:rsidP="00913796">
            <w:pPr>
              <w:rPr>
                <w:rFonts w:ascii="Times New Roman" w:hAnsi="Times New Roman" w:cs="Times New Roman"/>
                <w:sz w:val="22"/>
                <w:szCs w:val="22"/>
              </w:rPr>
            </w:pPr>
          </w:p>
        </w:tc>
        <w:tc>
          <w:tcPr>
            <w:tcW w:w="593" w:type="pct"/>
            <w:tcBorders>
              <w:top w:val="single" w:sz="4" w:space="0" w:color="auto"/>
            </w:tcBorders>
          </w:tcPr>
          <w:p w:rsidR="00913796" w:rsidRPr="001B669F" w:rsidRDefault="00913796" w:rsidP="00913796">
            <w:pPr>
              <w:rPr>
                <w:rFonts w:ascii="Times New Roman" w:hAnsi="Times New Roman" w:cs="Times New Roman"/>
                <w:sz w:val="22"/>
                <w:szCs w:val="22"/>
              </w:rPr>
            </w:pPr>
          </w:p>
        </w:tc>
        <w:tc>
          <w:tcPr>
            <w:tcW w:w="419" w:type="pct"/>
            <w:tcBorders>
              <w:top w:val="single" w:sz="4" w:space="0" w:color="auto"/>
            </w:tcBorders>
          </w:tcPr>
          <w:p w:rsidR="00913796" w:rsidRPr="001B669F" w:rsidRDefault="00913796" w:rsidP="00913796">
            <w:pPr>
              <w:rPr>
                <w:rFonts w:ascii="Times New Roman" w:hAnsi="Times New Roman" w:cs="Times New Roman"/>
                <w:sz w:val="22"/>
                <w:szCs w:val="22"/>
              </w:rPr>
            </w:pPr>
          </w:p>
        </w:tc>
        <w:tc>
          <w:tcPr>
            <w:tcW w:w="684" w:type="pct"/>
            <w:tcBorders>
              <w:top w:val="single" w:sz="4" w:space="0" w:color="auto"/>
            </w:tcBorders>
          </w:tcPr>
          <w:p w:rsidR="00913796" w:rsidRPr="001B669F" w:rsidRDefault="00913796" w:rsidP="00913796">
            <w:pPr>
              <w:rPr>
                <w:rFonts w:ascii="Times New Roman" w:hAnsi="Times New Roman" w:cs="Times New Roman"/>
                <w:sz w:val="22"/>
                <w:szCs w:val="22"/>
              </w:rPr>
            </w:pPr>
          </w:p>
        </w:tc>
        <w:tc>
          <w:tcPr>
            <w:tcW w:w="104" w:type="pct"/>
            <w:tcBorders>
              <w:top w:val="single" w:sz="4" w:space="0" w:color="auto"/>
            </w:tcBorders>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1.</w:t>
            </w:r>
          </w:p>
        </w:tc>
        <w:tc>
          <w:tcPr>
            <w:tcW w:w="1346"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LONG-TERM DEBT</w:t>
            </w:r>
          </w:p>
        </w:tc>
        <w:tc>
          <w:tcPr>
            <w:tcW w:w="536"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$169,167</w:t>
            </w:r>
          </w:p>
        </w:tc>
        <w:tc>
          <w:tcPr>
            <w:tcW w:w="536"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$3,534</w:t>
            </w:r>
          </w:p>
        </w:tc>
        <w:tc>
          <w:tcPr>
            <w:tcW w:w="604"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$172,701</w:t>
            </w:r>
          </w:p>
        </w:tc>
        <w:tc>
          <w:tcPr>
            <w:tcW w:w="593"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73.13%</w:t>
            </w:r>
          </w:p>
        </w:tc>
        <w:tc>
          <w:tcPr>
            <w:tcW w:w="419"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5.53%</w:t>
            </w:r>
          </w:p>
        </w:tc>
        <w:tc>
          <w:tcPr>
            <w:tcW w:w="684"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4.04%</w:t>
            </w: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2.</w:t>
            </w:r>
          </w:p>
        </w:tc>
        <w:tc>
          <w:tcPr>
            <w:tcW w:w="1346"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SHORT-TERM DEBT</w:t>
            </w:r>
          </w:p>
        </w:tc>
        <w:tc>
          <w:tcPr>
            <w:tcW w:w="536"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w:t>
            </w:r>
          </w:p>
        </w:tc>
        <w:tc>
          <w:tcPr>
            <w:tcW w:w="536"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w:t>
            </w:r>
          </w:p>
        </w:tc>
        <w:tc>
          <w:tcPr>
            <w:tcW w:w="604"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w:t>
            </w:r>
          </w:p>
        </w:tc>
        <w:tc>
          <w:tcPr>
            <w:tcW w:w="593"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0.00%</w:t>
            </w:r>
          </w:p>
        </w:tc>
        <w:tc>
          <w:tcPr>
            <w:tcW w:w="419"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0.00%</w:t>
            </w:r>
          </w:p>
        </w:tc>
        <w:tc>
          <w:tcPr>
            <w:tcW w:w="684"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0.00%</w:t>
            </w: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3.</w:t>
            </w:r>
          </w:p>
        </w:tc>
        <w:tc>
          <w:tcPr>
            <w:tcW w:w="1346"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COMMON EQUITY</w:t>
            </w:r>
          </w:p>
        </w:tc>
        <w:tc>
          <w:tcPr>
            <w:tcW w:w="536"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61,461</w:t>
            </w:r>
          </w:p>
        </w:tc>
        <w:tc>
          <w:tcPr>
            <w:tcW w:w="536"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1,284</w:t>
            </w:r>
          </w:p>
        </w:tc>
        <w:tc>
          <w:tcPr>
            <w:tcW w:w="604"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62,745</w:t>
            </w:r>
          </w:p>
        </w:tc>
        <w:tc>
          <w:tcPr>
            <w:tcW w:w="593"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26.57%</w:t>
            </w:r>
          </w:p>
        </w:tc>
        <w:tc>
          <w:tcPr>
            <w:tcW w:w="419"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10.45%</w:t>
            </w:r>
          </w:p>
        </w:tc>
        <w:tc>
          <w:tcPr>
            <w:tcW w:w="684"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2.78%</w:t>
            </w: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4.</w:t>
            </w:r>
          </w:p>
        </w:tc>
        <w:tc>
          <w:tcPr>
            <w:tcW w:w="1346"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CUSTOMER DEPOSITS</w:t>
            </w:r>
          </w:p>
        </w:tc>
        <w:tc>
          <w:tcPr>
            <w:tcW w:w="536"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700</w:t>
            </w:r>
          </w:p>
        </w:tc>
        <w:tc>
          <w:tcPr>
            <w:tcW w:w="536"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w:t>
            </w:r>
          </w:p>
        </w:tc>
        <w:tc>
          <w:tcPr>
            <w:tcW w:w="604"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700</w:t>
            </w:r>
          </w:p>
        </w:tc>
        <w:tc>
          <w:tcPr>
            <w:tcW w:w="593"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0.30%</w:t>
            </w:r>
          </w:p>
        </w:tc>
        <w:tc>
          <w:tcPr>
            <w:tcW w:w="419"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2.00%</w:t>
            </w:r>
          </w:p>
        </w:tc>
        <w:tc>
          <w:tcPr>
            <w:tcW w:w="684"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0.01%</w:t>
            </w: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5.</w:t>
            </w:r>
          </w:p>
        </w:tc>
        <w:tc>
          <w:tcPr>
            <w:tcW w:w="1346"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DEFERRED INCOME TAXES</w:t>
            </w:r>
          </w:p>
        </w:tc>
        <w:tc>
          <w:tcPr>
            <w:tcW w:w="536" w:type="pct"/>
          </w:tcPr>
          <w:p w:rsidR="00913796" w:rsidRPr="001B669F" w:rsidRDefault="00913796" w:rsidP="00913796">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0</w:t>
            </w:r>
          </w:p>
        </w:tc>
        <w:tc>
          <w:tcPr>
            <w:tcW w:w="536" w:type="pct"/>
          </w:tcPr>
          <w:p w:rsidR="00913796" w:rsidRPr="001B669F" w:rsidRDefault="00913796" w:rsidP="00913796">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0</w:t>
            </w:r>
          </w:p>
        </w:tc>
        <w:tc>
          <w:tcPr>
            <w:tcW w:w="604" w:type="pct"/>
          </w:tcPr>
          <w:p w:rsidR="00913796" w:rsidRPr="001B669F" w:rsidRDefault="00913796" w:rsidP="00913796">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0</w:t>
            </w:r>
          </w:p>
        </w:tc>
        <w:tc>
          <w:tcPr>
            <w:tcW w:w="593" w:type="pct"/>
          </w:tcPr>
          <w:p w:rsidR="00913796" w:rsidRPr="001B669F" w:rsidRDefault="00913796" w:rsidP="00913796">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0.00%</w:t>
            </w:r>
          </w:p>
        </w:tc>
        <w:tc>
          <w:tcPr>
            <w:tcW w:w="419" w:type="pct"/>
          </w:tcPr>
          <w:p w:rsidR="00913796" w:rsidRPr="001B669F" w:rsidRDefault="00913796" w:rsidP="00913796">
            <w:pPr>
              <w:jc w:val="right"/>
              <w:rPr>
                <w:rFonts w:ascii="Times New Roman" w:hAnsi="Times New Roman" w:cs="Times New Roman"/>
                <w:sz w:val="22"/>
                <w:szCs w:val="22"/>
              </w:rPr>
            </w:pPr>
            <w:r w:rsidRPr="001B669F">
              <w:rPr>
                <w:rFonts w:ascii="Times New Roman" w:hAnsi="Times New Roman" w:cs="Times New Roman"/>
                <w:sz w:val="22"/>
                <w:szCs w:val="22"/>
              </w:rPr>
              <w:t>0.00%</w:t>
            </w:r>
          </w:p>
        </w:tc>
        <w:tc>
          <w:tcPr>
            <w:tcW w:w="684" w:type="pct"/>
          </w:tcPr>
          <w:p w:rsidR="00913796" w:rsidRPr="001B669F" w:rsidRDefault="00913796" w:rsidP="00913796">
            <w:pPr>
              <w:jc w:val="right"/>
              <w:rPr>
                <w:rFonts w:ascii="Times New Roman" w:hAnsi="Times New Roman" w:cs="Times New Roman"/>
                <w:sz w:val="22"/>
                <w:szCs w:val="22"/>
                <w:u w:val="single"/>
              </w:rPr>
            </w:pPr>
            <w:r w:rsidRPr="001B669F">
              <w:rPr>
                <w:rFonts w:ascii="Times New Roman" w:hAnsi="Times New Roman" w:cs="Times New Roman"/>
                <w:sz w:val="22"/>
                <w:szCs w:val="22"/>
                <w:u w:val="single"/>
              </w:rPr>
              <w:t>0.00%</w:t>
            </w: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p>
        </w:tc>
        <w:tc>
          <w:tcPr>
            <w:tcW w:w="1346" w:type="pct"/>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 xml:space="preserve">   TOTAL CAPITAL</w:t>
            </w:r>
          </w:p>
        </w:tc>
        <w:tc>
          <w:tcPr>
            <w:tcW w:w="536" w:type="pct"/>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$231,328</w:t>
            </w:r>
          </w:p>
        </w:tc>
        <w:tc>
          <w:tcPr>
            <w:tcW w:w="536" w:type="pct"/>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$4,818</w:t>
            </w:r>
          </w:p>
        </w:tc>
        <w:tc>
          <w:tcPr>
            <w:tcW w:w="604" w:type="pct"/>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$236,146</w:t>
            </w:r>
          </w:p>
        </w:tc>
        <w:tc>
          <w:tcPr>
            <w:tcW w:w="593" w:type="pct"/>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100.00%</w:t>
            </w:r>
          </w:p>
        </w:tc>
        <w:tc>
          <w:tcPr>
            <w:tcW w:w="419" w:type="pct"/>
          </w:tcPr>
          <w:p w:rsidR="00913796" w:rsidRPr="001B669F" w:rsidRDefault="00913796" w:rsidP="00913796">
            <w:pPr>
              <w:jc w:val="right"/>
              <w:rPr>
                <w:rFonts w:ascii="Times New Roman" w:hAnsi="Times New Roman" w:cs="Times New Roman"/>
                <w:sz w:val="22"/>
                <w:szCs w:val="22"/>
                <w:u w:val="double"/>
              </w:rPr>
            </w:pPr>
          </w:p>
        </w:tc>
        <w:tc>
          <w:tcPr>
            <w:tcW w:w="684" w:type="pct"/>
          </w:tcPr>
          <w:p w:rsidR="00913796" w:rsidRPr="001B669F" w:rsidRDefault="00913796" w:rsidP="00913796">
            <w:pPr>
              <w:jc w:val="right"/>
              <w:rPr>
                <w:rFonts w:ascii="Times New Roman" w:hAnsi="Times New Roman" w:cs="Times New Roman"/>
                <w:sz w:val="22"/>
                <w:szCs w:val="22"/>
                <w:u w:val="double"/>
              </w:rPr>
            </w:pPr>
            <w:r w:rsidRPr="001B669F">
              <w:rPr>
                <w:rFonts w:ascii="Times New Roman" w:hAnsi="Times New Roman" w:cs="Times New Roman"/>
                <w:sz w:val="22"/>
                <w:szCs w:val="22"/>
                <w:u w:val="double"/>
              </w:rPr>
              <w:t>6.83%</w:t>
            </w: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p>
        </w:tc>
        <w:tc>
          <w:tcPr>
            <w:tcW w:w="1346" w:type="pct"/>
          </w:tcPr>
          <w:p w:rsidR="00913796" w:rsidRPr="001B669F" w:rsidRDefault="00913796" w:rsidP="00913796">
            <w:pPr>
              <w:rPr>
                <w:rFonts w:ascii="Times New Roman" w:hAnsi="Times New Roman" w:cs="Times New Roman"/>
                <w:sz w:val="22"/>
                <w:szCs w:val="22"/>
              </w:rPr>
            </w:pPr>
          </w:p>
        </w:tc>
        <w:tc>
          <w:tcPr>
            <w:tcW w:w="536" w:type="pct"/>
          </w:tcPr>
          <w:p w:rsidR="00913796" w:rsidRPr="001B669F" w:rsidRDefault="00913796" w:rsidP="00913796">
            <w:pPr>
              <w:rPr>
                <w:rFonts w:ascii="Times New Roman" w:hAnsi="Times New Roman" w:cs="Times New Roman"/>
                <w:sz w:val="22"/>
                <w:szCs w:val="22"/>
              </w:rPr>
            </w:pPr>
          </w:p>
        </w:tc>
        <w:tc>
          <w:tcPr>
            <w:tcW w:w="536" w:type="pct"/>
          </w:tcPr>
          <w:p w:rsidR="00913796" w:rsidRPr="001B669F" w:rsidRDefault="00913796" w:rsidP="00913796">
            <w:pPr>
              <w:rPr>
                <w:rFonts w:ascii="Times New Roman" w:hAnsi="Times New Roman" w:cs="Times New Roman"/>
                <w:sz w:val="22"/>
                <w:szCs w:val="22"/>
              </w:rPr>
            </w:pPr>
          </w:p>
        </w:tc>
        <w:tc>
          <w:tcPr>
            <w:tcW w:w="604" w:type="pct"/>
          </w:tcPr>
          <w:p w:rsidR="00913796" w:rsidRPr="001B669F" w:rsidRDefault="00913796" w:rsidP="00913796">
            <w:pPr>
              <w:rPr>
                <w:rFonts w:ascii="Times New Roman" w:hAnsi="Times New Roman" w:cs="Times New Roman"/>
                <w:sz w:val="22"/>
                <w:szCs w:val="22"/>
              </w:rPr>
            </w:pPr>
          </w:p>
        </w:tc>
        <w:tc>
          <w:tcPr>
            <w:tcW w:w="593" w:type="pct"/>
          </w:tcPr>
          <w:p w:rsidR="00913796" w:rsidRPr="001B669F" w:rsidRDefault="00913796" w:rsidP="00913796">
            <w:pPr>
              <w:rPr>
                <w:rFonts w:ascii="Times New Roman" w:hAnsi="Times New Roman" w:cs="Times New Roman"/>
                <w:sz w:val="22"/>
                <w:szCs w:val="22"/>
              </w:rPr>
            </w:pPr>
          </w:p>
        </w:tc>
        <w:tc>
          <w:tcPr>
            <w:tcW w:w="419" w:type="pct"/>
          </w:tcPr>
          <w:p w:rsidR="00913796" w:rsidRPr="001B669F" w:rsidRDefault="00913796" w:rsidP="00913796">
            <w:pPr>
              <w:rPr>
                <w:rFonts w:ascii="Times New Roman" w:hAnsi="Times New Roman" w:cs="Times New Roman"/>
                <w:sz w:val="22"/>
                <w:szCs w:val="22"/>
              </w:rPr>
            </w:pPr>
          </w:p>
        </w:tc>
        <w:tc>
          <w:tcPr>
            <w:tcW w:w="684" w:type="pct"/>
          </w:tcPr>
          <w:p w:rsidR="00913796" w:rsidRPr="001B669F" w:rsidRDefault="00913796" w:rsidP="00913796">
            <w:pPr>
              <w:rPr>
                <w:rFonts w:ascii="Times New Roman" w:hAnsi="Times New Roman" w:cs="Times New Roman"/>
                <w:sz w:val="22"/>
                <w:szCs w:val="22"/>
              </w:rPr>
            </w:pP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p>
        </w:tc>
        <w:tc>
          <w:tcPr>
            <w:tcW w:w="1346" w:type="pct"/>
          </w:tcPr>
          <w:p w:rsidR="00913796" w:rsidRPr="001B669F" w:rsidRDefault="00913796" w:rsidP="00913796">
            <w:pPr>
              <w:rPr>
                <w:rFonts w:ascii="Times New Roman" w:hAnsi="Times New Roman" w:cs="Times New Roman"/>
                <w:sz w:val="22"/>
                <w:szCs w:val="22"/>
              </w:rPr>
            </w:pPr>
          </w:p>
        </w:tc>
        <w:tc>
          <w:tcPr>
            <w:tcW w:w="536" w:type="pct"/>
          </w:tcPr>
          <w:p w:rsidR="00913796" w:rsidRPr="001B669F" w:rsidRDefault="00913796" w:rsidP="00913796">
            <w:pPr>
              <w:rPr>
                <w:rFonts w:ascii="Times New Roman" w:hAnsi="Times New Roman" w:cs="Times New Roman"/>
                <w:sz w:val="22"/>
                <w:szCs w:val="22"/>
              </w:rPr>
            </w:pPr>
          </w:p>
        </w:tc>
        <w:tc>
          <w:tcPr>
            <w:tcW w:w="1733" w:type="pct"/>
            <w:gridSpan w:val="3"/>
          </w:tcPr>
          <w:p w:rsidR="00913796" w:rsidRPr="001B669F" w:rsidRDefault="00913796" w:rsidP="00913796">
            <w:pPr>
              <w:rPr>
                <w:rFonts w:ascii="Times New Roman" w:hAnsi="Times New Roman" w:cs="Times New Roman"/>
                <w:sz w:val="22"/>
                <w:szCs w:val="22"/>
                <w:u w:val="single"/>
              </w:rPr>
            </w:pPr>
            <w:r w:rsidRPr="001B669F">
              <w:rPr>
                <w:rFonts w:ascii="Times New Roman" w:hAnsi="Times New Roman" w:cs="Times New Roman"/>
                <w:sz w:val="22"/>
                <w:szCs w:val="22"/>
                <w:u w:val="single"/>
              </w:rPr>
              <w:t>RANGE OF REASONABLENESS</w:t>
            </w:r>
          </w:p>
        </w:tc>
        <w:tc>
          <w:tcPr>
            <w:tcW w:w="419" w:type="pct"/>
          </w:tcPr>
          <w:p w:rsidR="00913796" w:rsidRPr="001B669F" w:rsidRDefault="00913796" w:rsidP="00913796">
            <w:pPr>
              <w:jc w:val="center"/>
              <w:rPr>
                <w:rFonts w:ascii="Times New Roman" w:hAnsi="Times New Roman" w:cs="Times New Roman"/>
                <w:sz w:val="22"/>
                <w:szCs w:val="22"/>
                <w:u w:val="single"/>
              </w:rPr>
            </w:pPr>
            <w:r w:rsidRPr="001B669F">
              <w:rPr>
                <w:rFonts w:ascii="Times New Roman" w:hAnsi="Times New Roman" w:cs="Times New Roman"/>
                <w:sz w:val="22"/>
                <w:szCs w:val="22"/>
                <w:u w:val="single"/>
              </w:rPr>
              <w:t>LOW</w:t>
            </w:r>
          </w:p>
        </w:tc>
        <w:tc>
          <w:tcPr>
            <w:tcW w:w="684" w:type="pct"/>
          </w:tcPr>
          <w:p w:rsidR="00913796" w:rsidRPr="001B669F" w:rsidRDefault="00913796" w:rsidP="00913796">
            <w:pPr>
              <w:jc w:val="center"/>
              <w:rPr>
                <w:rFonts w:ascii="Times New Roman" w:hAnsi="Times New Roman" w:cs="Times New Roman"/>
                <w:sz w:val="22"/>
                <w:szCs w:val="22"/>
                <w:u w:val="single"/>
              </w:rPr>
            </w:pPr>
            <w:r w:rsidRPr="001B669F">
              <w:rPr>
                <w:rFonts w:ascii="Times New Roman" w:hAnsi="Times New Roman" w:cs="Times New Roman"/>
                <w:sz w:val="22"/>
                <w:szCs w:val="22"/>
                <w:u w:val="single"/>
              </w:rPr>
              <w:t>HIGH</w:t>
            </w: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p>
        </w:tc>
        <w:tc>
          <w:tcPr>
            <w:tcW w:w="1346" w:type="pct"/>
          </w:tcPr>
          <w:p w:rsidR="00913796" w:rsidRPr="001B669F" w:rsidRDefault="00913796" w:rsidP="00913796">
            <w:pPr>
              <w:rPr>
                <w:rFonts w:ascii="Times New Roman" w:hAnsi="Times New Roman" w:cs="Times New Roman"/>
                <w:sz w:val="22"/>
                <w:szCs w:val="22"/>
              </w:rPr>
            </w:pPr>
          </w:p>
        </w:tc>
        <w:tc>
          <w:tcPr>
            <w:tcW w:w="536" w:type="pct"/>
          </w:tcPr>
          <w:p w:rsidR="00913796" w:rsidRPr="001B669F" w:rsidRDefault="00913796" w:rsidP="00913796">
            <w:pPr>
              <w:rPr>
                <w:rFonts w:ascii="Times New Roman" w:hAnsi="Times New Roman" w:cs="Times New Roman"/>
                <w:sz w:val="22"/>
                <w:szCs w:val="22"/>
              </w:rPr>
            </w:pPr>
          </w:p>
        </w:tc>
        <w:tc>
          <w:tcPr>
            <w:tcW w:w="1733" w:type="pct"/>
            <w:gridSpan w:val="3"/>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 xml:space="preserve">  RETURN ON EQUITY</w:t>
            </w:r>
          </w:p>
        </w:tc>
        <w:tc>
          <w:tcPr>
            <w:tcW w:w="419" w:type="pct"/>
          </w:tcPr>
          <w:p w:rsidR="00913796" w:rsidRPr="001B669F" w:rsidRDefault="00913796" w:rsidP="00913796">
            <w:pPr>
              <w:jc w:val="center"/>
              <w:rPr>
                <w:rFonts w:ascii="Times New Roman" w:hAnsi="Times New Roman" w:cs="Times New Roman"/>
                <w:sz w:val="22"/>
                <w:szCs w:val="22"/>
              </w:rPr>
            </w:pPr>
            <w:r w:rsidRPr="001B669F">
              <w:rPr>
                <w:rFonts w:ascii="Times New Roman" w:hAnsi="Times New Roman" w:cs="Times New Roman"/>
                <w:sz w:val="22"/>
                <w:szCs w:val="22"/>
              </w:rPr>
              <w:t>9.45%</w:t>
            </w:r>
          </w:p>
        </w:tc>
        <w:tc>
          <w:tcPr>
            <w:tcW w:w="684" w:type="pct"/>
          </w:tcPr>
          <w:p w:rsidR="00913796" w:rsidRPr="001B669F" w:rsidRDefault="00913796" w:rsidP="00913796">
            <w:pPr>
              <w:jc w:val="center"/>
              <w:rPr>
                <w:rFonts w:ascii="Times New Roman" w:hAnsi="Times New Roman" w:cs="Times New Roman"/>
                <w:sz w:val="22"/>
                <w:szCs w:val="22"/>
              </w:rPr>
            </w:pPr>
            <w:r w:rsidRPr="001B669F">
              <w:rPr>
                <w:rFonts w:ascii="Times New Roman" w:hAnsi="Times New Roman" w:cs="Times New Roman"/>
                <w:sz w:val="22"/>
                <w:szCs w:val="22"/>
              </w:rPr>
              <w:t>11.45%</w:t>
            </w: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p>
        </w:tc>
        <w:tc>
          <w:tcPr>
            <w:tcW w:w="1346" w:type="pct"/>
          </w:tcPr>
          <w:p w:rsidR="00913796" w:rsidRPr="001B669F" w:rsidRDefault="00913796" w:rsidP="00913796">
            <w:pPr>
              <w:rPr>
                <w:rFonts w:ascii="Times New Roman" w:hAnsi="Times New Roman" w:cs="Times New Roman"/>
                <w:sz w:val="22"/>
                <w:szCs w:val="22"/>
              </w:rPr>
            </w:pPr>
          </w:p>
        </w:tc>
        <w:tc>
          <w:tcPr>
            <w:tcW w:w="536" w:type="pct"/>
          </w:tcPr>
          <w:p w:rsidR="00913796" w:rsidRPr="001B669F" w:rsidRDefault="00913796" w:rsidP="00913796">
            <w:pPr>
              <w:rPr>
                <w:rFonts w:ascii="Times New Roman" w:hAnsi="Times New Roman" w:cs="Times New Roman"/>
                <w:sz w:val="22"/>
                <w:szCs w:val="22"/>
              </w:rPr>
            </w:pPr>
          </w:p>
        </w:tc>
        <w:tc>
          <w:tcPr>
            <w:tcW w:w="1733" w:type="pct"/>
            <w:gridSpan w:val="3"/>
          </w:tcPr>
          <w:p w:rsidR="00913796" w:rsidRPr="001B669F" w:rsidRDefault="00913796" w:rsidP="00913796">
            <w:pPr>
              <w:rPr>
                <w:rFonts w:ascii="Times New Roman" w:hAnsi="Times New Roman" w:cs="Times New Roman"/>
                <w:sz w:val="22"/>
                <w:szCs w:val="22"/>
              </w:rPr>
            </w:pPr>
            <w:r w:rsidRPr="001B669F">
              <w:rPr>
                <w:rFonts w:ascii="Times New Roman" w:hAnsi="Times New Roman" w:cs="Times New Roman"/>
                <w:sz w:val="22"/>
                <w:szCs w:val="22"/>
              </w:rPr>
              <w:t xml:space="preserve">  OVERALL RATE OF RETURN</w:t>
            </w:r>
          </w:p>
        </w:tc>
        <w:tc>
          <w:tcPr>
            <w:tcW w:w="419" w:type="pct"/>
          </w:tcPr>
          <w:p w:rsidR="00913796" w:rsidRPr="001B669F" w:rsidRDefault="00913796" w:rsidP="00913796">
            <w:pPr>
              <w:jc w:val="center"/>
              <w:rPr>
                <w:rFonts w:ascii="Times New Roman" w:hAnsi="Times New Roman" w:cs="Times New Roman"/>
                <w:sz w:val="22"/>
                <w:szCs w:val="22"/>
              </w:rPr>
            </w:pPr>
            <w:r w:rsidRPr="001B669F">
              <w:rPr>
                <w:rFonts w:ascii="Times New Roman" w:hAnsi="Times New Roman" w:cs="Times New Roman"/>
                <w:sz w:val="22"/>
                <w:szCs w:val="22"/>
              </w:rPr>
              <w:t>6.56%</w:t>
            </w:r>
          </w:p>
        </w:tc>
        <w:tc>
          <w:tcPr>
            <w:tcW w:w="684" w:type="pct"/>
          </w:tcPr>
          <w:p w:rsidR="00913796" w:rsidRPr="001B669F" w:rsidRDefault="00913796" w:rsidP="00913796">
            <w:pPr>
              <w:jc w:val="center"/>
              <w:rPr>
                <w:rFonts w:ascii="Times New Roman" w:hAnsi="Times New Roman" w:cs="Times New Roman"/>
                <w:sz w:val="22"/>
                <w:szCs w:val="22"/>
              </w:rPr>
            </w:pPr>
            <w:r w:rsidRPr="001B669F">
              <w:rPr>
                <w:rFonts w:ascii="Times New Roman" w:hAnsi="Times New Roman" w:cs="Times New Roman"/>
                <w:sz w:val="22"/>
                <w:szCs w:val="22"/>
              </w:rPr>
              <w:t>7.09%</w:t>
            </w:r>
          </w:p>
        </w:tc>
        <w:tc>
          <w:tcPr>
            <w:tcW w:w="104" w:type="pct"/>
          </w:tcPr>
          <w:p w:rsidR="00913796" w:rsidRPr="001B669F" w:rsidRDefault="00913796" w:rsidP="00913796">
            <w:pPr>
              <w:rPr>
                <w:rFonts w:ascii="Times New Roman" w:hAnsi="Times New Roman" w:cs="Times New Roman"/>
                <w:sz w:val="22"/>
                <w:szCs w:val="22"/>
              </w:rPr>
            </w:pPr>
          </w:p>
        </w:tc>
      </w:tr>
      <w:tr w:rsidR="00913796" w:rsidRPr="001B669F" w:rsidTr="001B669F">
        <w:tc>
          <w:tcPr>
            <w:tcW w:w="178" w:type="pct"/>
          </w:tcPr>
          <w:p w:rsidR="00913796" w:rsidRPr="001B669F" w:rsidRDefault="00913796" w:rsidP="00913796">
            <w:pPr>
              <w:rPr>
                <w:rFonts w:ascii="Times New Roman" w:hAnsi="Times New Roman" w:cs="Times New Roman"/>
                <w:sz w:val="22"/>
                <w:szCs w:val="22"/>
              </w:rPr>
            </w:pPr>
          </w:p>
        </w:tc>
        <w:tc>
          <w:tcPr>
            <w:tcW w:w="1346" w:type="pct"/>
          </w:tcPr>
          <w:p w:rsidR="00913796" w:rsidRPr="001B669F" w:rsidRDefault="00913796" w:rsidP="00913796">
            <w:pPr>
              <w:rPr>
                <w:rFonts w:ascii="Times New Roman" w:hAnsi="Times New Roman" w:cs="Times New Roman"/>
                <w:sz w:val="22"/>
                <w:szCs w:val="22"/>
              </w:rPr>
            </w:pPr>
          </w:p>
        </w:tc>
        <w:tc>
          <w:tcPr>
            <w:tcW w:w="536" w:type="pct"/>
          </w:tcPr>
          <w:p w:rsidR="00913796" w:rsidRPr="001B669F" w:rsidRDefault="00913796" w:rsidP="00913796">
            <w:pPr>
              <w:rPr>
                <w:rFonts w:ascii="Times New Roman" w:hAnsi="Times New Roman" w:cs="Times New Roman"/>
                <w:sz w:val="22"/>
                <w:szCs w:val="22"/>
              </w:rPr>
            </w:pPr>
          </w:p>
        </w:tc>
        <w:tc>
          <w:tcPr>
            <w:tcW w:w="1733" w:type="pct"/>
            <w:gridSpan w:val="3"/>
          </w:tcPr>
          <w:p w:rsidR="00913796" w:rsidRPr="001B669F" w:rsidRDefault="00913796" w:rsidP="00913796">
            <w:pPr>
              <w:rPr>
                <w:rFonts w:ascii="Times New Roman" w:hAnsi="Times New Roman" w:cs="Times New Roman"/>
                <w:sz w:val="22"/>
                <w:szCs w:val="22"/>
              </w:rPr>
            </w:pPr>
          </w:p>
        </w:tc>
        <w:tc>
          <w:tcPr>
            <w:tcW w:w="419" w:type="pct"/>
          </w:tcPr>
          <w:p w:rsidR="00913796" w:rsidRPr="001B669F" w:rsidRDefault="00913796" w:rsidP="00913796">
            <w:pPr>
              <w:rPr>
                <w:rFonts w:ascii="Times New Roman" w:hAnsi="Times New Roman" w:cs="Times New Roman"/>
                <w:sz w:val="22"/>
                <w:szCs w:val="22"/>
              </w:rPr>
            </w:pPr>
          </w:p>
        </w:tc>
        <w:tc>
          <w:tcPr>
            <w:tcW w:w="684" w:type="pct"/>
          </w:tcPr>
          <w:p w:rsidR="00913796" w:rsidRPr="001B669F" w:rsidRDefault="00913796" w:rsidP="00913796">
            <w:pPr>
              <w:rPr>
                <w:rFonts w:ascii="Times New Roman" w:hAnsi="Times New Roman" w:cs="Times New Roman"/>
                <w:sz w:val="22"/>
                <w:szCs w:val="22"/>
              </w:rPr>
            </w:pPr>
          </w:p>
        </w:tc>
        <w:tc>
          <w:tcPr>
            <w:tcW w:w="104" w:type="pct"/>
          </w:tcPr>
          <w:p w:rsidR="00913796" w:rsidRPr="001B669F" w:rsidRDefault="00913796" w:rsidP="00913796">
            <w:pPr>
              <w:rPr>
                <w:rFonts w:ascii="Times New Roman" w:hAnsi="Times New Roman" w:cs="Times New Roman"/>
                <w:sz w:val="22"/>
                <w:szCs w:val="22"/>
              </w:rPr>
            </w:pPr>
          </w:p>
        </w:tc>
      </w:tr>
    </w:tbl>
    <w:p w:rsidR="00913796" w:rsidRPr="001B669F" w:rsidRDefault="00913796" w:rsidP="00913796">
      <w:pPr>
        <w:spacing w:after="240"/>
        <w:jc w:val="both"/>
        <w:sectPr w:rsidR="00913796" w:rsidRPr="001B669F" w:rsidSect="001B669F">
          <w:headerReference w:type="default" r:id="rId12"/>
          <w:footerReference w:type="default" r:id="rId13"/>
          <w:pgSz w:w="15840" w:h="12240" w:orient="landscape" w:code="1"/>
          <w:pgMar w:top="1440" w:right="1584" w:bottom="1440" w:left="1440" w:header="720" w:footer="720" w:gutter="0"/>
          <w:cols w:space="720"/>
          <w:formProt w:val="0"/>
          <w:docGrid w:linePitch="360"/>
        </w:sectPr>
      </w:pPr>
    </w:p>
    <w:tbl>
      <w:tblPr>
        <w:tblW w:w="5827" w:type="pct"/>
        <w:jc w:val="center"/>
        <w:tblLayout w:type="fixed"/>
        <w:tblLook w:val="04A0" w:firstRow="1" w:lastRow="0" w:firstColumn="1" w:lastColumn="0" w:noHBand="0" w:noVBand="1"/>
      </w:tblPr>
      <w:tblGrid>
        <w:gridCol w:w="3871"/>
        <w:gridCol w:w="1261"/>
        <w:gridCol w:w="1348"/>
        <w:gridCol w:w="1620"/>
        <w:gridCol w:w="1261"/>
        <w:gridCol w:w="1799"/>
      </w:tblGrid>
      <w:tr w:rsidR="00913796" w:rsidRPr="001B669F" w:rsidTr="001B669F">
        <w:trPr>
          <w:trHeight w:val="55"/>
          <w:jc w:val="center"/>
        </w:trPr>
        <w:tc>
          <w:tcPr>
            <w:tcW w:w="2903" w:type="pct"/>
            <w:gridSpan w:val="3"/>
            <w:tcBorders>
              <w:top w:val="single" w:sz="8" w:space="0" w:color="auto"/>
              <w:left w:val="single" w:sz="8" w:space="0" w:color="auto"/>
              <w:bottom w:val="nil"/>
              <w:right w:val="nil"/>
            </w:tcBorders>
            <w:shd w:val="clear" w:color="auto" w:fill="auto"/>
            <w:noWrap/>
            <w:vAlign w:val="bottom"/>
            <w:hideMark/>
          </w:tcPr>
          <w:p w:rsidR="00913796" w:rsidRPr="001B669F" w:rsidRDefault="00913796" w:rsidP="00913796">
            <w:pPr>
              <w:rPr>
                <w:b/>
                <w:bCs/>
                <w:color w:val="000000" w:themeColor="text1"/>
                <w:sz w:val="20"/>
                <w:szCs w:val="20"/>
              </w:rPr>
            </w:pPr>
            <w:r w:rsidRPr="001B669F">
              <w:rPr>
                <w:b/>
                <w:bCs/>
                <w:color w:val="000000" w:themeColor="text1"/>
                <w:sz w:val="20"/>
                <w:szCs w:val="20"/>
              </w:rPr>
              <w:t>LEIGHTON ESTATES UTILITIES, LLC.</w:t>
            </w:r>
          </w:p>
        </w:tc>
        <w:tc>
          <w:tcPr>
            <w:tcW w:w="2097" w:type="pct"/>
            <w:gridSpan w:val="3"/>
            <w:tcBorders>
              <w:top w:val="single" w:sz="8" w:space="0" w:color="auto"/>
              <w:left w:val="nil"/>
              <w:bottom w:val="nil"/>
              <w:right w:val="single" w:sz="8" w:space="0" w:color="auto"/>
            </w:tcBorders>
            <w:shd w:val="clear" w:color="auto" w:fill="auto"/>
            <w:noWrap/>
            <w:vAlign w:val="bottom"/>
            <w:hideMark/>
          </w:tcPr>
          <w:p w:rsidR="00913796" w:rsidRPr="001B669F" w:rsidRDefault="00913796" w:rsidP="00913796">
            <w:pPr>
              <w:jc w:val="right"/>
              <w:rPr>
                <w:b/>
                <w:bCs/>
                <w:color w:val="000000" w:themeColor="text1"/>
                <w:sz w:val="20"/>
                <w:szCs w:val="20"/>
              </w:rPr>
            </w:pPr>
            <w:r w:rsidRPr="001B669F">
              <w:rPr>
                <w:b/>
                <w:bCs/>
                <w:color w:val="000000" w:themeColor="text1"/>
                <w:sz w:val="20"/>
                <w:szCs w:val="20"/>
              </w:rPr>
              <w:t>SCHEDULE NO. 3-A</w:t>
            </w:r>
          </w:p>
        </w:tc>
      </w:tr>
      <w:tr w:rsidR="00913796" w:rsidRPr="001B669F" w:rsidTr="001B669F">
        <w:trPr>
          <w:trHeight w:val="75"/>
          <w:jc w:val="center"/>
        </w:trPr>
        <w:tc>
          <w:tcPr>
            <w:tcW w:w="2903" w:type="pct"/>
            <w:gridSpan w:val="3"/>
            <w:tcBorders>
              <w:top w:val="nil"/>
              <w:left w:val="single" w:sz="8" w:space="0" w:color="auto"/>
              <w:bottom w:val="nil"/>
              <w:right w:val="nil"/>
            </w:tcBorders>
            <w:shd w:val="clear" w:color="auto" w:fill="auto"/>
            <w:noWrap/>
            <w:vAlign w:val="bottom"/>
            <w:hideMark/>
          </w:tcPr>
          <w:p w:rsidR="00913796" w:rsidRPr="001B669F" w:rsidRDefault="00913796" w:rsidP="00913796">
            <w:pPr>
              <w:rPr>
                <w:b/>
                <w:bCs/>
                <w:color w:val="000000" w:themeColor="text1"/>
                <w:sz w:val="20"/>
                <w:szCs w:val="20"/>
              </w:rPr>
            </w:pPr>
            <w:r w:rsidRPr="001B669F">
              <w:rPr>
                <w:b/>
                <w:bCs/>
                <w:color w:val="000000" w:themeColor="text1"/>
                <w:sz w:val="20"/>
                <w:szCs w:val="20"/>
              </w:rPr>
              <w:t>TEST YEAR ENDED 12/31/2021</w:t>
            </w:r>
            <w:r w:rsidRPr="001B669F">
              <w:fldChar w:fldCharType="begin"/>
            </w:r>
            <w:r w:rsidRPr="001B669F">
              <w:instrText xml:space="preserve"> TC "</w:instrText>
            </w:r>
            <w:bookmarkStart w:id="22" w:name="_Toc111533852"/>
            <w:bookmarkStart w:id="23" w:name="_Toc119660390"/>
            <w:r w:rsidRPr="001B669F">
              <w:tab/>
              <w:instrText>Schedule No. 3-A Water NOI</w:instrText>
            </w:r>
            <w:bookmarkEnd w:id="22"/>
            <w:bookmarkEnd w:id="23"/>
            <w:r w:rsidRPr="001B669F">
              <w:instrText xml:space="preserve">" \l 1 </w:instrText>
            </w:r>
            <w:r w:rsidRPr="001B669F">
              <w:fldChar w:fldCharType="end"/>
            </w:r>
          </w:p>
        </w:tc>
        <w:tc>
          <w:tcPr>
            <w:tcW w:w="2097" w:type="pct"/>
            <w:gridSpan w:val="3"/>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b/>
                <w:bCs/>
                <w:color w:val="000000" w:themeColor="text1"/>
                <w:sz w:val="20"/>
                <w:szCs w:val="20"/>
              </w:rPr>
            </w:pPr>
            <w:r w:rsidRPr="001B669F">
              <w:rPr>
                <w:b/>
                <w:bCs/>
                <w:color w:val="000000" w:themeColor="text1"/>
                <w:sz w:val="20"/>
                <w:szCs w:val="20"/>
              </w:rPr>
              <w:t>DOCKET NO. 20220026-WU</w:t>
            </w:r>
          </w:p>
        </w:tc>
      </w:tr>
      <w:tr w:rsidR="00913796" w:rsidRPr="001B669F" w:rsidTr="001B669F">
        <w:trPr>
          <w:trHeight w:val="75"/>
          <w:jc w:val="center"/>
        </w:trPr>
        <w:tc>
          <w:tcPr>
            <w:tcW w:w="2903" w:type="pct"/>
            <w:gridSpan w:val="3"/>
            <w:tcBorders>
              <w:top w:val="nil"/>
              <w:left w:val="single" w:sz="8" w:space="0" w:color="auto"/>
              <w:bottom w:val="single" w:sz="8" w:space="0" w:color="auto"/>
              <w:right w:val="nil"/>
            </w:tcBorders>
            <w:shd w:val="clear" w:color="auto" w:fill="auto"/>
            <w:noWrap/>
            <w:vAlign w:val="bottom"/>
            <w:hideMark/>
          </w:tcPr>
          <w:p w:rsidR="00913796" w:rsidRPr="001B669F" w:rsidRDefault="00913796" w:rsidP="00913796">
            <w:pPr>
              <w:rPr>
                <w:b/>
                <w:bCs/>
                <w:color w:val="000000" w:themeColor="text1"/>
                <w:sz w:val="20"/>
                <w:szCs w:val="20"/>
              </w:rPr>
            </w:pPr>
            <w:r w:rsidRPr="001B669F">
              <w:rPr>
                <w:b/>
                <w:bCs/>
                <w:color w:val="000000" w:themeColor="text1"/>
                <w:sz w:val="20"/>
                <w:szCs w:val="20"/>
              </w:rPr>
              <w:t>SCHEDULE OF WATER OPERATING INCOME</w:t>
            </w:r>
          </w:p>
        </w:tc>
        <w:tc>
          <w:tcPr>
            <w:tcW w:w="726" w:type="pct"/>
            <w:tcBorders>
              <w:top w:val="nil"/>
              <w:left w:val="nil"/>
              <w:bottom w:val="single" w:sz="8" w:space="0" w:color="auto"/>
              <w:right w:val="nil"/>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w:t>
            </w:r>
          </w:p>
        </w:tc>
        <w:tc>
          <w:tcPr>
            <w:tcW w:w="565" w:type="pct"/>
            <w:tcBorders>
              <w:top w:val="nil"/>
              <w:left w:val="nil"/>
              <w:bottom w:val="single" w:sz="8" w:space="0" w:color="auto"/>
              <w:right w:val="nil"/>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w:t>
            </w:r>
          </w:p>
        </w:tc>
        <w:tc>
          <w:tcPr>
            <w:tcW w:w="806" w:type="pct"/>
            <w:tcBorders>
              <w:top w:val="nil"/>
              <w:left w:val="nil"/>
              <w:bottom w:val="single" w:sz="8" w:space="0" w:color="auto"/>
              <w:right w:val="single" w:sz="8" w:space="0" w:color="auto"/>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w:t>
            </w:r>
          </w:p>
        </w:tc>
      </w:tr>
      <w:tr w:rsidR="00913796" w:rsidRPr="001B669F" w:rsidTr="001B669F">
        <w:trPr>
          <w:trHeight w:val="55"/>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TEST</w:t>
            </w:r>
          </w:p>
        </w:tc>
        <w:tc>
          <w:tcPr>
            <w:tcW w:w="604" w:type="pct"/>
            <w:tcBorders>
              <w:top w:val="nil"/>
              <w:left w:val="nil"/>
              <w:bottom w:val="nil"/>
              <w:right w:val="nil"/>
            </w:tcBorders>
            <w:shd w:val="clear" w:color="auto" w:fill="auto"/>
            <w:noWrap/>
            <w:vAlign w:val="bottom"/>
            <w:hideMark/>
          </w:tcPr>
          <w:p w:rsidR="00913796" w:rsidRPr="001B669F" w:rsidRDefault="00D967A0" w:rsidP="00913796">
            <w:pPr>
              <w:jc w:val="center"/>
              <w:rPr>
                <w:b/>
                <w:bCs/>
                <w:color w:val="000000" w:themeColor="text1"/>
                <w:sz w:val="20"/>
                <w:szCs w:val="20"/>
              </w:rPr>
            </w:pPr>
            <w:r>
              <w:rPr>
                <w:b/>
                <w:bCs/>
                <w:color w:val="000000" w:themeColor="text1"/>
                <w:sz w:val="20"/>
                <w:szCs w:val="20"/>
              </w:rPr>
              <w:t>COMM.</w:t>
            </w:r>
          </w:p>
        </w:tc>
        <w:tc>
          <w:tcPr>
            <w:tcW w:w="726" w:type="pct"/>
            <w:tcBorders>
              <w:top w:val="nil"/>
              <w:left w:val="nil"/>
              <w:bottom w:val="nil"/>
              <w:right w:val="nil"/>
            </w:tcBorders>
            <w:shd w:val="clear" w:color="auto" w:fill="auto"/>
            <w:noWrap/>
            <w:vAlign w:val="bottom"/>
            <w:hideMark/>
          </w:tcPr>
          <w:p w:rsidR="00913796" w:rsidRPr="001B669F" w:rsidRDefault="00D967A0" w:rsidP="00913796">
            <w:pPr>
              <w:jc w:val="center"/>
              <w:rPr>
                <w:b/>
                <w:bCs/>
                <w:color w:val="000000" w:themeColor="text1"/>
                <w:sz w:val="20"/>
                <w:szCs w:val="20"/>
              </w:rPr>
            </w:pPr>
            <w:r>
              <w:rPr>
                <w:b/>
                <w:bCs/>
                <w:color w:val="000000" w:themeColor="text1"/>
                <w:sz w:val="20"/>
                <w:szCs w:val="20"/>
              </w:rPr>
              <w:t>COMM.</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ADJUST</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 </w:t>
            </w:r>
          </w:p>
        </w:tc>
      </w:tr>
      <w:tr w:rsidR="00913796" w:rsidRPr="001B669F" w:rsidTr="001B669F">
        <w:trPr>
          <w:trHeight w:val="75"/>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YEAR PER</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ADJUST-</w:t>
            </w: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ADJUSTED</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FOR</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REVENUE</w:t>
            </w:r>
          </w:p>
        </w:tc>
      </w:tr>
      <w:tr w:rsidR="00913796" w:rsidRPr="001B669F" w:rsidTr="001B669F">
        <w:trPr>
          <w:trHeight w:val="75"/>
          <w:jc w:val="center"/>
        </w:trPr>
        <w:tc>
          <w:tcPr>
            <w:tcW w:w="1734" w:type="pct"/>
            <w:tcBorders>
              <w:top w:val="nil"/>
              <w:left w:val="single" w:sz="8" w:space="0" w:color="auto"/>
              <w:bottom w:val="single" w:sz="8" w:space="0" w:color="auto"/>
              <w:right w:val="nil"/>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w:t>
            </w:r>
          </w:p>
        </w:tc>
        <w:tc>
          <w:tcPr>
            <w:tcW w:w="565" w:type="pct"/>
            <w:tcBorders>
              <w:top w:val="nil"/>
              <w:left w:val="nil"/>
              <w:bottom w:val="single" w:sz="8" w:space="0" w:color="auto"/>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UTILITY</w:t>
            </w:r>
          </w:p>
        </w:tc>
        <w:tc>
          <w:tcPr>
            <w:tcW w:w="604" w:type="pct"/>
            <w:tcBorders>
              <w:top w:val="nil"/>
              <w:left w:val="nil"/>
              <w:bottom w:val="single" w:sz="8" w:space="0" w:color="auto"/>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MENTS</w:t>
            </w:r>
          </w:p>
        </w:tc>
        <w:tc>
          <w:tcPr>
            <w:tcW w:w="726" w:type="pct"/>
            <w:tcBorders>
              <w:top w:val="nil"/>
              <w:left w:val="nil"/>
              <w:bottom w:val="single" w:sz="8" w:space="0" w:color="auto"/>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TEST YEAR</w:t>
            </w:r>
          </w:p>
        </w:tc>
        <w:tc>
          <w:tcPr>
            <w:tcW w:w="565" w:type="pct"/>
            <w:tcBorders>
              <w:top w:val="nil"/>
              <w:left w:val="nil"/>
              <w:bottom w:val="single" w:sz="8" w:space="0" w:color="auto"/>
              <w:right w:val="nil"/>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INCREASE</w:t>
            </w:r>
          </w:p>
        </w:tc>
        <w:tc>
          <w:tcPr>
            <w:tcW w:w="806" w:type="pct"/>
            <w:tcBorders>
              <w:top w:val="nil"/>
              <w:left w:val="nil"/>
              <w:bottom w:val="single" w:sz="8" w:space="0" w:color="auto"/>
              <w:right w:val="single" w:sz="8" w:space="0" w:color="auto"/>
            </w:tcBorders>
            <w:shd w:val="clear" w:color="auto" w:fill="auto"/>
            <w:noWrap/>
            <w:vAlign w:val="bottom"/>
            <w:hideMark/>
          </w:tcPr>
          <w:p w:rsidR="00913796" w:rsidRPr="001B669F" w:rsidRDefault="00913796" w:rsidP="00913796">
            <w:pPr>
              <w:jc w:val="center"/>
              <w:rPr>
                <w:b/>
                <w:bCs/>
                <w:color w:val="000000" w:themeColor="text1"/>
                <w:sz w:val="20"/>
                <w:szCs w:val="20"/>
              </w:rPr>
            </w:pPr>
            <w:r w:rsidRPr="001B669F">
              <w:rPr>
                <w:b/>
                <w:bCs/>
                <w:color w:val="000000" w:themeColor="text1"/>
                <w:sz w:val="20"/>
                <w:szCs w:val="20"/>
              </w:rPr>
              <w:t>REQUIREMENT</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b/>
                <w:bCs/>
                <w:color w:val="000000" w:themeColor="text1"/>
                <w:sz w:val="20"/>
                <w:szCs w:val="20"/>
              </w:rPr>
            </w:pPr>
            <w:r w:rsidRPr="001B669F">
              <w:rPr>
                <w:b/>
                <w:bCs/>
                <w:color w:val="000000" w:themeColor="text1"/>
                <w:sz w:val="20"/>
                <w:szCs w:val="20"/>
              </w:rPr>
              <w:t>TOTAL OPERATING REVENUES</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 xml:space="preserve">$28,105 </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 xml:space="preserve">$164 </w:t>
            </w: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 xml:space="preserve">$28,269 </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 xml:space="preserve">$29,829 </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 xml:space="preserve">$58,098 </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105.52%</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b/>
                <w:bCs/>
                <w:color w:val="000000" w:themeColor="text1"/>
                <w:sz w:val="20"/>
                <w:szCs w:val="20"/>
              </w:rPr>
            </w:pPr>
            <w:r w:rsidRPr="001B669F">
              <w:rPr>
                <w:b/>
                <w:bCs/>
                <w:color w:val="000000" w:themeColor="text1"/>
                <w:sz w:val="20"/>
                <w:szCs w:val="20"/>
              </w:rPr>
              <w:t>OPERATING EXPENSES:</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b/>
                <w:bCs/>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xml:space="preserve">   OPERATION &amp; MAINTENANCE</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$30,544 </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$2,032 </w:t>
            </w: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$32,576 </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$0</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$32,576 </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xml:space="preserve">   DEPRECIATION </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12,603 </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356 </w:t>
            </w: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12,959 </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0</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12,959 </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xml:space="preserve">   AMORTIZATION </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(333)</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(6,855)</w:t>
            </w: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(7,188)</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0</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(7,188)</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xml:space="preserve">   TAXES OTHER THAN INCOME</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2,258 </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34 </w:t>
            </w: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2,292 </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1,342 </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$3,634 </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r w:rsidRPr="001B669F">
              <w:rPr>
                <w:color w:val="000000" w:themeColor="text1"/>
                <w:sz w:val="20"/>
                <w:szCs w:val="20"/>
              </w:rPr>
              <w:t xml:space="preserve">   INCOME TAXES</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 xml:space="preserve">0 </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0</w:t>
            </w: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 xml:space="preserve">0 </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0</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u w:val="single"/>
              </w:rPr>
            </w:pPr>
            <w:r w:rsidRPr="001B669F">
              <w:rPr>
                <w:color w:val="000000" w:themeColor="text1"/>
                <w:sz w:val="20"/>
                <w:szCs w:val="20"/>
                <w:u w:val="single"/>
              </w:rPr>
              <w:t xml:space="preserve">$0 </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b/>
                <w:bCs/>
                <w:color w:val="000000" w:themeColor="text1"/>
                <w:sz w:val="20"/>
                <w:szCs w:val="20"/>
              </w:rPr>
            </w:pPr>
            <w:r w:rsidRPr="001B669F">
              <w:rPr>
                <w:b/>
                <w:bCs/>
                <w:color w:val="000000" w:themeColor="text1"/>
                <w:sz w:val="20"/>
                <w:szCs w:val="20"/>
              </w:rPr>
              <w:t>TOTAL OPERATING EXPENSES</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double"/>
              </w:rPr>
            </w:pPr>
            <w:r w:rsidRPr="001B669F">
              <w:rPr>
                <w:color w:val="000000" w:themeColor="text1"/>
                <w:sz w:val="20"/>
                <w:szCs w:val="20"/>
                <w:u w:val="double"/>
              </w:rPr>
              <w:t xml:space="preserve">$45,072 </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double"/>
              </w:rPr>
            </w:pPr>
            <w:r w:rsidRPr="001B669F">
              <w:rPr>
                <w:color w:val="000000" w:themeColor="text1"/>
                <w:sz w:val="20"/>
                <w:szCs w:val="20"/>
                <w:u w:val="double"/>
              </w:rPr>
              <w:t>($4,433)</w:t>
            </w: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double"/>
              </w:rPr>
            </w:pPr>
            <w:r w:rsidRPr="001B669F">
              <w:rPr>
                <w:color w:val="000000" w:themeColor="text1"/>
                <w:sz w:val="20"/>
                <w:szCs w:val="20"/>
                <w:u w:val="double"/>
              </w:rPr>
              <w:t xml:space="preserve">$40,639 </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double"/>
              </w:rPr>
            </w:pPr>
            <w:r w:rsidRPr="001B669F">
              <w:rPr>
                <w:color w:val="000000" w:themeColor="text1"/>
                <w:sz w:val="20"/>
                <w:szCs w:val="20"/>
                <w:u w:val="double"/>
              </w:rPr>
              <w:t>$1,342</w:t>
            </w: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u w:val="double"/>
              </w:rPr>
            </w:pPr>
            <w:r w:rsidRPr="001B669F">
              <w:rPr>
                <w:color w:val="000000" w:themeColor="text1"/>
                <w:sz w:val="20"/>
                <w:szCs w:val="20"/>
                <w:u w:val="double"/>
              </w:rPr>
              <w:t xml:space="preserve">$41,981 </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u w:val="single"/>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u w:val="single"/>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b/>
                <w:bCs/>
                <w:color w:val="000000" w:themeColor="text1"/>
                <w:sz w:val="20"/>
                <w:szCs w:val="20"/>
              </w:rPr>
            </w:pPr>
            <w:r w:rsidRPr="001B669F">
              <w:rPr>
                <w:b/>
                <w:bCs/>
                <w:color w:val="000000" w:themeColor="text1"/>
                <w:sz w:val="20"/>
                <w:szCs w:val="20"/>
              </w:rPr>
              <w:t>OPERATING INCOME / (LOSS)</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($16,967)</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($12,370)</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$16,117 </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b/>
                <w:bCs/>
                <w:color w:val="000000" w:themeColor="text1"/>
                <w:sz w:val="20"/>
                <w:szCs w:val="20"/>
              </w:rPr>
            </w:pPr>
            <w:r w:rsidRPr="001B669F">
              <w:rPr>
                <w:b/>
                <w:bCs/>
                <w:color w:val="000000" w:themeColor="text1"/>
                <w:sz w:val="20"/>
                <w:szCs w:val="20"/>
              </w:rPr>
              <w:t>WATER RATE BASE</w:t>
            </w: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$215,982 </w:t>
            </w: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 xml:space="preserve">$236,146 </w:t>
            </w:r>
          </w:p>
        </w:tc>
      </w:tr>
      <w:tr w:rsidR="00913796" w:rsidRPr="001B669F" w:rsidTr="001B669F">
        <w:trPr>
          <w:trHeight w:val="310"/>
          <w:jc w:val="center"/>
        </w:trPr>
        <w:tc>
          <w:tcPr>
            <w:tcW w:w="1734" w:type="pct"/>
            <w:tcBorders>
              <w:top w:val="nil"/>
              <w:left w:val="single" w:sz="8" w:space="0" w:color="auto"/>
              <w:bottom w:val="nil"/>
              <w:right w:val="nil"/>
            </w:tcBorders>
            <w:shd w:val="clear" w:color="auto" w:fill="auto"/>
            <w:noWrap/>
            <w:vAlign w:val="bottom"/>
            <w:hideMark/>
          </w:tcPr>
          <w:p w:rsidR="00913796" w:rsidRPr="001B669F" w:rsidRDefault="00913796" w:rsidP="00913796">
            <w:pPr>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604"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nil"/>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nil"/>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p>
        </w:tc>
      </w:tr>
      <w:tr w:rsidR="00913796" w:rsidRPr="001B669F" w:rsidTr="001B669F">
        <w:trPr>
          <w:trHeight w:val="310"/>
          <w:jc w:val="center"/>
        </w:trPr>
        <w:tc>
          <w:tcPr>
            <w:tcW w:w="1734" w:type="pct"/>
            <w:tcBorders>
              <w:top w:val="nil"/>
              <w:left w:val="single" w:sz="8" w:space="0" w:color="auto"/>
              <w:bottom w:val="single" w:sz="4" w:space="0" w:color="auto"/>
              <w:right w:val="nil"/>
            </w:tcBorders>
            <w:shd w:val="clear" w:color="auto" w:fill="auto"/>
            <w:noWrap/>
            <w:vAlign w:val="bottom"/>
            <w:hideMark/>
          </w:tcPr>
          <w:p w:rsidR="00913796" w:rsidRPr="001B669F" w:rsidRDefault="00913796" w:rsidP="00913796">
            <w:pPr>
              <w:rPr>
                <w:b/>
                <w:bCs/>
                <w:color w:val="000000" w:themeColor="text1"/>
                <w:sz w:val="20"/>
                <w:szCs w:val="20"/>
              </w:rPr>
            </w:pPr>
            <w:r w:rsidRPr="001B669F">
              <w:rPr>
                <w:b/>
                <w:bCs/>
                <w:color w:val="000000" w:themeColor="text1"/>
                <w:sz w:val="20"/>
                <w:szCs w:val="20"/>
              </w:rPr>
              <w:t>RATE OF RETURN</w:t>
            </w:r>
          </w:p>
        </w:tc>
        <w:tc>
          <w:tcPr>
            <w:tcW w:w="565" w:type="pct"/>
            <w:tcBorders>
              <w:top w:val="nil"/>
              <w:left w:val="nil"/>
              <w:bottom w:val="single" w:sz="4" w:space="0" w:color="auto"/>
              <w:right w:val="nil"/>
            </w:tcBorders>
            <w:shd w:val="clear" w:color="auto" w:fill="auto"/>
            <w:noWrap/>
            <w:vAlign w:val="bottom"/>
            <w:hideMark/>
          </w:tcPr>
          <w:p w:rsidR="00913796" w:rsidRPr="001B669F" w:rsidRDefault="00913796" w:rsidP="00913796">
            <w:pPr>
              <w:jc w:val="right"/>
              <w:rPr>
                <w:b/>
                <w:bCs/>
                <w:color w:val="000000" w:themeColor="text1"/>
                <w:sz w:val="20"/>
                <w:szCs w:val="20"/>
              </w:rPr>
            </w:pPr>
          </w:p>
        </w:tc>
        <w:tc>
          <w:tcPr>
            <w:tcW w:w="604" w:type="pct"/>
            <w:tcBorders>
              <w:top w:val="nil"/>
              <w:left w:val="nil"/>
              <w:bottom w:val="single" w:sz="4" w:space="0" w:color="auto"/>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726" w:type="pct"/>
            <w:tcBorders>
              <w:top w:val="nil"/>
              <w:left w:val="nil"/>
              <w:bottom w:val="single" w:sz="4" w:space="0" w:color="auto"/>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565" w:type="pct"/>
            <w:tcBorders>
              <w:top w:val="nil"/>
              <w:left w:val="nil"/>
              <w:bottom w:val="single" w:sz="4" w:space="0" w:color="auto"/>
              <w:right w:val="nil"/>
            </w:tcBorders>
            <w:shd w:val="clear" w:color="auto" w:fill="auto"/>
            <w:noWrap/>
            <w:vAlign w:val="bottom"/>
            <w:hideMark/>
          </w:tcPr>
          <w:p w:rsidR="00913796" w:rsidRPr="001B669F" w:rsidRDefault="00913796" w:rsidP="00913796">
            <w:pPr>
              <w:jc w:val="right"/>
              <w:rPr>
                <w:color w:val="000000" w:themeColor="text1"/>
                <w:sz w:val="20"/>
                <w:szCs w:val="20"/>
              </w:rPr>
            </w:pPr>
          </w:p>
        </w:tc>
        <w:tc>
          <w:tcPr>
            <w:tcW w:w="806" w:type="pct"/>
            <w:tcBorders>
              <w:top w:val="nil"/>
              <w:left w:val="nil"/>
              <w:bottom w:val="single" w:sz="4" w:space="0" w:color="auto"/>
              <w:right w:val="single" w:sz="8" w:space="0" w:color="auto"/>
            </w:tcBorders>
            <w:shd w:val="clear" w:color="auto" w:fill="auto"/>
            <w:noWrap/>
            <w:vAlign w:val="bottom"/>
            <w:hideMark/>
          </w:tcPr>
          <w:p w:rsidR="00913796" w:rsidRPr="001B669F" w:rsidRDefault="00913796" w:rsidP="00913796">
            <w:pPr>
              <w:jc w:val="right"/>
              <w:rPr>
                <w:color w:val="000000" w:themeColor="text1"/>
                <w:sz w:val="20"/>
                <w:szCs w:val="20"/>
              </w:rPr>
            </w:pPr>
            <w:r w:rsidRPr="001B669F">
              <w:rPr>
                <w:color w:val="000000" w:themeColor="text1"/>
                <w:sz w:val="20"/>
                <w:szCs w:val="20"/>
              </w:rPr>
              <w:t>6.83%</w:t>
            </w:r>
          </w:p>
        </w:tc>
      </w:tr>
    </w:tbl>
    <w:p w:rsidR="00913796" w:rsidRPr="001B669F" w:rsidRDefault="00913796" w:rsidP="00913796">
      <w:pPr>
        <w:spacing w:after="240"/>
        <w:jc w:val="both"/>
        <w:sectPr w:rsidR="00913796" w:rsidRPr="001B669F" w:rsidSect="001B669F">
          <w:headerReference w:type="default" r:id="rId14"/>
          <w:footerReference w:type="default" r:id="rId15"/>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86"/>
        <w:gridCol w:w="5906"/>
        <w:gridCol w:w="234"/>
        <w:gridCol w:w="1592"/>
        <w:gridCol w:w="1224"/>
        <w:gridCol w:w="234"/>
      </w:tblGrid>
      <w:tr w:rsidR="00913796" w:rsidRPr="001B669F" w:rsidTr="001B669F">
        <w:tc>
          <w:tcPr>
            <w:tcW w:w="202" w:type="pct"/>
          </w:tcPr>
          <w:p w:rsidR="00913796" w:rsidRPr="001B669F" w:rsidRDefault="00913796" w:rsidP="00913796">
            <w:pPr>
              <w:rPr>
                <w:b/>
                <w:sz w:val="20"/>
                <w:szCs w:val="20"/>
              </w:rPr>
            </w:pPr>
          </w:p>
        </w:tc>
        <w:tc>
          <w:tcPr>
            <w:tcW w:w="3206" w:type="pct"/>
            <w:gridSpan w:val="2"/>
          </w:tcPr>
          <w:p w:rsidR="00913796" w:rsidRPr="001B669F" w:rsidRDefault="00913796" w:rsidP="00913796">
            <w:pPr>
              <w:rPr>
                <w:b/>
                <w:sz w:val="20"/>
                <w:szCs w:val="20"/>
              </w:rPr>
            </w:pPr>
            <w:r w:rsidRPr="001B669F">
              <w:rPr>
                <w:b/>
                <w:sz w:val="20"/>
                <w:szCs w:val="20"/>
              </w:rPr>
              <w:t>LEIGHTON ESTATES UTILITIES, INC.</w:t>
            </w:r>
          </w:p>
        </w:tc>
        <w:tc>
          <w:tcPr>
            <w:tcW w:w="1470" w:type="pct"/>
            <w:gridSpan w:val="2"/>
          </w:tcPr>
          <w:p w:rsidR="00913796" w:rsidRPr="001B669F" w:rsidRDefault="00913796" w:rsidP="00913796">
            <w:pPr>
              <w:jc w:val="right"/>
              <w:rPr>
                <w:b/>
                <w:sz w:val="20"/>
                <w:szCs w:val="20"/>
              </w:rPr>
            </w:pPr>
            <w:r w:rsidRPr="001B669F">
              <w:rPr>
                <w:b/>
                <w:sz w:val="20"/>
                <w:szCs w:val="20"/>
              </w:rPr>
              <w:t>SCHEDULE NO. 3-B</w:t>
            </w:r>
          </w:p>
        </w:tc>
        <w:tc>
          <w:tcPr>
            <w:tcW w:w="122" w:type="pct"/>
          </w:tcPr>
          <w:p w:rsidR="00913796" w:rsidRPr="001B669F" w:rsidRDefault="00913796" w:rsidP="00913796">
            <w:pPr>
              <w:rPr>
                <w:b/>
                <w:sz w:val="20"/>
                <w:szCs w:val="20"/>
              </w:rPr>
            </w:pPr>
          </w:p>
        </w:tc>
      </w:tr>
      <w:tr w:rsidR="00913796" w:rsidRPr="001B669F" w:rsidTr="001B669F">
        <w:tc>
          <w:tcPr>
            <w:tcW w:w="202" w:type="pct"/>
            <w:tcBorders>
              <w:bottom w:val="nil"/>
            </w:tcBorders>
          </w:tcPr>
          <w:p w:rsidR="00913796" w:rsidRPr="001B669F" w:rsidRDefault="00913796" w:rsidP="00913796">
            <w:pPr>
              <w:rPr>
                <w:b/>
                <w:sz w:val="20"/>
                <w:szCs w:val="20"/>
              </w:rPr>
            </w:pPr>
          </w:p>
        </w:tc>
        <w:tc>
          <w:tcPr>
            <w:tcW w:w="3206" w:type="pct"/>
            <w:gridSpan w:val="2"/>
            <w:tcBorders>
              <w:bottom w:val="nil"/>
            </w:tcBorders>
          </w:tcPr>
          <w:p w:rsidR="00913796" w:rsidRPr="001B669F" w:rsidRDefault="00913796" w:rsidP="00913796">
            <w:pPr>
              <w:rPr>
                <w:b/>
                <w:sz w:val="20"/>
                <w:szCs w:val="20"/>
              </w:rPr>
            </w:pPr>
            <w:r w:rsidRPr="001B669F">
              <w:rPr>
                <w:b/>
                <w:sz w:val="20"/>
                <w:szCs w:val="20"/>
              </w:rPr>
              <w:t>TEST YEAR ENDED 12/31/2021</w:t>
            </w:r>
            <w:r w:rsidRPr="001B669F">
              <w:rPr>
                <w:sz w:val="20"/>
                <w:szCs w:val="20"/>
              </w:rPr>
              <w:fldChar w:fldCharType="begin"/>
            </w:r>
            <w:r w:rsidRPr="001B669F">
              <w:rPr>
                <w:sz w:val="20"/>
                <w:szCs w:val="20"/>
              </w:rPr>
              <w:instrText xml:space="preserve"> TC "</w:instrText>
            </w:r>
            <w:bookmarkStart w:id="24" w:name="_Toc21427549"/>
            <w:bookmarkStart w:id="25" w:name="_Toc82175412"/>
            <w:bookmarkStart w:id="26" w:name="_Toc82430616"/>
            <w:bookmarkStart w:id="27" w:name="_Toc108689473"/>
            <w:bookmarkStart w:id="28" w:name="_Toc111533853"/>
            <w:bookmarkStart w:id="29" w:name="_Toc119660391"/>
            <w:r w:rsidRPr="001B669F">
              <w:rPr>
                <w:sz w:val="20"/>
                <w:szCs w:val="20"/>
              </w:rPr>
              <w:tab/>
              <w:instrText>Schedule No. 3-B Adjustments to NOI</w:instrText>
            </w:r>
            <w:bookmarkEnd w:id="24"/>
            <w:bookmarkEnd w:id="25"/>
            <w:bookmarkEnd w:id="26"/>
            <w:bookmarkEnd w:id="27"/>
            <w:bookmarkEnd w:id="28"/>
            <w:bookmarkEnd w:id="29"/>
            <w:r w:rsidRPr="001B669F">
              <w:rPr>
                <w:sz w:val="20"/>
                <w:szCs w:val="20"/>
              </w:rPr>
              <w:instrText xml:space="preserve">" \l 1 </w:instrText>
            </w:r>
            <w:r w:rsidRPr="001B669F">
              <w:rPr>
                <w:sz w:val="20"/>
                <w:szCs w:val="20"/>
              </w:rPr>
              <w:fldChar w:fldCharType="end"/>
            </w:r>
          </w:p>
        </w:tc>
        <w:tc>
          <w:tcPr>
            <w:tcW w:w="1470" w:type="pct"/>
            <w:gridSpan w:val="2"/>
            <w:tcBorders>
              <w:bottom w:val="nil"/>
            </w:tcBorders>
          </w:tcPr>
          <w:p w:rsidR="00913796" w:rsidRPr="001B669F" w:rsidRDefault="00913796" w:rsidP="00913796">
            <w:pPr>
              <w:jc w:val="right"/>
              <w:rPr>
                <w:b/>
                <w:sz w:val="20"/>
                <w:szCs w:val="20"/>
              </w:rPr>
            </w:pPr>
            <w:r w:rsidRPr="001B669F">
              <w:rPr>
                <w:b/>
                <w:sz w:val="20"/>
                <w:szCs w:val="20"/>
              </w:rPr>
              <w:t>DOCKET NO. 20220026-WU</w:t>
            </w:r>
          </w:p>
        </w:tc>
        <w:tc>
          <w:tcPr>
            <w:tcW w:w="122" w:type="pct"/>
            <w:tcBorders>
              <w:bottom w:val="nil"/>
            </w:tcBorders>
          </w:tcPr>
          <w:p w:rsidR="00913796" w:rsidRPr="001B669F" w:rsidRDefault="00913796" w:rsidP="00913796">
            <w:pPr>
              <w:rPr>
                <w:b/>
                <w:sz w:val="20"/>
                <w:szCs w:val="20"/>
              </w:rPr>
            </w:pPr>
          </w:p>
        </w:tc>
      </w:tr>
      <w:tr w:rsidR="00913796" w:rsidRPr="001B669F" w:rsidTr="001B669F">
        <w:tc>
          <w:tcPr>
            <w:tcW w:w="202" w:type="pct"/>
            <w:tcBorders>
              <w:top w:val="nil"/>
              <w:bottom w:val="single" w:sz="4" w:space="0" w:color="auto"/>
            </w:tcBorders>
          </w:tcPr>
          <w:p w:rsidR="00913796" w:rsidRPr="001B669F" w:rsidRDefault="00913796" w:rsidP="00913796">
            <w:pPr>
              <w:rPr>
                <w:b/>
                <w:sz w:val="20"/>
                <w:szCs w:val="20"/>
              </w:rPr>
            </w:pPr>
          </w:p>
        </w:tc>
        <w:tc>
          <w:tcPr>
            <w:tcW w:w="3206" w:type="pct"/>
            <w:gridSpan w:val="2"/>
            <w:tcBorders>
              <w:top w:val="nil"/>
              <w:bottom w:val="single" w:sz="4" w:space="0" w:color="auto"/>
            </w:tcBorders>
          </w:tcPr>
          <w:p w:rsidR="00913796" w:rsidRPr="001B669F" w:rsidRDefault="00913796" w:rsidP="00913796">
            <w:pPr>
              <w:rPr>
                <w:b/>
                <w:sz w:val="20"/>
                <w:szCs w:val="20"/>
              </w:rPr>
            </w:pPr>
            <w:r w:rsidRPr="001B669F">
              <w:rPr>
                <w:b/>
                <w:sz w:val="20"/>
                <w:szCs w:val="20"/>
              </w:rPr>
              <w:t>ADJUSTMENTS TO OPERATING INCOME</w:t>
            </w:r>
          </w:p>
        </w:tc>
        <w:tc>
          <w:tcPr>
            <w:tcW w:w="831" w:type="pct"/>
            <w:tcBorders>
              <w:top w:val="nil"/>
              <w:bottom w:val="single" w:sz="4" w:space="0" w:color="auto"/>
            </w:tcBorders>
          </w:tcPr>
          <w:p w:rsidR="00913796" w:rsidRPr="001B669F" w:rsidRDefault="00913796" w:rsidP="00913796">
            <w:pPr>
              <w:rPr>
                <w:b/>
                <w:sz w:val="20"/>
                <w:szCs w:val="20"/>
              </w:rPr>
            </w:pPr>
          </w:p>
        </w:tc>
        <w:tc>
          <w:tcPr>
            <w:tcW w:w="639" w:type="pct"/>
            <w:tcBorders>
              <w:top w:val="nil"/>
              <w:bottom w:val="single" w:sz="4" w:space="0" w:color="auto"/>
            </w:tcBorders>
          </w:tcPr>
          <w:p w:rsidR="00913796" w:rsidRPr="001B669F" w:rsidRDefault="00913796" w:rsidP="00913796">
            <w:pPr>
              <w:rPr>
                <w:b/>
                <w:sz w:val="20"/>
                <w:szCs w:val="20"/>
              </w:rPr>
            </w:pPr>
          </w:p>
        </w:tc>
        <w:tc>
          <w:tcPr>
            <w:tcW w:w="122" w:type="pct"/>
            <w:tcBorders>
              <w:top w:val="nil"/>
              <w:bottom w:val="single" w:sz="4" w:space="0" w:color="auto"/>
            </w:tcBorders>
          </w:tcPr>
          <w:p w:rsidR="00913796" w:rsidRPr="001B669F" w:rsidRDefault="00913796" w:rsidP="00913796">
            <w:pPr>
              <w:rPr>
                <w:b/>
                <w:sz w:val="20"/>
                <w:szCs w:val="20"/>
              </w:rPr>
            </w:pPr>
          </w:p>
        </w:tc>
      </w:tr>
      <w:tr w:rsidR="00913796" w:rsidRPr="001B669F" w:rsidTr="001B669F">
        <w:tc>
          <w:tcPr>
            <w:tcW w:w="202" w:type="pct"/>
            <w:tcBorders>
              <w:top w:val="single" w:sz="4" w:space="0" w:color="auto"/>
            </w:tcBorders>
          </w:tcPr>
          <w:p w:rsidR="00913796" w:rsidRPr="001B669F" w:rsidRDefault="00913796" w:rsidP="00913796">
            <w:pPr>
              <w:rPr>
                <w:b/>
                <w:sz w:val="20"/>
                <w:szCs w:val="20"/>
              </w:rPr>
            </w:pPr>
          </w:p>
        </w:tc>
        <w:tc>
          <w:tcPr>
            <w:tcW w:w="3084" w:type="pct"/>
            <w:tcBorders>
              <w:top w:val="single" w:sz="4" w:space="0" w:color="auto"/>
            </w:tcBorders>
          </w:tcPr>
          <w:p w:rsidR="00913796" w:rsidRPr="001B669F" w:rsidRDefault="00913796" w:rsidP="00913796">
            <w:pPr>
              <w:rPr>
                <w:b/>
                <w:sz w:val="20"/>
                <w:szCs w:val="20"/>
              </w:rPr>
            </w:pPr>
          </w:p>
        </w:tc>
        <w:tc>
          <w:tcPr>
            <w:tcW w:w="122" w:type="pct"/>
            <w:tcBorders>
              <w:top w:val="single" w:sz="4" w:space="0" w:color="auto"/>
            </w:tcBorders>
          </w:tcPr>
          <w:p w:rsidR="00913796" w:rsidRPr="001B669F" w:rsidRDefault="00913796" w:rsidP="00913796">
            <w:pPr>
              <w:rPr>
                <w:b/>
                <w:sz w:val="20"/>
                <w:szCs w:val="20"/>
              </w:rPr>
            </w:pPr>
          </w:p>
        </w:tc>
        <w:tc>
          <w:tcPr>
            <w:tcW w:w="831" w:type="pct"/>
            <w:tcBorders>
              <w:top w:val="single" w:sz="4" w:space="0" w:color="auto"/>
            </w:tcBorders>
          </w:tcPr>
          <w:p w:rsidR="00913796" w:rsidRPr="001B669F" w:rsidRDefault="00913796" w:rsidP="00913796">
            <w:pPr>
              <w:rPr>
                <w:b/>
                <w:sz w:val="20"/>
                <w:szCs w:val="20"/>
              </w:rPr>
            </w:pPr>
          </w:p>
        </w:tc>
        <w:tc>
          <w:tcPr>
            <w:tcW w:w="639" w:type="pct"/>
            <w:tcBorders>
              <w:top w:val="single" w:sz="4" w:space="0" w:color="auto"/>
            </w:tcBorders>
          </w:tcPr>
          <w:p w:rsidR="00913796" w:rsidRPr="001B669F" w:rsidRDefault="00913796" w:rsidP="00913796">
            <w:pPr>
              <w:jc w:val="center"/>
              <w:rPr>
                <w:b/>
                <w:sz w:val="20"/>
                <w:szCs w:val="20"/>
              </w:rPr>
            </w:pPr>
            <w:r w:rsidRPr="001B669F">
              <w:rPr>
                <w:b/>
                <w:sz w:val="20"/>
                <w:szCs w:val="20"/>
              </w:rPr>
              <w:t>WATER</w:t>
            </w:r>
          </w:p>
        </w:tc>
        <w:tc>
          <w:tcPr>
            <w:tcW w:w="122" w:type="pct"/>
            <w:tcBorders>
              <w:top w:val="single" w:sz="4" w:space="0" w:color="auto"/>
            </w:tcBorders>
          </w:tcPr>
          <w:p w:rsidR="00913796" w:rsidRPr="001B669F" w:rsidRDefault="00913796" w:rsidP="00913796">
            <w:pPr>
              <w:rPr>
                <w:b/>
                <w:sz w:val="20"/>
                <w:szCs w:val="20"/>
              </w:rPr>
            </w:pPr>
          </w:p>
        </w:tc>
      </w:tr>
      <w:tr w:rsidR="00913796" w:rsidRPr="001B669F" w:rsidTr="001B669F">
        <w:tc>
          <w:tcPr>
            <w:tcW w:w="202" w:type="pct"/>
          </w:tcPr>
          <w:p w:rsidR="00913796" w:rsidRPr="001B669F" w:rsidRDefault="00913796" w:rsidP="00913796">
            <w:pPr>
              <w:rPr>
                <w:b/>
                <w:sz w:val="20"/>
                <w:szCs w:val="20"/>
              </w:rPr>
            </w:pPr>
          </w:p>
        </w:tc>
        <w:tc>
          <w:tcPr>
            <w:tcW w:w="3084" w:type="pct"/>
          </w:tcPr>
          <w:p w:rsidR="00913796" w:rsidRPr="001B669F" w:rsidRDefault="00913796" w:rsidP="00913796">
            <w:pPr>
              <w:rPr>
                <w:b/>
                <w:sz w:val="20"/>
                <w:szCs w:val="20"/>
              </w:rPr>
            </w:pPr>
            <w:r w:rsidRPr="001B669F">
              <w:rPr>
                <w:b/>
                <w:sz w:val="20"/>
                <w:szCs w:val="20"/>
              </w:rPr>
              <w:t>OPERATING REVENUES</w:t>
            </w:r>
          </w:p>
        </w:tc>
        <w:tc>
          <w:tcPr>
            <w:tcW w:w="122" w:type="pct"/>
          </w:tcPr>
          <w:p w:rsidR="00913796" w:rsidRPr="001B669F" w:rsidRDefault="00913796" w:rsidP="00913796">
            <w:pPr>
              <w:rPr>
                <w:b/>
                <w:sz w:val="20"/>
                <w:szCs w:val="20"/>
              </w:rPr>
            </w:pPr>
          </w:p>
        </w:tc>
        <w:tc>
          <w:tcPr>
            <w:tcW w:w="831" w:type="pct"/>
          </w:tcPr>
          <w:p w:rsidR="00913796" w:rsidRPr="001B669F" w:rsidRDefault="00913796" w:rsidP="00913796">
            <w:pPr>
              <w:rPr>
                <w:b/>
                <w:sz w:val="20"/>
                <w:szCs w:val="20"/>
              </w:rPr>
            </w:pPr>
          </w:p>
        </w:tc>
        <w:tc>
          <w:tcPr>
            <w:tcW w:w="639" w:type="pct"/>
          </w:tcPr>
          <w:p w:rsidR="00913796" w:rsidRPr="001B669F" w:rsidRDefault="00913796" w:rsidP="00913796">
            <w:pPr>
              <w:rPr>
                <w:b/>
                <w:sz w:val="20"/>
                <w:szCs w:val="20"/>
              </w:rPr>
            </w:pPr>
          </w:p>
        </w:tc>
        <w:tc>
          <w:tcPr>
            <w:tcW w:w="122" w:type="pct"/>
          </w:tcPr>
          <w:p w:rsidR="00913796" w:rsidRPr="001B669F" w:rsidRDefault="00913796" w:rsidP="00913796">
            <w:pPr>
              <w:rPr>
                <w:b/>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1.</w:t>
            </w:r>
          </w:p>
        </w:tc>
        <w:tc>
          <w:tcPr>
            <w:tcW w:w="3084" w:type="pct"/>
          </w:tcPr>
          <w:p w:rsidR="00913796" w:rsidRPr="001B669F" w:rsidRDefault="00913796" w:rsidP="00913796">
            <w:pPr>
              <w:rPr>
                <w:sz w:val="20"/>
                <w:szCs w:val="20"/>
              </w:rPr>
            </w:pPr>
            <w:r w:rsidRPr="001B669F">
              <w:rPr>
                <w:sz w:val="20"/>
                <w:szCs w:val="20"/>
              </w:rPr>
              <w:t>To reflect appropriate test year Service Revenues.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r w:rsidRPr="001B669F">
              <w:rPr>
                <w:sz w:val="20"/>
                <w:szCs w:val="20"/>
              </w:rPr>
              <w:t>$364</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2.</w:t>
            </w:r>
          </w:p>
        </w:tc>
        <w:tc>
          <w:tcPr>
            <w:tcW w:w="3084" w:type="pct"/>
          </w:tcPr>
          <w:p w:rsidR="00913796" w:rsidRPr="001B669F" w:rsidRDefault="00913796" w:rsidP="00913796">
            <w:pPr>
              <w:rPr>
                <w:sz w:val="20"/>
                <w:szCs w:val="20"/>
              </w:rPr>
            </w:pPr>
            <w:r w:rsidRPr="001B669F">
              <w:rPr>
                <w:sz w:val="20"/>
                <w:szCs w:val="20"/>
              </w:rPr>
              <w:t>To reflect appropriate test year Miscellaneous Revenues.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single"/>
              </w:rPr>
            </w:pPr>
            <w:r w:rsidRPr="001B669F">
              <w:rPr>
                <w:sz w:val="20"/>
                <w:szCs w:val="20"/>
                <w:u w:val="single"/>
              </w:rPr>
              <w:t>(200)</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 xml:space="preserve">   Total</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double"/>
              </w:rPr>
            </w:pPr>
            <w:r w:rsidRPr="001B669F">
              <w:rPr>
                <w:sz w:val="20"/>
                <w:szCs w:val="20"/>
                <w:u w:val="double"/>
              </w:rPr>
              <w:t>$164</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b/>
                <w:sz w:val="20"/>
                <w:szCs w:val="20"/>
              </w:rPr>
            </w:pPr>
          </w:p>
        </w:tc>
        <w:tc>
          <w:tcPr>
            <w:tcW w:w="3084" w:type="pct"/>
          </w:tcPr>
          <w:p w:rsidR="00913796" w:rsidRPr="001B669F" w:rsidRDefault="00913796" w:rsidP="00913796">
            <w:pPr>
              <w:rPr>
                <w:b/>
                <w:sz w:val="20"/>
                <w:szCs w:val="20"/>
              </w:rPr>
            </w:pPr>
            <w:r w:rsidRPr="001B669F">
              <w:rPr>
                <w:b/>
                <w:sz w:val="20"/>
                <w:szCs w:val="20"/>
              </w:rPr>
              <w:t>OPERATION AND MAINTENANCE EXPENSE</w:t>
            </w:r>
          </w:p>
        </w:tc>
        <w:tc>
          <w:tcPr>
            <w:tcW w:w="122" w:type="pct"/>
          </w:tcPr>
          <w:p w:rsidR="00913796" w:rsidRPr="001B669F" w:rsidRDefault="00913796" w:rsidP="00913796">
            <w:pPr>
              <w:rPr>
                <w:b/>
                <w:sz w:val="20"/>
                <w:szCs w:val="20"/>
              </w:rPr>
            </w:pPr>
          </w:p>
        </w:tc>
        <w:tc>
          <w:tcPr>
            <w:tcW w:w="831" w:type="pct"/>
          </w:tcPr>
          <w:p w:rsidR="00913796" w:rsidRPr="001B669F" w:rsidRDefault="00913796" w:rsidP="00913796">
            <w:pPr>
              <w:rPr>
                <w:b/>
                <w:sz w:val="20"/>
                <w:szCs w:val="20"/>
              </w:rPr>
            </w:pPr>
          </w:p>
        </w:tc>
        <w:tc>
          <w:tcPr>
            <w:tcW w:w="639" w:type="pct"/>
          </w:tcPr>
          <w:p w:rsidR="00913796" w:rsidRPr="001B669F" w:rsidRDefault="00913796" w:rsidP="00913796">
            <w:pPr>
              <w:jc w:val="right"/>
              <w:rPr>
                <w:b/>
                <w:sz w:val="20"/>
                <w:szCs w:val="20"/>
              </w:rPr>
            </w:pPr>
          </w:p>
        </w:tc>
        <w:tc>
          <w:tcPr>
            <w:tcW w:w="122" w:type="pct"/>
          </w:tcPr>
          <w:p w:rsidR="00913796" w:rsidRPr="001B669F" w:rsidRDefault="00913796" w:rsidP="00913796">
            <w:pPr>
              <w:rPr>
                <w:b/>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1.</w:t>
            </w:r>
          </w:p>
        </w:tc>
        <w:tc>
          <w:tcPr>
            <w:tcW w:w="3084" w:type="pct"/>
          </w:tcPr>
          <w:p w:rsidR="00913796" w:rsidRPr="001B669F" w:rsidRDefault="00913796" w:rsidP="00913796">
            <w:pPr>
              <w:rPr>
                <w:sz w:val="20"/>
                <w:szCs w:val="20"/>
              </w:rPr>
            </w:pPr>
            <w:r w:rsidRPr="001B669F">
              <w:rPr>
                <w:sz w:val="20"/>
                <w:szCs w:val="20"/>
              </w:rPr>
              <w:t>Contractual Services – Billing (630)</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To reflect allocated Beacon Software costs for replaced Meters.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double"/>
              </w:rPr>
            </w:pPr>
            <w:r w:rsidRPr="001B669F">
              <w:rPr>
                <w:sz w:val="20"/>
                <w:szCs w:val="20"/>
                <w:u w:val="double"/>
              </w:rPr>
              <w:t>$186</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2.</w:t>
            </w:r>
          </w:p>
        </w:tc>
        <w:tc>
          <w:tcPr>
            <w:tcW w:w="3084" w:type="pct"/>
          </w:tcPr>
          <w:p w:rsidR="00913796" w:rsidRPr="001B669F" w:rsidRDefault="00913796" w:rsidP="00913796">
            <w:pPr>
              <w:rPr>
                <w:sz w:val="20"/>
                <w:szCs w:val="20"/>
              </w:rPr>
            </w:pPr>
            <w:r w:rsidRPr="001B669F">
              <w:rPr>
                <w:sz w:val="20"/>
                <w:szCs w:val="20"/>
              </w:rPr>
              <w:t>Rate Case Expense (665)</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To reflect 1/4 rate case expense.</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double"/>
              </w:rPr>
            </w:pPr>
            <w:r w:rsidRPr="001B669F">
              <w:rPr>
                <w:sz w:val="20"/>
                <w:szCs w:val="20"/>
                <w:u w:val="double"/>
              </w:rPr>
              <w:t>$316</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3.</w:t>
            </w:r>
          </w:p>
        </w:tc>
        <w:tc>
          <w:tcPr>
            <w:tcW w:w="3084" w:type="pct"/>
          </w:tcPr>
          <w:p w:rsidR="00913796" w:rsidRPr="001B669F" w:rsidRDefault="00913796" w:rsidP="00913796">
            <w:pPr>
              <w:rPr>
                <w:sz w:val="20"/>
                <w:szCs w:val="20"/>
              </w:rPr>
            </w:pPr>
            <w:r w:rsidRPr="001B669F">
              <w:rPr>
                <w:sz w:val="20"/>
                <w:szCs w:val="20"/>
              </w:rPr>
              <w:t>Regulatory Commission Expense (667)</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4037" w:type="pct"/>
            <w:gridSpan w:val="3"/>
          </w:tcPr>
          <w:p w:rsidR="00913796" w:rsidRPr="001B669F" w:rsidRDefault="00913796" w:rsidP="00913796">
            <w:pPr>
              <w:rPr>
                <w:sz w:val="20"/>
                <w:szCs w:val="20"/>
              </w:rPr>
            </w:pPr>
            <w:r w:rsidRPr="001B669F">
              <w:rPr>
                <w:sz w:val="20"/>
                <w:szCs w:val="20"/>
              </w:rPr>
              <w:t>To reflect five year amortization of RCE from Docket No. 20210043-WU.</w:t>
            </w:r>
          </w:p>
        </w:tc>
        <w:tc>
          <w:tcPr>
            <w:tcW w:w="639" w:type="pct"/>
          </w:tcPr>
          <w:p w:rsidR="00913796" w:rsidRPr="001B669F" w:rsidRDefault="00913796" w:rsidP="00913796">
            <w:pPr>
              <w:jc w:val="right"/>
              <w:rPr>
                <w:sz w:val="20"/>
                <w:szCs w:val="20"/>
                <w:u w:val="double"/>
              </w:rPr>
            </w:pPr>
            <w:r w:rsidRPr="001B669F">
              <w:rPr>
                <w:sz w:val="20"/>
                <w:szCs w:val="20"/>
                <w:u w:val="double"/>
              </w:rPr>
              <w:t>$1,463</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4.</w:t>
            </w:r>
          </w:p>
        </w:tc>
        <w:tc>
          <w:tcPr>
            <w:tcW w:w="3084" w:type="pct"/>
          </w:tcPr>
          <w:p w:rsidR="00913796" w:rsidRPr="001B669F" w:rsidRDefault="00913796" w:rsidP="00913796">
            <w:pPr>
              <w:rPr>
                <w:sz w:val="20"/>
                <w:szCs w:val="20"/>
              </w:rPr>
            </w:pPr>
            <w:r w:rsidRPr="001B669F">
              <w:rPr>
                <w:sz w:val="20"/>
                <w:szCs w:val="20"/>
              </w:rPr>
              <w:t>Bad Debt Expense (670)</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To reflect 1 percent of test year revenues.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double"/>
              </w:rPr>
            </w:pPr>
            <w:r w:rsidRPr="001B669F">
              <w:rPr>
                <w:sz w:val="20"/>
                <w:szCs w:val="20"/>
                <w:u w:val="double"/>
              </w:rPr>
              <w:t>$283</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5.</w:t>
            </w:r>
          </w:p>
        </w:tc>
        <w:tc>
          <w:tcPr>
            <w:tcW w:w="3084" w:type="pct"/>
          </w:tcPr>
          <w:p w:rsidR="00913796" w:rsidRPr="001B669F" w:rsidRDefault="00913796" w:rsidP="00913796">
            <w:pPr>
              <w:rPr>
                <w:sz w:val="20"/>
                <w:szCs w:val="20"/>
              </w:rPr>
            </w:pPr>
            <w:r w:rsidRPr="001B669F">
              <w:rPr>
                <w:sz w:val="20"/>
                <w:szCs w:val="20"/>
              </w:rPr>
              <w:t>Miscellaneous Expense (675)</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a. To reflect removal of bank service charges.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r w:rsidRPr="001B669F">
              <w:rPr>
                <w:sz w:val="20"/>
                <w:szCs w:val="20"/>
              </w:rPr>
              <w:t>($20)</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b. To reflect removal of NSF fees.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r w:rsidRPr="001B669F">
              <w:rPr>
                <w:sz w:val="20"/>
                <w:szCs w:val="20"/>
              </w:rPr>
              <w:t>(15)</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c. To reflect removal of loan fees.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single"/>
              </w:rPr>
            </w:pPr>
            <w:r w:rsidRPr="001B669F">
              <w:rPr>
                <w:sz w:val="20"/>
                <w:szCs w:val="20"/>
                <w:u w:val="single"/>
              </w:rPr>
              <w:t>(181)</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 xml:space="preserve">   Subtotal</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double"/>
              </w:rPr>
            </w:pPr>
            <w:r w:rsidRPr="001B669F">
              <w:rPr>
                <w:sz w:val="20"/>
                <w:szCs w:val="20"/>
                <w:u w:val="double"/>
              </w:rPr>
              <w:t>($216)</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b/>
                <w:sz w:val="20"/>
                <w:szCs w:val="20"/>
              </w:rPr>
            </w:pPr>
          </w:p>
        </w:tc>
        <w:tc>
          <w:tcPr>
            <w:tcW w:w="3084" w:type="pct"/>
          </w:tcPr>
          <w:p w:rsidR="00913796" w:rsidRPr="001B669F" w:rsidRDefault="00913796" w:rsidP="00913796">
            <w:pPr>
              <w:rPr>
                <w:b/>
                <w:sz w:val="20"/>
                <w:szCs w:val="20"/>
              </w:rPr>
            </w:pPr>
            <w:r w:rsidRPr="001B669F">
              <w:rPr>
                <w:b/>
                <w:sz w:val="20"/>
                <w:szCs w:val="20"/>
              </w:rPr>
              <w:t>TOTAL OPERATION AND MAINTENANCE ADJUSTMENTS</w:t>
            </w:r>
          </w:p>
        </w:tc>
        <w:tc>
          <w:tcPr>
            <w:tcW w:w="122" w:type="pct"/>
          </w:tcPr>
          <w:p w:rsidR="00913796" w:rsidRPr="001B669F" w:rsidRDefault="00913796" w:rsidP="00913796">
            <w:pPr>
              <w:rPr>
                <w:b/>
                <w:sz w:val="20"/>
                <w:szCs w:val="20"/>
              </w:rPr>
            </w:pPr>
          </w:p>
        </w:tc>
        <w:tc>
          <w:tcPr>
            <w:tcW w:w="831" w:type="pct"/>
          </w:tcPr>
          <w:p w:rsidR="00913796" w:rsidRPr="001B669F" w:rsidRDefault="00913796" w:rsidP="00913796">
            <w:pPr>
              <w:rPr>
                <w:b/>
                <w:sz w:val="20"/>
                <w:szCs w:val="20"/>
              </w:rPr>
            </w:pPr>
          </w:p>
        </w:tc>
        <w:tc>
          <w:tcPr>
            <w:tcW w:w="639" w:type="pct"/>
          </w:tcPr>
          <w:p w:rsidR="00913796" w:rsidRPr="001B669F" w:rsidRDefault="00913796" w:rsidP="00913796">
            <w:pPr>
              <w:jc w:val="right"/>
              <w:rPr>
                <w:b/>
                <w:sz w:val="20"/>
                <w:szCs w:val="20"/>
                <w:u w:val="double"/>
              </w:rPr>
            </w:pPr>
            <w:r w:rsidRPr="001B669F">
              <w:rPr>
                <w:b/>
                <w:sz w:val="20"/>
                <w:szCs w:val="20"/>
                <w:u w:val="double"/>
              </w:rPr>
              <w:t>$2,032</w:t>
            </w:r>
          </w:p>
        </w:tc>
        <w:tc>
          <w:tcPr>
            <w:tcW w:w="122" w:type="pct"/>
          </w:tcPr>
          <w:p w:rsidR="00913796" w:rsidRPr="001B669F" w:rsidRDefault="00913796" w:rsidP="00913796">
            <w:pPr>
              <w:rPr>
                <w:b/>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b/>
                <w:sz w:val="20"/>
                <w:szCs w:val="20"/>
              </w:rPr>
            </w:pPr>
          </w:p>
        </w:tc>
        <w:tc>
          <w:tcPr>
            <w:tcW w:w="3084" w:type="pct"/>
          </w:tcPr>
          <w:p w:rsidR="00913796" w:rsidRPr="001B669F" w:rsidRDefault="00913796" w:rsidP="00913796">
            <w:pPr>
              <w:rPr>
                <w:b/>
                <w:sz w:val="20"/>
                <w:szCs w:val="20"/>
              </w:rPr>
            </w:pPr>
            <w:r w:rsidRPr="001B669F">
              <w:rPr>
                <w:b/>
                <w:sz w:val="20"/>
                <w:szCs w:val="20"/>
              </w:rPr>
              <w:t>DEPRECIATION EXPENSE</w:t>
            </w:r>
          </w:p>
        </w:tc>
        <w:tc>
          <w:tcPr>
            <w:tcW w:w="122" w:type="pct"/>
          </w:tcPr>
          <w:p w:rsidR="00913796" w:rsidRPr="001B669F" w:rsidRDefault="00913796" w:rsidP="00913796">
            <w:pPr>
              <w:rPr>
                <w:b/>
                <w:sz w:val="20"/>
                <w:szCs w:val="20"/>
              </w:rPr>
            </w:pPr>
          </w:p>
        </w:tc>
        <w:tc>
          <w:tcPr>
            <w:tcW w:w="831" w:type="pct"/>
          </w:tcPr>
          <w:p w:rsidR="00913796" w:rsidRPr="001B669F" w:rsidRDefault="00913796" w:rsidP="00913796">
            <w:pPr>
              <w:rPr>
                <w:b/>
                <w:sz w:val="20"/>
                <w:szCs w:val="20"/>
              </w:rPr>
            </w:pPr>
          </w:p>
        </w:tc>
        <w:tc>
          <w:tcPr>
            <w:tcW w:w="639" w:type="pct"/>
          </w:tcPr>
          <w:p w:rsidR="00913796" w:rsidRPr="001B669F" w:rsidRDefault="00913796" w:rsidP="00913796">
            <w:pPr>
              <w:jc w:val="right"/>
              <w:rPr>
                <w:b/>
                <w:sz w:val="20"/>
                <w:szCs w:val="20"/>
              </w:rPr>
            </w:pPr>
          </w:p>
        </w:tc>
        <w:tc>
          <w:tcPr>
            <w:tcW w:w="122" w:type="pct"/>
          </w:tcPr>
          <w:p w:rsidR="00913796" w:rsidRPr="001B669F" w:rsidRDefault="00913796" w:rsidP="00913796">
            <w:pPr>
              <w:rPr>
                <w:b/>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 xml:space="preserve">1. </w:t>
            </w:r>
          </w:p>
        </w:tc>
        <w:tc>
          <w:tcPr>
            <w:tcW w:w="3084" w:type="pct"/>
          </w:tcPr>
          <w:p w:rsidR="00913796" w:rsidRPr="001B669F" w:rsidRDefault="00913796" w:rsidP="00913796">
            <w:pPr>
              <w:rPr>
                <w:sz w:val="20"/>
                <w:szCs w:val="20"/>
              </w:rPr>
            </w:pPr>
            <w:r w:rsidRPr="001B669F">
              <w:rPr>
                <w:sz w:val="20"/>
                <w:szCs w:val="20"/>
              </w:rPr>
              <w:t>To reflect an auditing adjustment.</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r w:rsidRPr="001B669F">
              <w:rPr>
                <w:sz w:val="20"/>
                <w:szCs w:val="20"/>
              </w:rPr>
              <w:t>($34)</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2.</w:t>
            </w:r>
          </w:p>
        </w:tc>
        <w:tc>
          <w:tcPr>
            <w:tcW w:w="3084" w:type="pct"/>
          </w:tcPr>
          <w:p w:rsidR="00913796" w:rsidRPr="001B669F" w:rsidRDefault="00913796" w:rsidP="00913796">
            <w:pPr>
              <w:rPr>
                <w:sz w:val="20"/>
                <w:szCs w:val="20"/>
              </w:rPr>
            </w:pPr>
            <w:r w:rsidRPr="001B669F">
              <w:rPr>
                <w:sz w:val="20"/>
                <w:szCs w:val="20"/>
              </w:rPr>
              <w:t>To reflect pro forma additions.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r w:rsidRPr="001B669F">
              <w:rPr>
                <w:sz w:val="20"/>
                <w:szCs w:val="20"/>
              </w:rPr>
              <w:t>390</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 xml:space="preserve">   Total</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double"/>
              </w:rPr>
            </w:pPr>
            <w:r w:rsidRPr="001B669F">
              <w:rPr>
                <w:sz w:val="20"/>
                <w:szCs w:val="20"/>
                <w:u w:val="double"/>
              </w:rPr>
              <w:t>$356</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b/>
                <w:sz w:val="20"/>
                <w:szCs w:val="20"/>
              </w:rPr>
            </w:pPr>
          </w:p>
        </w:tc>
        <w:tc>
          <w:tcPr>
            <w:tcW w:w="3084" w:type="pct"/>
          </w:tcPr>
          <w:p w:rsidR="00913796" w:rsidRPr="001B669F" w:rsidRDefault="00913796" w:rsidP="00913796">
            <w:pPr>
              <w:rPr>
                <w:b/>
                <w:sz w:val="20"/>
                <w:szCs w:val="20"/>
              </w:rPr>
            </w:pPr>
            <w:r w:rsidRPr="001B669F">
              <w:rPr>
                <w:b/>
                <w:sz w:val="20"/>
                <w:szCs w:val="20"/>
              </w:rPr>
              <w:t xml:space="preserve">AMORTIZATION EXPENSE </w:t>
            </w:r>
          </w:p>
        </w:tc>
        <w:tc>
          <w:tcPr>
            <w:tcW w:w="122" w:type="pct"/>
          </w:tcPr>
          <w:p w:rsidR="00913796" w:rsidRPr="001B669F" w:rsidRDefault="00913796" w:rsidP="00913796">
            <w:pPr>
              <w:rPr>
                <w:b/>
                <w:sz w:val="20"/>
                <w:szCs w:val="20"/>
              </w:rPr>
            </w:pPr>
          </w:p>
        </w:tc>
        <w:tc>
          <w:tcPr>
            <w:tcW w:w="831" w:type="pct"/>
          </w:tcPr>
          <w:p w:rsidR="00913796" w:rsidRPr="001B669F" w:rsidRDefault="00913796" w:rsidP="00913796">
            <w:pPr>
              <w:rPr>
                <w:b/>
                <w:sz w:val="20"/>
                <w:szCs w:val="20"/>
              </w:rPr>
            </w:pPr>
          </w:p>
        </w:tc>
        <w:tc>
          <w:tcPr>
            <w:tcW w:w="639" w:type="pct"/>
          </w:tcPr>
          <w:p w:rsidR="00913796" w:rsidRPr="001B669F" w:rsidRDefault="00913796" w:rsidP="00913796">
            <w:pPr>
              <w:jc w:val="right"/>
              <w:rPr>
                <w:b/>
                <w:sz w:val="20"/>
                <w:szCs w:val="20"/>
              </w:rPr>
            </w:pPr>
          </w:p>
        </w:tc>
        <w:tc>
          <w:tcPr>
            <w:tcW w:w="122" w:type="pct"/>
          </w:tcPr>
          <w:p w:rsidR="00913796" w:rsidRPr="001B669F" w:rsidRDefault="00913796" w:rsidP="00913796">
            <w:pPr>
              <w:rPr>
                <w:b/>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To reflect amortization expense of Acquisition Adjustment.</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double"/>
              </w:rPr>
            </w:pPr>
            <w:r w:rsidRPr="001B669F">
              <w:rPr>
                <w:sz w:val="20"/>
                <w:szCs w:val="20"/>
                <w:u w:val="double"/>
              </w:rPr>
              <w:t>($6,855)</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b/>
                <w:sz w:val="20"/>
                <w:szCs w:val="20"/>
              </w:rPr>
            </w:pPr>
          </w:p>
        </w:tc>
        <w:tc>
          <w:tcPr>
            <w:tcW w:w="3084" w:type="pct"/>
          </w:tcPr>
          <w:p w:rsidR="00913796" w:rsidRPr="001B669F" w:rsidRDefault="00913796" w:rsidP="00913796">
            <w:pPr>
              <w:rPr>
                <w:b/>
                <w:sz w:val="20"/>
                <w:szCs w:val="20"/>
              </w:rPr>
            </w:pPr>
            <w:r w:rsidRPr="001B669F">
              <w:rPr>
                <w:b/>
                <w:sz w:val="20"/>
                <w:szCs w:val="20"/>
              </w:rPr>
              <w:t>TAXES OTHER THAN INCOME</w:t>
            </w:r>
          </w:p>
        </w:tc>
        <w:tc>
          <w:tcPr>
            <w:tcW w:w="122" w:type="pct"/>
          </w:tcPr>
          <w:p w:rsidR="00913796" w:rsidRPr="001B669F" w:rsidRDefault="00913796" w:rsidP="00913796">
            <w:pPr>
              <w:rPr>
                <w:b/>
                <w:sz w:val="20"/>
                <w:szCs w:val="20"/>
              </w:rPr>
            </w:pPr>
          </w:p>
        </w:tc>
        <w:tc>
          <w:tcPr>
            <w:tcW w:w="831" w:type="pct"/>
          </w:tcPr>
          <w:p w:rsidR="00913796" w:rsidRPr="001B669F" w:rsidRDefault="00913796" w:rsidP="00913796">
            <w:pPr>
              <w:rPr>
                <w:b/>
                <w:sz w:val="20"/>
                <w:szCs w:val="20"/>
              </w:rPr>
            </w:pPr>
          </w:p>
        </w:tc>
        <w:tc>
          <w:tcPr>
            <w:tcW w:w="639" w:type="pct"/>
          </w:tcPr>
          <w:p w:rsidR="00913796" w:rsidRPr="001B669F" w:rsidRDefault="00913796" w:rsidP="00913796">
            <w:pPr>
              <w:jc w:val="right"/>
              <w:rPr>
                <w:b/>
                <w:sz w:val="20"/>
                <w:szCs w:val="20"/>
              </w:rPr>
            </w:pPr>
          </w:p>
        </w:tc>
        <w:tc>
          <w:tcPr>
            <w:tcW w:w="122" w:type="pct"/>
          </w:tcPr>
          <w:p w:rsidR="00913796" w:rsidRPr="001B669F" w:rsidRDefault="00913796" w:rsidP="00913796">
            <w:pPr>
              <w:rPr>
                <w:b/>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1.</w:t>
            </w:r>
          </w:p>
        </w:tc>
        <w:tc>
          <w:tcPr>
            <w:tcW w:w="3084" w:type="pct"/>
          </w:tcPr>
          <w:p w:rsidR="00913796" w:rsidRPr="001B669F" w:rsidRDefault="00913796" w:rsidP="00913796">
            <w:pPr>
              <w:rPr>
                <w:sz w:val="20"/>
                <w:szCs w:val="20"/>
              </w:rPr>
            </w:pPr>
            <w:r w:rsidRPr="001B669F">
              <w:rPr>
                <w:sz w:val="20"/>
                <w:szCs w:val="20"/>
              </w:rPr>
              <w:t>To reflect appropriate test year RAFs.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r w:rsidRPr="001B669F">
              <w:rPr>
                <w:sz w:val="20"/>
                <w:szCs w:val="20"/>
              </w:rPr>
              <w:t>$7</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r w:rsidRPr="001B669F">
              <w:rPr>
                <w:sz w:val="20"/>
                <w:szCs w:val="20"/>
              </w:rPr>
              <w:t>2.</w:t>
            </w:r>
          </w:p>
        </w:tc>
        <w:tc>
          <w:tcPr>
            <w:tcW w:w="3084" w:type="pct"/>
          </w:tcPr>
          <w:p w:rsidR="00913796" w:rsidRPr="001B669F" w:rsidRDefault="00913796" w:rsidP="00913796">
            <w:pPr>
              <w:rPr>
                <w:sz w:val="20"/>
                <w:szCs w:val="20"/>
              </w:rPr>
            </w:pPr>
            <w:r w:rsidRPr="001B669F">
              <w:rPr>
                <w:sz w:val="20"/>
                <w:szCs w:val="20"/>
              </w:rPr>
              <w:t>To reflect property taxes associated with pro forma plant additions.</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single"/>
              </w:rPr>
            </w:pPr>
            <w:r w:rsidRPr="001B669F">
              <w:rPr>
                <w:sz w:val="20"/>
                <w:szCs w:val="20"/>
                <w:u w:val="single"/>
              </w:rPr>
              <w:t>27</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r w:rsidRPr="001B669F">
              <w:rPr>
                <w:sz w:val="20"/>
                <w:szCs w:val="20"/>
              </w:rPr>
              <w:t xml:space="preserve">   Total</w:t>
            </w: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u w:val="double"/>
              </w:rPr>
            </w:pPr>
            <w:r w:rsidRPr="001B669F">
              <w:rPr>
                <w:sz w:val="20"/>
                <w:szCs w:val="20"/>
                <w:u w:val="double"/>
              </w:rPr>
              <w:t>$34</w:t>
            </w: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jc w:val="right"/>
              <w:rPr>
                <w:sz w:val="20"/>
                <w:szCs w:val="20"/>
              </w:rPr>
            </w:pPr>
          </w:p>
        </w:tc>
        <w:tc>
          <w:tcPr>
            <w:tcW w:w="122" w:type="pct"/>
          </w:tcPr>
          <w:p w:rsidR="00913796" w:rsidRPr="001B669F" w:rsidRDefault="00913796" w:rsidP="00913796">
            <w:pPr>
              <w:rPr>
                <w:sz w:val="20"/>
                <w:szCs w:val="20"/>
              </w:rPr>
            </w:pPr>
          </w:p>
        </w:tc>
      </w:tr>
      <w:tr w:rsidR="00913796" w:rsidRPr="001B669F" w:rsidTr="001B669F">
        <w:tc>
          <w:tcPr>
            <w:tcW w:w="202" w:type="pct"/>
          </w:tcPr>
          <w:p w:rsidR="00913796" w:rsidRPr="001B669F" w:rsidRDefault="00913796" w:rsidP="00913796">
            <w:pPr>
              <w:rPr>
                <w:b/>
                <w:sz w:val="20"/>
                <w:szCs w:val="20"/>
              </w:rPr>
            </w:pPr>
          </w:p>
        </w:tc>
        <w:tc>
          <w:tcPr>
            <w:tcW w:w="3084" w:type="pct"/>
          </w:tcPr>
          <w:p w:rsidR="00913796" w:rsidRPr="001B669F" w:rsidRDefault="00913796" w:rsidP="00913796">
            <w:pPr>
              <w:rPr>
                <w:b/>
                <w:sz w:val="20"/>
                <w:szCs w:val="20"/>
              </w:rPr>
            </w:pPr>
            <w:r w:rsidRPr="001B669F">
              <w:rPr>
                <w:b/>
                <w:sz w:val="20"/>
                <w:szCs w:val="20"/>
              </w:rPr>
              <w:t>TOTAL OPERATING EXPENSE ADJUSTMENTS</w:t>
            </w:r>
          </w:p>
        </w:tc>
        <w:tc>
          <w:tcPr>
            <w:tcW w:w="122" w:type="pct"/>
          </w:tcPr>
          <w:p w:rsidR="00913796" w:rsidRPr="001B669F" w:rsidRDefault="00913796" w:rsidP="00913796">
            <w:pPr>
              <w:rPr>
                <w:b/>
                <w:sz w:val="20"/>
                <w:szCs w:val="20"/>
              </w:rPr>
            </w:pPr>
          </w:p>
        </w:tc>
        <w:tc>
          <w:tcPr>
            <w:tcW w:w="831" w:type="pct"/>
          </w:tcPr>
          <w:p w:rsidR="00913796" w:rsidRPr="001B669F" w:rsidRDefault="00913796" w:rsidP="00913796">
            <w:pPr>
              <w:rPr>
                <w:b/>
                <w:sz w:val="20"/>
                <w:szCs w:val="20"/>
              </w:rPr>
            </w:pPr>
          </w:p>
        </w:tc>
        <w:tc>
          <w:tcPr>
            <w:tcW w:w="639" w:type="pct"/>
          </w:tcPr>
          <w:p w:rsidR="00913796" w:rsidRPr="001B669F" w:rsidRDefault="00913796" w:rsidP="00913796">
            <w:pPr>
              <w:jc w:val="right"/>
              <w:rPr>
                <w:b/>
                <w:sz w:val="20"/>
                <w:szCs w:val="20"/>
                <w:u w:val="double"/>
              </w:rPr>
            </w:pPr>
            <w:r w:rsidRPr="001B669F">
              <w:rPr>
                <w:b/>
                <w:sz w:val="20"/>
                <w:szCs w:val="20"/>
                <w:u w:val="double"/>
              </w:rPr>
              <w:t>($4,433)</w:t>
            </w:r>
          </w:p>
        </w:tc>
        <w:tc>
          <w:tcPr>
            <w:tcW w:w="122" w:type="pct"/>
          </w:tcPr>
          <w:p w:rsidR="00913796" w:rsidRPr="001B669F" w:rsidRDefault="00913796" w:rsidP="00913796">
            <w:pPr>
              <w:rPr>
                <w:b/>
                <w:sz w:val="20"/>
                <w:szCs w:val="20"/>
              </w:rPr>
            </w:pPr>
          </w:p>
        </w:tc>
      </w:tr>
      <w:tr w:rsidR="00913796" w:rsidRPr="001B669F" w:rsidTr="001B669F">
        <w:tc>
          <w:tcPr>
            <w:tcW w:w="202" w:type="pct"/>
          </w:tcPr>
          <w:p w:rsidR="00913796" w:rsidRPr="001B669F" w:rsidRDefault="00913796" w:rsidP="00913796">
            <w:pPr>
              <w:rPr>
                <w:sz w:val="20"/>
                <w:szCs w:val="20"/>
              </w:rPr>
            </w:pPr>
          </w:p>
        </w:tc>
        <w:tc>
          <w:tcPr>
            <w:tcW w:w="3084"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c>
          <w:tcPr>
            <w:tcW w:w="831" w:type="pct"/>
          </w:tcPr>
          <w:p w:rsidR="00913796" w:rsidRPr="001B669F" w:rsidRDefault="00913796" w:rsidP="00913796">
            <w:pPr>
              <w:rPr>
                <w:sz w:val="20"/>
                <w:szCs w:val="20"/>
              </w:rPr>
            </w:pPr>
          </w:p>
        </w:tc>
        <w:tc>
          <w:tcPr>
            <w:tcW w:w="639" w:type="pct"/>
          </w:tcPr>
          <w:p w:rsidR="00913796" w:rsidRPr="001B669F" w:rsidRDefault="00913796" w:rsidP="00913796">
            <w:pPr>
              <w:rPr>
                <w:sz w:val="20"/>
                <w:szCs w:val="20"/>
              </w:rPr>
            </w:pPr>
          </w:p>
        </w:tc>
        <w:tc>
          <w:tcPr>
            <w:tcW w:w="122" w:type="pct"/>
          </w:tcPr>
          <w:p w:rsidR="00913796" w:rsidRPr="001B669F" w:rsidRDefault="00913796" w:rsidP="00913796">
            <w:pPr>
              <w:rPr>
                <w:sz w:val="20"/>
                <w:szCs w:val="20"/>
              </w:rPr>
            </w:pPr>
          </w:p>
        </w:tc>
      </w:tr>
    </w:tbl>
    <w:p w:rsidR="00913796" w:rsidRPr="001B669F" w:rsidRDefault="00913796" w:rsidP="00913796">
      <w:pPr>
        <w:spacing w:after="240"/>
        <w:jc w:val="both"/>
        <w:sectPr w:rsidR="00913796" w:rsidRPr="001B669F" w:rsidSect="001B669F">
          <w:headerReference w:type="default" r:id="rId16"/>
          <w:footerReference w:type="default" r:id="rId17"/>
          <w:pgSz w:w="12240" w:h="15840" w:code="1"/>
          <w:pgMar w:top="1584" w:right="1440" w:bottom="1440" w:left="1440" w:header="720" w:footer="720" w:gutter="0"/>
          <w:cols w:space="720"/>
          <w:formProt w:val="0"/>
          <w:docGrid w:linePitch="360"/>
        </w:sectPr>
      </w:pPr>
    </w:p>
    <w:tbl>
      <w:tblPr>
        <w:tblStyle w:val="TableGrid5"/>
        <w:tblW w:w="9980" w:type="dxa"/>
        <w:jc w:val="center"/>
        <w:tblBorders>
          <w:insideH w:val="none" w:sz="0" w:space="0" w:color="auto"/>
          <w:insideV w:val="none" w:sz="0" w:space="0" w:color="auto"/>
        </w:tblBorders>
        <w:tblLook w:val="04A0" w:firstRow="1" w:lastRow="0" w:firstColumn="1" w:lastColumn="0" w:noHBand="0" w:noVBand="1"/>
      </w:tblPr>
      <w:tblGrid>
        <w:gridCol w:w="241"/>
        <w:gridCol w:w="1233"/>
        <w:gridCol w:w="4415"/>
        <w:gridCol w:w="1334"/>
        <w:gridCol w:w="1334"/>
        <w:gridCol w:w="1182"/>
        <w:gridCol w:w="241"/>
      </w:tblGrid>
      <w:tr w:rsidR="00913796" w:rsidRPr="001B669F" w:rsidTr="001B669F">
        <w:trPr>
          <w:trHeight w:val="300"/>
          <w:jc w:val="center"/>
        </w:trPr>
        <w:tc>
          <w:tcPr>
            <w:tcW w:w="0" w:type="auto"/>
            <w:tcBorders>
              <w:top w:val="single" w:sz="4" w:space="0" w:color="auto"/>
              <w:bottom w:val="nil"/>
            </w:tcBorders>
          </w:tcPr>
          <w:p w:rsidR="00913796" w:rsidRPr="001B669F" w:rsidRDefault="00913796" w:rsidP="00913796">
            <w:pPr>
              <w:rPr>
                <w:rFonts w:ascii="Times New Roman" w:hAnsi="Times New Roman" w:cs="Times New Roman"/>
              </w:rPr>
            </w:pPr>
          </w:p>
        </w:tc>
        <w:tc>
          <w:tcPr>
            <w:tcW w:w="0" w:type="auto"/>
            <w:gridSpan w:val="2"/>
            <w:tcBorders>
              <w:top w:val="single" w:sz="4" w:space="0" w:color="auto"/>
              <w:bottom w:val="nil"/>
            </w:tcBorders>
          </w:tcPr>
          <w:p w:rsidR="00913796" w:rsidRPr="001B669F" w:rsidRDefault="00913796" w:rsidP="00913796">
            <w:pPr>
              <w:rPr>
                <w:rFonts w:ascii="Times New Roman" w:hAnsi="Times New Roman" w:cs="Times New Roman"/>
                <w:b/>
              </w:rPr>
            </w:pPr>
            <w:r w:rsidRPr="001B669F">
              <w:rPr>
                <w:rFonts w:ascii="Times New Roman" w:hAnsi="Times New Roman" w:cs="Times New Roman"/>
                <w:b/>
              </w:rPr>
              <w:t>LEIGHTON ESTATES UTILITIES, LLC.</w:t>
            </w:r>
          </w:p>
        </w:tc>
        <w:tc>
          <w:tcPr>
            <w:tcW w:w="0" w:type="auto"/>
            <w:gridSpan w:val="3"/>
            <w:tcBorders>
              <w:top w:val="single" w:sz="4" w:space="0" w:color="auto"/>
              <w:bottom w:val="nil"/>
            </w:tcBorders>
          </w:tcPr>
          <w:p w:rsidR="00913796" w:rsidRPr="001B669F" w:rsidRDefault="00913796" w:rsidP="00913796">
            <w:pPr>
              <w:jc w:val="right"/>
              <w:rPr>
                <w:rFonts w:ascii="Times New Roman" w:hAnsi="Times New Roman" w:cs="Times New Roman"/>
                <w:b/>
              </w:rPr>
            </w:pPr>
            <w:r w:rsidRPr="001B669F">
              <w:rPr>
                <w:rFonts w:ascii="Times New Roman" w:hAnsi="Times New Roman" w:cs="Times New Roman"/>
                <w:b/>
              </w:rPr>
              <w:t>SCHEDULE NO. 3-C</w:t>
            </w:r>
          </w:p>
        </w:tc>
        <w:tc>
          <w:tcPr>
            <w:tcW w:w="0" w:type="auto"/>
            <w:tcBorders>
              <w:top w:val="single" w:sz="4" w:space="0" w:color="auto"/>
              <w:bottom w:val="nil"/>
            </w:tcBorders>
          </w:tcPr>
          <w:p w:rsidR="00913796" w:rsidRPr="001B669F" w:rsidRDefault="00913796" w:rsidP="00913796">
            <w:pPr>
              <w:rPr>
                <w:rFonts w:ascii="Times New Roman" w:hAnsi="Times New Roman" w:cs="Times New Roman"/>
              </w:rPr>
            </w:pPr>
          </w:p>
        </w:tc>
      </w:tr>
      <w:tr w:rsidR="00913796" w:rsidRPr="001B669F" w:rsidTr="001B669F">
        <w:trPr>
          <w:trHeight w:val="282"/>
          <w:jc w:val="center"/>
        </w:trPr>
        <w:tc>
          <w:tcPr>
            <w:tcW w:w="0" w:type="auto"/>
            <w:tcBorders>
              <w:top w:val="nil"/>
              <w:bottom w:val="nil"/>
            </w:tcBorders>
          </w:tcPr>
          <w:p w:rsidR="00913796" w:rsidRPr="001B669F" w:rsidRDefault="00913796" w:rsidP="00913796">
            <w:pPr>
              <w:rPr>
                <w:rFonts w:ascii="Times New Roman" w:hAnsi="Times New Roman" w:cs="Times New Roman"/>
              </w:rPr>
            </w:pPr>
          </w:p>
        </w:tc>
        <w:tc>
          <w:tcPr>
            <w:tcW w:w="0" w:type="auto"/>
            <w:gridSpan w:val="2"/>
            <w:tcBorders>
              <w:top w:val="nil"/>
              <w:bottom w:val="nil"/>
            </w:tcBorders>
          </w:tcPr>
          <w:p w:rsidR="00913796" w:rsidRPr="001B669F" w:rsidRDefault="00913796" w:rsidP="00913796">
            <w:pPr>
              <w:rPr>
                <w:rFonts w:ascii="Times New Roman" w:hAnsi="Times New Roman" w:cs="Times New Roman"/>
                <w:b/>
              </w:rPr>
            </w:pPr>
            <w:r w:rsidRPr="001B669F">
              <w:rPr>
                <w:rFonts w:ascii="Times New Roman" w:hAnsi="Times New Roman" w:cs="Times New Roman"/>
                <w:b/>
              </w:rPr>
              <w:t>TEST YEAR ENDED 12/31/2021</w:t>
            </w:r>
            <w:r w:rsidRPr="001B669F">
              <w:fldChar w:fldCharType="begin"/>
            </w:r>
            <w:r w:rsidRPr="001B669F">
              <w:rPr>
                <w:rFonts w:ascii="Times New Roman" w:hAnsi="Times New Roman" w:cs="Times New Roman"/>
              </w:rPr>
              <w:instrText xml:space="preserve"> TC "</w:instrText>
            </w:r>
            <w:bookmarkStart w:id="30" w:name="_Toc21427550"/>
            <w:bookmarkStart w:id="31" w:name="_Toc82175413"/>
            <w:bookmarkStart w:id="32" w:name="_Toc82430617"/>
            <w:bookmarkStart w:id="33" w:name="_Toc108689474"/>
            <w:bookmarkStart w:id="34" w:name="_Toc111533855"/>
            <w:bookmarkStart w:id="35" w:name="_Toc119660392"/>
            <w:r w:rsidRPr="001B669F">
              <w:rPr>
                <w:rFonts w:ascii="Times New Roman" w:hAnsi="Times New Roman" w:cs="Times New Roman"/>
              </w:rPr>
              <w:tab/>
              <w:instrText>Schedule No. 3-C Water Operation and Maintenance Expense</w:instrText>
            </w:r>
            <w:bookmarkEnd w:id="30"/>
            <w:bookmarkEnd w:id="31"/>
            <w:bookmarkEnd w:id="32"/>
            <w:bookmarkEnd w:id="33"/>
            <w:bookmarkEnd w:id="34"/>
            <w:bookmarkEnd w:id="35"/>
            <w:r w:rsidRPr="001B669F">
              <w:rPr>
                <w:rFonts w:ascii="Times New Roman" w:hAnsi="Times New Roman" w:cs="Times New Roman"/>
              </w:rPr>
              <w:instrText xml:space="preserve">" \l 1 </w:instrText>
            </w:r>
            <w:r w:rsidRPr="001B669F">
              <w:fldChar w:fldCharType="end"/>
            </w:r>
          </w:p>
        </w:tc>
        <w:tc>
          <w:tcPr>
            <w:tcW w:w="0" w:type="auto"/>
            <w:gridSpan w:val="3"/>
            <w:tcBorders>
              <w:top w:val="nil"/>
              <w:bottom w:val="nil"/>
            </w:tcBorders>
          </w:tcPr>
          <w:p w:rsidR="00913796" w:rsidRPr="001B669F" w:rsidRDefault="00913796" w:rsidP="00913796">
            <w:pPr>
              <w:jc w:val="right"/>
              <w:rPr>
                <w:rFonts w:ascii="Times New Roman" w:hAnsi="Times New Roman" w:cs="Times New Roman"/>
                <w:b/>
              </w:rPr>
            </w:pPr>
            <w:r w:rsidRPr="001B669F">
              <w:rPr>
                <w:rFonts w:ascii="Times New Roman" w:hAnsi="Times New Roman" w:cs="Times New Roman"/>
                <w:b/>
              </w:rPr>
              <w:t>DOCKET NO. 20220026-WU</w:t>
            </w:r>
          </w:p>
        </w:tc>
        <w:tc>
          <w:tcPr>
            <w:tcW w:w="0" w:type="auto"/>
            <w:tcBorders>
              <w:top w:val="nil"/>
              <w:bottom w:val="nil"/>
            </w:tcBorders>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Borders>
              <w:top w:val="nil"/>
              <w:bottom w:val="single" w:sz="4" w:space="0" w:color="auto"/>
            </w:tcBorders>
          </w:tcPr>
          <w:p w:rsidR="00913796" w:rsidRPr="001B669F" w:rsidRDefault="00913796" w:rsidP="00913796">
            <w:pPr>
              <w:rPr>
                <w:rFonts w:ascii="Times New Roman" w:hAnsi="Times New Roman" w:cs="Times New Roman"/>
              </w:rPr>
            </w:pPr>
          </w:p>
        </w:tc>
        <w:tc>
          <w:tcPr>
            <w:tcW w:w="0" w:type="auto"/>
            <w:gridSpan w:val="2"/>
            <w:tcBorders>
              <w:top w:val="nil"/>
              <w:bottom w:val="single" w:sz="4" w:space="0" w:color="auto"/>
            </w:tcBorders>
          </w:tcPr>
          <w:p w:rsidR="00913796" w:rsidRPr="001B669F" w:rsidRDefault="00913796" w:rsidP="00913796">
            <w:pPr>
              <w:rPr>
                <w:rFonts w:ascii="Times New Roman" w:hAnsi="Times New Roman" w:cs="Times New Roman"/>
                <w:b/>
              </w:rPr>
            </w:pPr>
            <w:r w:rsidRPr="001B669F">
              <w:rPr>
                <w:rFonts w:ascii="Times New Roman" w:hAnsi="Times New Roman" w:cs="Times New Roman"/>
                <w:b/>
              </w:rPr>
              <w:t>ANALYSIS OF WATER O&amp;M EXPENSE</w:t>
            </w:r>
          </w:p>
        </w:tc>
        <w:tc>
          <w:tcPr>
            <w:tcW w:w="0" w:type="auto"/>
            <w:gridSpan w:val="3"/>
            <w:tcBorders>
              <w:top w:val="nil"/>
              <w:bottom w:val="single" w:sz="4" w:space="0" w:color="auto"/>
            </w:tcBorders>
          </w:tcPr>
          <w:p w:rsidR="00913796" w:rsidRPr="001B669F" w:rsidRDefault="00913796" w:rsidP="00913796">
            <w:pPr>
              <w:rPr>
                <w:rFonts w:ascii="Times New Roman" w:hAnsi="Times New Roman" w:cs="Times New Roman"/>
                <w:b/>
              </w:rPr>
            </w:pPr>
          </w:p>
        </w:tc>
        <w:tc>
          <w:tcPr>
            <w:tcW w:w="0" w:type="auto"/>
            <w:tcBorders>
              <w:top w:val="nil"/>
              <w:bottom w:val="single" w:sz="4" w:space="0" w:color="auto"/>
            </w:tcBorders>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Borders>
              <w:top w:val="single" w:sz="4" w:space="0" w:color="auto"/>
              <w:bottom w:val="nil"/>
            </w:tcBorders>
          </w:tcPr>
          <w:p w:rsidR="00913796" w:rsidRPr="001B669F" w:rsidRDefault="00913796" w:rsidP="00913796">
            <w:pPr>
              <w:rPr>
                <w:rFonts w:ascii="Times New Roman" w:hAnsi="Times New Roman" w:cs="Times New Roman"/>
              </w:rPr>
            </w:pPr>
          </w:p>
        </w:tc>
        <w:tc>
          <w:tcPr>
            <w:tcW w:w="0" w:type="auto"/>
            <w:tcBorders>
              <w:top w:val="single" w:sz="4" w:space="0" w:color="auto"/>
              <w:bottom w:val="nil"/>
            </w:tcBorders>
          </w:tcPr>
          <w:p w:rsidR="00913796" w:rsidRPr="001B669F" w:rsidRDefault="00913796" w:rsidP="00913796">
            <w:pPr>
              <w:rPr>
                <w:rFonts w:ascii="Times New Roman" w:hAnsi="Times New Roman" w:cs="Times New Roman"/>
                <w:b/>
              </w:rPr>
            </w:pPr>
          </w:p>
        </w:tc>
        <w:tc>
          <w:tcPr>
            <w:tcW w:w="0" w:type="auto"/>
            <w:tcBorders>
              <w:top w:val="single" w:sz="4" w:space="0" w:color="auto"/>
              <w:bottom w:val="nil"/>
            </w:tcBorders>
          </w:tcPr>
          <w:p w:rsidR="00913796" w:rsidRPr="001B669F" w:rsidRDefault="00913796" w:rsidP="00913796">
            <w:pPr>
              <w:rPr>
                <w:rFonts w:ascii="Times New Roman" w:hAnsi="Times New Roman" w:cs="Times New Roman"/>
                <w:b/>
              </w:rPr>
            </w:pPr>
          </w:p>
        </w:tc>
        <w:tc>
          <w:tcPr>
            <w:tcW w:w="0" w:type="auto"/>
            <w:tcBorders>
              <w:top w:val="single" w:sz="4" w:space="0" w:color="auto"/>
              <w:bottom w:val="nil"/>
            </w:tcBorders>
          </w:tcPr>
          <w:p w:rsidR="00913796" w:rsidRPr="001B669F" w:rsidRDefault="00913796" w:rsidP="00913796">
            <w:pPr>
              <w:jc w:val="center"/>
              <w:rPr>
                <w:rFonts w:ascii="Times New Roman" w:hAnsi="Times New Roman" w:cs="Times New Roman"/>
                <w:b/>
              </w:rPr>
            </w:pPr>
            <w:r w:rsidRPr="001B669F">
              <w:rPr>
                <w:rFonts w:ascii="Times New Roman" w:hAnsi="Times New Roman" w:cs="Times New Roman"/>
                <w:b/>
              </w:rPr>
              <w:t>TOTAL</w:t>
            </w:r>
          </w:p>
        </w:tc>
        <w:tc>
          <w:tcPr>
            <w:tcW w:w="0" w:type="auto"/>
            <w:tcBorders>
              <w:top w:val="single" w:sz="4" w:space="0" w:color="auto"/>
              <w:bottom w:val="nil"/>
            </w:tcBorders>
          </w:tcPr>
          <w:p w:rsidR="00913796" w:rsidRPr="001B669F" w:rsidRDefault="00D967A0" w:rsidP="00913796">
            <w:pPr>
              <w:jc w:val="center"/>
              <w:rPr>
                <w:rFonts w:ascii="Times New Roman" w:hAnsi="Times New Roman" w:cs="Times New Roman"/>
                <w:b/>
              </w:rPr>
            </w:pPr>
            <w:r>
              <w:rPr>
                <w:rFonts w:ascii="Times New Roman" w:hAnsi="Times New Roman" w:cs="Times New Roman"/>
                <w:b/>
              </w:rPr>
              <w:t>COMM.</w:t>
            </w:r>
          </w:p>
        </w:tc>
        <w:tc>
          <w:tcPr>
            <w:tcW w:w="0" w:type="auto"/>
            <w:tcBorders>
              <w:top w:val="single" w:sz="4" w:space="0" w:color="auto"/>
              <w:bottom w:val="nil"/>
            </w:tcBorders>
          </w:tcPr>
          <w:p w:rsidR="00913796" w:rsidRPr="001B669F" w:rsidRDefault="00913796" w:rsidP="00913796">
            <w:pPr>
              <w:jc w:val="center"/>
              <w:rPr>
                <w:rFonts w:ascii="Times New Roman" w:hAnsi="Times New Roman" w:cs="Times New Roman"/>
                <w:b/>
              </w:rPr>
            </w:pPr>
            <w:r w:rsidRPr="001B669F">
              <w:rPr>
                <w:rFonts w:ascii="Times New Roman" w:hAnsi="Times New Roman" w:cs="Times New Roman"/>
                <w:b/>
              </w:rPr>
              <w:t>TOTAL</w:t>
            </w:r>
          </w:p>
        </w:tc>
        <w:tc>
          <w:tcPr>
            <w:tcW w:w="0" w:type="auto"/>
            <w:tcBorders>
              <w:top w:val="single" w:sz="4" w:space="0" w:color="auto"/>
              <w:bottom w:val="nil"/>
            </w:tcBorders>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Borders>
              <w:top w:val="nil"/>
              <w:bottom w:val="nil"/>
            </w:tcBorders>
          </w:tcPr>
          <w:p w:rsidR="00913796" w:rsidRPr="001B669F" w:rsidRDefault="00913796" w:rsidP="00913796">
            <w:pPr>
              <w:rPr>
                <w:rFonts w:ascii="Times New Roman" w:hAnsi="Times New Roman" w:cs="Times New Roman"/>
              </w:rPr>
            </w:pPr>
          </w:p>
        </w:tc>
        <w:tc>
          <w:tcPr>
            <w:tcW w:w="0" w:type="auto"/>
            <w:tcBorders>
              <w:top w:val="nil"/>
              <w:bottom w:val="nil"/>
            </w:tcBorders>
          </w:tcPr>
          <w:p w:rsidR="00913796" w:rsidRPr="001B669F" w:rsidRDefault="00913796" w:rsidP="00913796">
            <w:pPr>
              <w:rPr>
                <w:rFonts w:ascii="Times New Roman" w:hAnsi="Times New Roman" w:cs="Times New Roman"/>
                <w:b/>
              </w:rPr>
            </w:pPr>
          </w:p>
        </w:tc>
        <w:tc>
          <w:tcPr>
            <w:tcW w:w="0" w:type="auto"/>
            <w:tcBorders>
              <w:top w:val="nil"/>
              <w:bottom w:val="nil"/>
            </w:tcBorders>
          </w:tcPr>
          <w:p w:rsidR="00913796" w:rsidRPr="001B669F" w:rsidRDefault="00913796" w:rsidP="00913796">
            <w:pPr>
              <w:rPr>
                <w:rFonts w:ascii="Times New Roman" w:hAnsi="Times New Roman" w:cs="Times New Roman"/>
                <w:b/>
              </w:rPr>
            </w:pPr>
          </w:p>
        </w:tc>
        <w:tc>
          <w:tcPr>
            <w:tcW w:w="0" w:type="auto"/>
            <w:tcBorders>
              <w:top w:val="nil"/>
              <w:bottom w:val="nil"/>
            </w:tcBorders>
          </w:tcPr>
          <w:p w:rsidR="00913796" w:rsidRPr="001B669F" w:rsidRDefault="00913796" w:rsidP="00913796">
            <w:pPr>
              <w:jc w:val="center"/>
              <w:rPr>
                <w:rFonts w:ascii="Times New Roman" w:hAnsi="Times New Roman" w:cs="Times New Roman"/>
                <w:b/>
              </w:rPr>
            </w:pPr>
            <w:r w:rsidRPr="001B669F">
              <w:rPr>
                <w:rFonts w:ascii="Times New Roman" w:hAnsi="Times New Roman" w:cs="Times New Roman"/>
                <w:b/>
              </w:rPr>
              <w:t>PER</w:t>
            </w:r>
          </w:p>
        </w:tc>
        <w:tc>
          <w:tcPr>
            <w:tcW w:w="0" w:type="auto"/>
            <w:tcBorders>
              <w:top w:val="nil"/>
              <w:bottom w:val="nil"/>
            </w:tcBorders>
          </w:tcPr>
          <w:p w:rsidR="00913796" w:rsidRPr="001B669F" w:rsidRDefault="00913796" w:rsidP="00913796">
            <w:pPr>
              <w:jc w:val="center"/>
              <w:rPr>
                <w:rFonts w:ascii="Times New Roman" w:hAnsi="Times New Roman" w:cs="Times New Roman"/>
                <w:b/>
              </w:rPr>
            </w:pPr>
            <w:r w:rsidRPr="001B669F">
              <w:rPr>
                <w:rFonts w:ascii="Times New Roman" w:hAnsi="Times New Roman" w:cs="Times New Roman"/>
                <w:b/>
              </w:rPr>
              <w:t>ADJUST-</w:t>
            </w:r>
          </w:p>
        </w:tc>
        <w:tc>
          <w:tcPr>
            <w:tcW w:w="0" w:type="auto"/>
            <w:tcBorders>
              <w:top w:val="nil"/>
              <w:bottom w:val="nil"/>
            </w:tcBorders>
          </w:tcPr>
          <w:p w:rsidR="00913796" w:rsidRPr="001B669F" w:rsidRDefault="00913796" w:rsidP="00913796">
            <w:pPr>
              <w:jc w:val="center"/>
              <w:rPr>
                <w:rFonts w:ascii="Times New Roman" w:hAnsi="Times New Roman" w:cs="Times New Roman"/>
                <w:b/>
              </w:rPr>
            </w:pPr>
            <w:r w:rsidRPr="001B669F">
              <w:rPr>
                <w:rFonts w:ascii="Times New Roman" w:hAnsi="Times New Roman" w:cs="Times New Roman"/>
                <w:b/>
              </w:rPr>
              <w:t>PER</w:t>
            </w:r>
          </w:p>
        </w:tc>
        <w:tc>
          <w:tcPr>
            <w:tcW w:w="0" w:type="auto"/>
            <w:tcBorders>
              <w:top w:val="nil"/>
              <w:bottom w:val="nil"/>
            </w:tcBorders>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Borders>
              <w:top w:val="nil"/>
              <w:bottom w:val="single" w:sz="4" w:space="0" w:color="auto"/>
            </w:tcBorders>
          </w:tcPr>
          <w:p w:rsidR="00913796" w:rsidRPr="001B669F" w:rsidRDefault="00913796" w:rsidP="00913796">
            <w:pPr>
              <w:rPr>
                <w:rFonts w:ascii="Times New Roman" w:hAnsi="Times New Roman" w:cs="Times New Roman"/>
              </w:rPr>
            </w:pPr>
          </w:p>
        </w:tc>
        <w:tc>
          <w:tcPr>
            <w:tcW w:w="0" w:type="auto"/>
            <w:tcBorders>
              <w:top w:val="nil"/>
              <w:bottom w:val="single" w:sz="4" w:space="0" w:color="auto"/>
            </w:tcBorders>
          </w:tcPr>
          <w:p w:rsidR="00913796" w:rsidRPr="001B669F" w:rsidRDefault="00913796" w:rsidP="00913796">
            <w:pPr>
              <w:rPr>
                <w:rFonts w:ascii="Times New Roman" w:hAnsi="Times New Roman" w:cs="Times New Roman"/>
                <w:b/>
              </w:rPr>
            </w:pPr>
            <w:r w:rsidRPr="001B669F">
              <w:rPr>
                <w:rFonts w:ascii="Times New Roman" w:hAnsi="Times New Roman" w:cs="Times New Roman"/>
                <w:b/>
              </w:rPr>
              <w:t>ACCT. #</w:t>
            </w:r>
          </w:p>
        </w:tc>
        <w:tc>
          <w:tcPr>
            <w:tcW w:w="0" w:type="auto"/>
            <w:tcBorders>
              <w:top w:val="nil"/>
              <w:bottom w:val="single" w:sz="4" w:space="0" w:color="auto"/>
            </w:tcBorders>
          </w:tcPr>
          <w:p w:rsidR="00913796" w:rsidRPr="001B669F" w:rsidRDefault="00913796" w:rsidP="00913796">
            <w:pPr>
              <w:jc w:val="center"/>
              <w:rPr>
                <w:rFonts w:ascii="Times New Roman" w:hAnsi="Times New Roman" w:cs="Times New Roman"/>
                <w:b/>
              </w:rPr>
            </w:pPr>
            <w:r w:rsidRPr="001B669F">
              <w:rPr>
                <w:rFonts w:ascii="Times New Roman" w:hAnsi="Times New Roman" w:cs="Times New Roman"/>
                <w:b/>
              </w:rPr>
              <w:t>DESCRIPTION</w:t>
            </w:r>
          </w:p>
        </w:tc>
        <w:tc>
          <w:tcPr>
            <w:tcW w:w="0" w:type="auto"/>
            <w:tcBorders>
              <w:top w:val="nil"/>
              <w:bottom w:val="single" w:sz="4" w:space="0" w:color="auto"/>
            </w:tcBorders>
          </w:tcPr>
          <w:p w:rsidR="00913796" w:rsidRPr="001B669F" w:rsidRDefault="00913796" w:rsidP="00913796">
            <w:pPr>
              <w:jc w:val="center"/>
              <w:rPr>
                <w:rFonts w:ascii="Times New Roman" w:hAnsi="Times New Roman" w:cs="Times New Roman"/>
                <w:b/>
              </w:rPr>
            </w:pPr>
            <w:r w:rsidRPr="001B669F">
              <w:rPr>
                <w:rFonts w:ascii="Times New Roman" w:hAnsi="Times New Roman" w:cs="Times New Roman"/>
                <w:b/>
              </w:rPr>
              <w:t>UTILITY</w:t>
            </w:r>
          </w:p>
        </w:tc>
        <w:tc>
          <w:tcPr>
            <w:tcW w:w="0" w:type="auto"/>
            <w:tcBorders>
              <w:top w:val="nil"/>
              <w:bottom w:val="single" w:sz="4" w:space="0" w:color="auto"/>
            </w:tcBorders>
          </w:tcPr>
          <w:p w:rsidR="00913796" w:rsidRPr="001B669F" w:rsidRDefault="00913796" w:rsidP="00913796">
            <w:pPr>
              <w:jc w:val="center"/>
              <w:rPr>
                <w:rFonts w:ascii="Times New Roman" w:hAnsi="Times New Roman" w:cs="Times New Roman"/>
                <w:b/>
              </w:rPr>
            </w:pPr>
            <w:r w:rsidRPr="001B669F">
              <w:rPr>
                <w:rFonts w:ascii="Times New Roman" w:hAnsi="Times New Roman" w:cs="Times New Roman"/>
                <w:b/>
              </w:rPr>
              <w:t>MENT</w:t>
            </w:r>
          </w:p>
        </w:tc>
        <w:tc>
          <w:tcPr>
            <w:tcW w:w="0" w:type="auto"/>
            <w:tcBorders>
              <w:top w:val="nil"/>
              <w:bottom w:val="single" w:sz="4" w:space="0" w:color="auto"/>
            </w:tcBorders>
          </w:tcPr>
          <w:p w:rsidR="00913796" w:rsidRPr="001B669F" w:rsidRDefault="00D967A0" w:rsidP="00913796">
            <w:pPr>
              <w:jc w:val="center"/>
              <w:rPr>
                <w:rFonts w:ascii="Times New Roman" w:hAnsi="Times New Roman" w:cs="Times New Roman"/>
                <w:b/>
              </w:rPr>
            </w:pPr>
            <w:r>
              <w:rPr>
                <w:rFonts w:ascii="Times New Roman" w:hAnsi="Times New Roman" w:cs="Times New Roman"/>
                <w:b/>
              </w:rPr>
              <w:t>COMM.</w:t>
            </w:r>
          </w:p>
        </w:tc>
        <w:tc>
          <w:tcPr>
            <w:tcW w:w="0" w:type="auto"/>
            <w:tcBorders>
              <w:top w:val="nil"/>
              <w:bottom w:val="single" w:sz="4" w:space="0" w:color="auto"/>
            </w:tcBorders>
          </w:tcPr>
          <w:p w:rsidR="00913796" w:rsidRPr="001B669F" w:rsidRDefault="00913796" w:rsidP="00913796">
            <w:pPr>
              <w:rPr>
                <w:rFonts w:ascii="Times New Roman" w:hAnsi="Times New Roman" w:cs="Times New Roman"/>
              </w:rPr>
            </w:pPr>
          </w:p>
        </w:tc>
      </w:tr>
      <w:tr w:rsidR="00913796" w:rsidRPr="001B669F" w:rsidTr="001B669F">
        <w:trPr>
          <w:trHeight w:val="282"/>
          <w:jc w:val="center"/>
        </w:trPr>
        <w:tc>
          <w:tcPr>
            <w:tcW w:w="0" w:type="auto"/>
            <w:tcBorders>
              <w:top w:val="single" w:sz="4" w:space="0" w:color="auto"/>
            </w:tcBorders>
          </w:tcPr>
          <w:p w:rsidR="00913796" w:rsidRPr="001B669F" w:rsidRDefault="00913796" w:rsidP="00913796">
            <w:pPr>
              <w:rPr>
                <w:rFonts w:ascii="Times New Roman" w:hAnsi="Times New Roman" w:cs="Times New Roman"/>
              </w:rPr>
            </w:pPr>
          </w:p>
        </w:tc>
        <w:tc>
          <w:tcPr>
            <w:tcW w:w="0" w:type="auto"/>
            <w:tcBorders>
              <w:top w:val="single" w:sz="4" w:space="0" w:color="auto"/>
            </w:tcBorders>
          </w:tcPr>
          <w:p w:rsidR="00913796" w:rsidRPr="001B669F" w:rsidRDefault="00913796" w:rsidP="00913796">
            <w:pPr>
              <w:rPr>
                <w:rFonts w:ascii="Times New Roman" w:hAnsi="Times New Roman" w:cs="Times New Roman"/>
              </w:rPr>
            </w:pPr>
          </w:p>
        </w:tc>
        <w:tc>
          <w:tcPr>
            <w:tcW w:w="0" w:type="auto"/>
            <w:tcBorders>
              <w:top w:val="single" w:sz="4" w:space="0" w:color="auto"/>
            </w:tcBorders>
          </w:tcPr>
          <w:p w:rsidR="00913796" w:rsidRPr="001B669F" w:rsidRDefault="00913796" w:rsidP="00913796">
            <w:pPr>
              <w:rPr>
                <w:rFonts w:ascii="Times New Roman" w:hAnsi="Times New Roman" w:cs="Times New Roman"/>
              </w:rPr>
            </w:pPr>
          </w:p>
        </w:tc>
        <w:tc>
          <w:tcPr>
            <w:tcW w:w="0" w:type="auto"/>
            <w:tcBorders>
              <w:top w:val="single" w:sz="4" w:space="0" w:color="auto"/>
            </w:tcBorders>
          </w:tcPr>
          <w:p w:rsidR="00913796" w:rsidRPr="001B669F" w:rsidRDefault="00913796" w:rsidP="00913796">
            <w:pPr>
              <w:rPr>
                <w:rFonts w:ascii="Times New Roman" w:hAnsi="Times New Roman" w:cs="Times New Roman"/>
              </w:rPr>
            </w:pPr>
          </w:p>
        </w:tc>
        <w:tc>
          <w:tcPr>
            <w:tcW w:w="0" w:type="auto"/>
            <w:tcBorders>
              <w:top w:val="single" w:sz="4" w:space="0" w:color="auto"/>
            </w:tcBorders>
          </w:tcPr>
          <w:p w:rsidR="00913796" w:rsidRPr="001B669F" w:rsidRDefault="00913796" w:rsidP="00913796">
            <w:pPr>
              <w:rPr>
                <w:rFonts w:ascii="Times New Roman" w:hAnsi="Times New Roman" w:cs="Times New Roman"/>
              </w:rPr>
            </w:pPr>
          </w:p>
        </w:tc>
        <w:tc>
          <w:tcPr>
            <w:tcW w:w="0" w:type="auto"/>
            <w:tcBorders>
              <w:top w:val="single" w:sz="4" w:space="0" w:color="auto"/>
            </w:tcBorders>
          </w:tcPr>
          <w:p w:rsidR="00913796" w:rsidRPr="001B669F" w:rsidRDefault="00913796" w:rsidP="00913796">
            <w:pPr>
              <w:rPr>
                <w:rFonts w:ascii="Times New Roman" w:hAnsi="Times New Roman" w:cs="Times New Roman"/>
              </w:rPr>
            </w:pPr>
          </w:p>
        </w:tc>
        <w:tc>
          <w:tcPr>
            <w:tcW w:w="0" w:type="auto"/>
            <w:tcBorders>
              <w:top w:val="single" w:sz="4" w:space="0" w:color="auto"/>
            </w:tcBorders>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601</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Salaries and Wages – Employees</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$7,589</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$7,589</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603</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Salaries and Wages – Officers</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1,600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1,600</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604</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Employee Pensions and Benefits</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68</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68</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615</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Purchased Power</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1,131</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1,131</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282"/>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620</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Materials and Supplies</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3,465</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3,465</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630</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Contractual Services – Billing</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186</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186</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631</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Contractual Services – Professional</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257</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257</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635</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Contractual Services – Testing</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2,555</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2,555</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636</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Contractual Services – Other</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5,945</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5,945</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640</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Rents</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1,027</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1,027</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650</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Transportation Expense</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967</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967</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655</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Insurance Expense</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3,442</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3,442</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282"/>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665</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Rate Case Expense</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316</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316</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282"/>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667</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Regulatory Commission Expense</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1,463</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1,463</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670</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Bad Debt Expense</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0</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283</w:t>
            </w: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283</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center"/>
              <w:rPr>
                <w:rFonts w:ascii="Times New Roman" w:hAnsi="Times New Roman" w:cs="Times New Roman"/>
              </w:rPr>
            </w:pPr>
            <w:r w:rsidRPr="001B669F">
              <w:rPr>
                <w:rFonts w:ascii="Times New Roman" w:hAnsi="Times New Roman" w:cs="Times New Roman"/>
              </w:rPr>
              <w:t>675</w:t>
            </w: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Miscellaneous Expenses</w:t>
            </w:r>
          </w:p>
        </w:tc>
        <w:tc>
          <w:tcPr>
            <w:tcW w:w="0" w:type="auto"/>
          </w:tcPr>
          <w:p w:rsidR="00913796" w:rsidRPr="001B669F" w:rsidRDefault="00913796" w:rsidP="00913796">
            <w:pPr>
              <w:jc w:val="right"/>
              <w:rPr>
                <w:rFonts w:ascii="Times New Roman" w:hAnsi="Times New Roman" w:cs="Times New Roman"/>
                <w:u w:val="single"/>
              </w:rPr>
            </w:pPr>
            <w:r w:rsidRPr="001B669F">
              <w:rPr>
                <w:rFonts w:ascii="Times New Roman" w:hAnsi="Times New Roman" w:cs="Times New Roman"/>
                <w:u w:val="single"/>
              </w:rPr>
              <w:t>$2,498</w:t>
            </w:r>
          </w:p>
        </w:tc>
        <w:tc>
          <w:tcPr>
            <w:tcW w:w="0" w:type="auto"/>
          </w:tcPr>
          <w:p w:rsidR="00913796" w:rsidRPr="001B669F" w:rsidRDefault="00913796" w:rsidP="00913796">
            <w:pPr>
              <w:jc w:val="right"/>
              <w:rPr>
                <w:rFonts w:ascii="Times New Roman" w:hAnsi="Times New Roman" w:cs="Times New Roman"/>
                <w:u w:val="single"/>
              </w:rPr>
            </w:pPr>
            <w:r w:rsidRPr="001B669F">
              <w:rPr>
                <w:rFonts w:ascii="Times New Roman" w:hAnsi="Times New Roman" w:cs="Times New Roman"/>
                <w:u w:val="single"/>
              </w:rPr>
              <w:t>($216)</w:t>
            </w:r>
          </w:p>
        </w:tc>
        <w:tc>
          <w:tcPr>
            <w:tcW w:w="0" w:type="auto"/>
          </w:tcPr>
          <w:p w:rsidR="00913796" w:rsidRPr="001B669F" w:rsidRDefault="00913796" w:rsidP="00913796">
            <w:pPr>
              <w:jc w:val="right"/>
              <w:rPr>
                <w:rFonts w:ascii="Times New Roman" w:hAnsi="Times New Roman" w:cs="Times New Roman"/>
                <w:u w:val="single"/>
              </w:rPr>
            </w:pPr>
            <w:r w:rsidRPr="001B669F">
              <w:rPr>
                <w:rFonts w:ascii="Times New Roman" w:hAnsi="Times New Roman" w:cs="Times New Roman"/>
                <w:u w:val="single"/>
              </w:rPr>
              <w:t>$2,282</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right"/>
              <w:rPr>
                <w:rFonts w:ascii="Times New Roman" w:hAnsi="Times New Roman" w:cs="Times New Roman"/>
              </w:rPr>
            </w:pPr>
          </w:p>
        </w:tc>
        <w:tc>
          <w:tcPr>
            <w:tcW w:w="0" w:type="auto"/>
          </w:tcPr>
          <w:p w:rsidR="00913796" w:rsidRPr="001B669F" w:rsidRDefault="00913796" w:rsidP="00913796">
            <w:pPr>
              <w:jc w:val="right"/>
              <w:rPr>
                <w:rFonts w:ascii="Times New Roman" w:hAnsi="Times New Roman" w:cs="Times New Roman"/>
              </w:rPr>
            </w:pPr>
          </w:p>
        </w:tc>
        <w:tc>
          <w:tcPr>
            <w:tcW w:w="0" w:type="auto"/>
          </w:tcPr>
          <w:p w:rsidR="00913796" w:rsidRPr="001B669F" w:rsidRDefault="00913796" w:rsidP="00913796">
            <w:pPr>
              <w:jc w:val="right"/>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Total O&amp;M Expense</w:t>
            </w:r>
          </w:p>
        </w:tc>
        <w:tc>
          <w:tcPr>
            <w:tcW w:w="0" w:type="auto"/>
          </w:tcPr>
          <w:p w:rsidR="00913796" w:rsidRPr="001B669F" w:rsidRDefault="00913796" w:rsidP="00913796">
            <w:pPr>
              <w:jc w:val="right"/>
              <w:rPr>
                <w:rFonts w:ascii="Times New Roman" w:hAnsi="Times New Roman" w:cs="Times New Roman"/>
                <w:u w:val="double"/>
              </w:rPr>
            </w:pPr>
            <w:r w:rsidRPr="001B669F">
              <w:rPr>
                <w:rFonts w:ascii="Times New Roman" w:hAnsi="Times New Roman" w:cs="Times New Roman"/>
                <w:u w:val="double"/>
              </w:rPr>
              <w:t>$30,544</w:t>
            </w:r>
          </w:p>
        </w:tc>
        <w:tc>
          <w:tcPr>
            <w:tcW w:w="0" w:type="auto"/>
          </w:tcPr>
          <w:p w:rsidR="00913796" w:rsidRPr="001B669F" w:rsidRDefault="00913796" w:rsidP="00913796">
            <w:pPr>
              <w:jc w:val="right"/>
              <w:rPr>
                <w:rFonts w:ascii="Times New Roman" w:hAnsi="Times New Roman" w:cs="Times New Roman"/>
                <w:u w:val="double"/>
              </w:rPr>
            </w:pPr>
            <w:r w:rsidRPr="001B669F">
              <w:rPr>
                <w:rFonts w:ascii="Times New Roman" w:hAnsi="Times New Roman" w:cs="Times New Roman"/>
                <w:u w:val="double"/>
              </w:rPr>
              <w:t>$2,032</w:t>
            </w:r>
          </w:p>
        </w:tc>
        <w:tc>
          <w:tcPr>
            <w:tcW w:w="0" w:type="auto"/>
          </w:tcPr>
          <w:p w:rsidR="00913796" w:rsidRPr="001B669F" w:rsidRDefault="00913796" w:rsidP="00913796">
            <w:pPr>
              <w:jc w:val="right"/>
              <w:rPr>
                <w:rFonts w:ascii="Times New Roman" w:hAnsi="Times New Roman" w:cs="Times New Roman"/>
                <w:u w:val="double"/>
              </w:rPr>
            </w:pPr>
            <w:r w:rsidRPr="001B669F">
              <w:rPr>
                <w:rFonts w:ascii="Times New Roman" w:hAnsi="Times New Roman" w:cs="Times New Roman"/>
                <w:u w:val="double"/>
              </w:rPr>
              <w:t>$32,576</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jc w:val="right"/>
              <w:rPr>
                <w:rFonts w:ascii="Times New Roman" w:hAnsi="Times New Roman" w:cs="Times New Roman"/>
              </w:rPr>
            </w:pPr>
          </w:p>
        </w:tc>
        <w:tc>
          <w:tcPr>
            <w:tcW w:w="0" w:type="auto"/>
          </w:tcPr>
          <w:p w:rsidR="00913796" w:rsidRPr="001B669F" w:rsidRDefault="00913796" w:rsidP="00913796">
            <w:pPr>
              <w:jc w:val="right"/>
              <w:rPr>
                <w:rFonts w:ascii="Times New Roman" w:hAnsi="Times New Roman" w:cs="Times New Roman"/>
              </w:rPr>
            </w:pPr>
          </w:p>
        </w:tc>
        <w:tc>
          <w:tcPr>
            <w:tcW w:w="0" w:type="auto"/>
          </w:tcPr>
          <w:p w:rsidR="00913796" w:rsidRPr="001B669F" w:rsidRDefault="00913796" w:rsidP="00913796">
            <w:pPr>
              <w:jc w:val="right"/>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300"/>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r w:rsidRPr="001B669F">
              <w:rPr>
                <w:rFonts w:ascii="Times New Roman" w:hAnsi="Times New Roman" w:cs="Times New Roman"/>
              </w:rPr>
              <w:t>Working Capital is 1/8 O&amp;M Less RCE</w:t>
            </w:r>
          </w:p>
        </w:tc>
        <w:tc>
          <w:tcPr>
            <w:tcW w:w="0" w:type="auto"/>
          </w:tcPr>
          <w:p w:rsidR="00913796" w:rsidRPr="001B669F" w:rsidRDefault="00913796" w:rsidP="00913796">
            <w:pPr>
              <w:jc w:val="right"/>
              <w:rPr>
                <w:rFonts w:ascii="Times New Roman" w:hAnsi="Times New Roman" w:cs="Times New Roman"/>
              </w:rPr>
            </w:pPr>
          </w:p>
        </w:tc>
        <w:tc>
          <w:tcPr>
            <w:tcW w:w="0" w:type="auto"/>
          </w:tcPr>
          <w:p w:rsidR="00913796" w:rsidRPr="001B669F" w:rsidRDefault="00913796" w:rsidP="00913796">
            <w:pPr>
              <w:jc w:val="right"/>
              <w:rPr>
                <w:rFonts w:ascii="Times New Roman" w:hAnsi="Times New Roman" w:cs="Times New Roman"/>
              </w:rPr>
            </w:pPr>
          </w:p>
        </w:tc>
        <w:tc>
          <w:tcPr>
            <w:tcW w:w="0" w:type="auto"/>
          </w:tcPr>
          <w:p w:rsidR="00913796" w:rsidRPr="001B669F" w:rsidRDefault="00913796" w:rsidP="00913796">
            <w:pPr>
              <w:jc w:val="right"/>
              <w:rPr>
                <w:rFonts w:ascii="Times New Roman" w:hAnsi="Times New Roman" w:cs="Times New Roman"/>
              </w:rPr>
            </w:pPr>
            <w:r w:rsidRPr="001B669F">
              <w:rPr>
                <w:rFonts w:ascii="Times New Roman" w:hAnsi="Times New Roman" w:cs="Times New Roman"/>
              </w:rPr>
              <w:t>$4,032</w:t>
            </w:r>
          </w:p>
        </w:tc>
        <w:tc>
          <w:tcPr>
            <w:tcW w:w="0" w:type="auto"/>
          </w:tcPr>
          <w:p w:rsidR="00913796" w:rsidRPr="001B669F" w:rsidRDefault="00913796" w:rsidP="00913796">
            <w:pPr>
              <w:rPr>
                <w:rFonts w:ascii="Times New Roman" w:hAnsi="Times New Roman" w:cs="Times New Roman"/>
              </w:rPr>
            </w:pPr>
          </w:p>
        </w:tc>
      </w:tr>
      <w:tr w:rsidR="00913796" w:rsidRPr="001B669F" w:rsidTr="001B669F">
        <w:trPr>
          <w:trHeight w:val="282"/>
          <w:jc w:val="center"/>
        </w:trPr>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c>
          <w:tcPr>
            <w:tcW w:w="0" w:type="auto"/>
          </w:tcPr>
          <w:p w:rsidR="00913796" w:rsidRPr="001B669F" w:rsidRDefault="00913796" w:rsidP="00913796">
            <w:pPr>
              <w:rPr>
                <w:rFonts w:ascii="Times New Roman" w:hAnsi="Times New Roman" w:cs="Times New Roman"/>
              </w:rPr>
            </w:pPr>
          </w:p>
        </w:tc>
      </w:tr>
    </w:tbl>
    <w:p w:rsidR="00913796" w:rsidRPr="001B669F" w:rsidRDefault="00913796" w:rsidP="00913796">
      <w:pPr>
        <w:spacing w:after="240"/>
        <w:jc w:val="both"/>
        <w:sectPr w:rsidR="00913796" w:rsidRPr="001B669F" w:rsidSect="001B669F">
          <w:headerReference w:type="default" r:id="rId18"/>
          <w:footerReference w:type="default" r:id="rId19"/>
          <w:pgSz w:w="12240" w:h="15840" w:code="1"/>
          <w:pgMar w:top="1584" w:right="1440" w:bottom="1440" w:left="1440" w:header="720" w:footer="720" w:gutter="0"/>
          <w:cols w:space="720"/>
          <w:formProt w:val="0"/>
          <w:docGrid w:linePitch="360"/>
        </w:sectPr>
      </w:pPr>
    </w:p>
    <w:tbl>
      <w:tblPr>
        <w:tblW w:w="10810" w:type="dxa"/>
        <w:jc w:val="center"/>
        <w:tblLook w:val="04A0" w:firstRow="1" w:lastRow="0" w:firstColumn="1" w:lastColumn="0" w:noHBand="0" w:noVBand="1"/>
      </w:tblPr>
      <w:tblGrid>
        <w:gridCol w:w="5087"/>
        <w:gridCol w:w="1205"/>
        <w:gridCol w:w="1207"/>
        <w:gridCol w:w="1872"/>
        <w:gridCol w:w="1439"/>
      </w:tblGrid>
      <w:tr w:rsidR="00913796" w:rsidRPr="001B669F" w:rsidTr="001B669F">
        <w:trPr>
          <w:trHeight w:val="58"/>
          <w:jc w:val="center"/>
        </w:trPr>
        <w:tc>
          <w:tcPr>
            <w:tcW w:w="5087" w:type="dxa"/>
            <w:tcBorders>
              <w:top w:val="single" w:sz="8" w:space="0" w:color="auto"/>
              <w:left w:val="single" w:sz="8" w:space="0" w:color="auto"/>
              <w:bottom w:val="nil"/>
              <w:right w:val="nil"/>
            </w:tcBorders>
            <w:shd w:val="clear" w:color="auto" w:fill="auto"/>
            <w:noWrap/>
            <w:vAlign w:val="center"/>
            <w:hideMark/>
          </w:tcPr>
          <w:p w:rsidR="00913796" w:rsidRPr="001B669F" w:rsidRDefault="00913796" w:rsidP="00913796">
            <w:pPr>
              <w:rPr>
                <w:b/>
                <w:bCs/>
                <w:color w:val="000000"/>
                <w:sz w:val="20"/>
                <w:szCs w:val="20"/>
              </w:rPr>
            </w:pPr>
            <w:r w:rsidRPr="001B669F">
              <w:rPr>
                <w:b/>
                <w:bCs/>
                <w:color w:val="000000"/>
                <w:sz w:val="20"/>
                <w:szCs w:val="20"/>
              </w:rPr>
              <w:t>LEIGHTON ESTATES UTILITIES, LLC.</w:t>
            </w:r>
          </w:p>
        </w:tc>
        <w:tc>
          <w:tcPr>
            <w:tcW w:w="1205" w:type="dxa"/>
            <w:tcBorders>
              <w:top w:val="single" w:sz="8" w:space="0" w:color="auto"/>
              <w:left w:val="nil"/>
              <w:bottom w:val="nil"/>
              <w:right w:val="nil"/>
            </w:tcBorders>
            <w:shd w:val="clear" w:color="auto" w:fill="auto"/>
            <w:noWrap/>
            <w:vAlign w:val="center"/>
            <w:hideMark/>
          </w:tcPr>
          <w:p w:rsidR="00913796" w:rsidRPr="001B669F" w:rsidRDefault="00913796" w:rsidP="00913796">
            <w:pPr>
              <w:rPr>
                <w:b/>
                <w:bCs/>
                <w:color w:val="000000"/>
                <w:sz w:val="20"/>
                <w:szCs w:val="20"/>
              </w:rPr>
            </w:pPr>
            <w:r w:rsidRPr="001B669F">
              <w:rPr>
                <w:b/>
                <w:bCs/>
                <w:color w:val="000000"/>
                <w:sz w:val="20"/>
                <w:szCs w:val="20"/>
              </w:rPr>
              <w:t> </w:t>
            </w:r>
          </w:p>
        </w:tc>
        <w:tc>
          <w:tcPr>
            <w:tcW w:w="1207" w:type="dxa"/>
            <w:tcBorders>
              <w:top w:val="single" w:sz="8" w:space="0" w:color="auto"/>
              <w:left w:val="nil"/>
              <w:bottom w:val="nil"/>
              <w:right w:val="nil"/>
            </w:tcBorders>
            <w:shd w:val="clear" w:color="auto" w:fill="auto"/>
            <w:noWrap/>
            <w:vAlign w:val="center"/>
            <w:hideMark/>
          </w:tcPr>
          <w:p w:rsidR="00913796" w:rsidRPr="001B669F" w:rsidRDefault="00913796" w:rsidP="00913796">
            <w:pPr>
              <w:rPr>
                <w:b/>
                <w:bCs/>
                <w:color w:val="000000"/>
                <w:sz w:val="20"/>
                <w:szCs w:val="20"/>
              </w:rPr>
            </w:pPr>
            <w:r w:rsidRPr="001B669F">
              <w:rPr>
                <w:b/>
                <w:bCs/>
                <w:color w:val="000000"/>
                <w:sz w:val="20"/>
                <w:szCs w:val="20"/>
              </w:rPr>
              <w:t> </w:t>
            </w:r>
          </w:p>
        </w:tc>
        <w:tc>
          <w:tcPr>
            <w:tcW w:w="3311" w:type="dxa"/>
            <w:gridSpan w:val="2"/>
            <w:tcBorders>
              <w:top w:val="single" w:sz="8" w:space="0" w:color="auto"/>
              <w:left w:val="nil"/>
              <w:bottom w:val="nil"/>
              <w:right w:val="single" w:sz="8" w:space="0" w:color="auto"/>
            </w:tcBorders>
            <w:shd w:val="clear" w:color="auto" w:fill="auto"/>
            <w:noWrap/>
            <w:vAlign w:val="center"/>
            <w:hideMark/>
          </w:tcPr>
          <w:p w:rsidR="00913796" w:rsidRPr="001B669F" w:rsidRDefault="00913796" w:rsidP="00913796">
            <w:pPr>
              <w:jc w:val="right"/>
              <w:rPr>
                <w:b/>
                <w:bCs/>
                <w:color w:val="000000"/>
                <w:sz w:val="20"/>
                <w:szCs w:val="20"/>
              </w:rPr>
            </w:pPr>
            <w:r w:rsidRPr="001B669F">
              <w:rPr>
                <w:b/>
                <w:bCs/>
                <w:color w:val="000000"/>
                <w:sz w:val="20"/>
                <w:szCs w:val="20"/>
              </w:rPr>
              <w:t> SCHEDULE NO. 4</w:t>
            </w:r>
          </w:p>
        </w:tc>
      </w:tr>
      <w:tr w:rsidR="00913796" w:rsidRPr="001B669F" w:rsidTr="001B669F">
        <w:trPr>
          <w:trHeight w:val="79"/>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b/>
                <w:bCs/>
                <w:color w:val="000000"/>
                <w:sz w:val="20"/>
                <w:szCs w:val="20"/>
              </w:rPr>
            </w:pPr>
            <w:r w:rsidRPr="001B669F">
              <w:rPr>
                <w:b/>
                <w:bCs/>
                <w:color w:val="000000"/>
                <w:sz w:val="20"/>
                <w:szCs w:val="20"/>
              </w:rPr>
              <w:t>TEST YEAR ENDED DECEMBER 31, 2021</w:t>
            </w:r>
            <w:r w:rsidRPr="001B669F">
              <w:rPr>
                <w:sz w:val="20"/>
                <w:szCs w:val="20"/>
              </w:rPr>
              <w:fldChar w:fldCharType="begin"/>
            </w:r>
            <w:r w:rsidRPr="001B669F">
              <w:rPr>
                <w:sz w:val="20"/>
                <w:szCs w:val="20"/>
              </w:rPr>
              <w:instrText xml:space="preserve"> TC "</w:instrText>
            </w:r>
            <w:bookmarkStart w:id="36" w:name="_Toc111533856"/>
            <w:bookmarkStart w:id="37" w:name="_Toc119660393"/>
            <w:r w:rsidRPr="001B669F">
              <w:rPr>
                <w:sz w:val="20"/>
                <w:szCs w:val="20"/>
              </w:rPr>
              <w:tab/>
              <w:instrText>Schedule No. 4 Monthly Water Rates</w:instrText>
            </w:r>
            <w:bookmarkEnd w:id="36"/>
            <w:bookmarkEnd w:id="37"/>
            <w:r w:rsidRPr="001B669F">
              <w:rPr>
                <w:sz w:val="20"/>
                <w:szCs w:val="20"/>
              </w:rPr>
              <w:instrText xml:space="preserve">" \l 1 </w:instrText>
            </w:r>
            <w:r w:rsidRPr="001B669F">
              <w:rPr>
                <w:sz w:val="20"/>
                <w:szCs w:val="20"/>
              </w:rPr>
              <w:fldChar w:fldCharType="end"/>
            </w:r>
          </w:p>
        </w:tc>
        <w:tc>
          <w:tcPr>
            <w:tcW w:w="1205" w:type="dxa"/>
            <w:tcBorders>
              <w:top w:val="nil"/>
              <w:left w:val="nil"/>
              <w:bottom w:val="nil"/>
              <w:right w:val="nil"/>
            </w:tcBorders>
            <w:shd w:val="clear" w:color="auto" w:fill="auto"/>
            <w:noWrap/>
            <w:vAlign w:val="bottom"/>
            <w:hideMark/>
          </w:tcPr>
          <w:p w:rsidR="00913796" w:rsidRPr="001B669F" w:rsidRDefault="00913796" w:rsidP="00913796">
            <w:pPr>
              <w:rPr>
                <w:b/>
                <w:bCs/>
                <w:color w:val="000000"/>
                <w:sz w:val="20"/>
                <w:szCs w:val="20"/>
              </w:rPr>
            </w:pPr>
          </w:p>
        </w:tc>
        <w:tc>
          <w:tcPr>
            <w:tcW w:w="1207"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3311" w:type="dxa"/>
            <w:gridSpan w:val="2"/>
            <w:tcBorders>
              <w:top w:val="nil"/>
              <w:left w:val="nil"/>
              <w:bottom w:val="nil"/>
              <w:right w:val="single" w:sz="8" w:space="0" w:color="000000"/>
            </w:tcBorders>
            <w:shd w:val="clear" w:color="auto" w:fill="auto"/>
            <w:noWrap/>
            <w:vAlign w:val="center"/>
            <w:hideMark/>
          </w:tcPr>
          <w:p w:rsidR="00913796" w:rsidRPr="001B669F" w:rsidRDefault="00913796" w:rsidP="00913796">
            <w:pPr>
              <w:jc w:val="right"/>
              <w:rPr>
                <w:b/>
                <w:bCs/>
                <w:color w:val="000000"/>
                <w:sz w:val="20"/>
                <w:szCs w:val="20"/>
              </w:rPr>
            </w:pPr>
            <w:r w:rsidRPr="001B669F">
              <w:rPr>
                <w:b/>
                <w:bCs/>
                <w:color w:val="000000"/>
                <w:sz w:val="20"/>
                <w:szCs w:val="20"/>
              </w:rPr>
              <w:t>DOCKET NO. 20220026-WU</w:t>
            </w:r>
          </w:p>
        </w:tc>
      </w:tr>
      <w:tr w:rsidR="00913796" w:rsidRPr="001B669F" w:rsidTr="001B669F">
        <w:trPr>
          <w:trHeight w:val="79"/>
          <w:jc w:val="center"/>
        </w:trPr>
        <w:tc>
          <w:tcPr>
            <w:tcW w:w="5087" w:type="dxa"/>
            <w:tcBorders>
              <w:top w:val="nil"/>
              <w:left w:val="single" w:sz="8" w:space="0" w:color="auto"/>
              <w:bottom w:val="single" w:sz="8" w:space="0" w:color="000000"/>
              <w:right w:val="nil"/>
            </w:tcBorders>
            <w:shd w:val="clear" w:color="auto" w:fill="auto"/>
            <w:noWrap/>
            <w:vAlign w:val="center"/>
            <w:hideMark/>
          </w:tcPr>
          <w:p w:rsidR="00913796" w:rsidRPr="001B669F" w:rsidRDefault="00913796" w:rsidP="00913796">
            <w:pPr>
              <w:rPr>
                <w:b/>
                <w:bCs/>
                <w:color w:val="000000"/>
                <w:sz w:val="20"/>
                <w:szCs w:val="20"/>
              </w:rPr>
            </w:pPr>
            <w:r w:rsidRPr="001B669F">
              <w:rPr>
                <w:b/>
                <w:bCs/>
                <w:color w:val="000000"/>
                <w:sz w:val="20"/>
                <w:szCs w:val="20"/>
              </w:rPr>
              <w:t>MONTHLY WATER RATES</w:t>
            </w:r>
          </w:p>
        </w:tc>
        <w:tc>
          <w:tcPr>
            <w:tcW w:w="1205" w:type="dxa"/>
            <w:tcBorders>
              <w:top w:val="nil"/>
              <w:left w:val="nil"/>
              <w:bottom w:val="single" w:sz="8" w:space="0" w:color="000000"/>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207" w:type="dxa"/>
            <w:tcBorders>
              <w:top w:val="nil"/>
              <w:left w:val="nil"/>
              <w:bottom w:val="single" w:sz="8" w:space="0" w:color="000000"/>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439" w:type="dxa"/>
            <w:tcBorders>
              <w:top w:val="nil"/>
              <w:left w:val="nil"/>
              <w:bottom w:val="single" w:sz="8" w:space="0" w:color="000000"/>
              <w:right w:val="single" w:sz="8" w:space="0" w:color="auto"/>
            </w:tcBorders>
            <w:shd w:val="clear" w:color="auto" w:fill="auto"/>
            <w:noWrap/>
            <w:vAlign w:val="center"/>
            <w:hideMark/>
          </w:tcPr>
          <w:p w:rsidR="00913796" w:rsidRPr="001B669F" w:rsidRDefault="00913796" w:rsidP="00913796">
            <w:pPr>
              <w:rPr>
                <w:b/>
                <w:bCs/>
                <w:sz w:val="20"/>
                <w:szCs w:val="20"/>
              </w:rPr>
            </w:pPr>
            <w:r w:rsidRPr="001B669F">
              <w:rPr>
                <w:b/>
                <w:bCs/>
                <w:sz w:val="20"/>
                <w:szCs w:val="20"/>
              </w:rPr>
              <w:t> </w:t>
            </w:r>
          </w:p>
        </w:tc>
      </w:tr>
      <w:tr w:rsidR="00913796" w:rsidRPr="001B669F" w:rsidTr="001B669F">
        <w:trPr>
          <w:trHeight w:val="58"/>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b/>
                <w:bCs/>
                <w:sz w:val="20"/>
                <w:szCs w:val="20"/>
              </w:rPr>
            </w:pPr>
            <w:r w:rsidRPr="001B669F">
              <w:rPr>
                <w:b/>
                <w:bCs/>
                <w:sz w:val="20"/>
                <w:szCs w:val="20"/>
              </w:rPr>
              <w:t> </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UTILITY</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UTILITY</w:t>
            </w:r>
          </w:p>
        </w:tc>
        <w:tc>
          <w:tcPr>
            <w:tcW w:w="1872" w:type="dxa"/>
            <w:tcBorders>
              <w:top w:val="nil"/>
              <w:left w:val="nil"/>
              <w:bottom w:val="nil"/>
              <w:right w:val="nil"/>
            </w:tcBorders>
            <w:shd w:val="clear" w:color="auto" w:fill="auto"/>
            <w:noWrap/>
            <w:vAlign w:val="center"/>
            <w:hideMark/>
          </w:tcPr>
          <w:p w:rsidR="00913796" w:rsidRPr="001B669F" w:rsidRDefault="00D967A0" w:rsidP="00913796">
            <w:pPr>
              <w:jc w:val="center"/>
              <w:rPr>
                <w:b/>
                <w:bCs/>
                <w:color w:val="000000"/>
                <w:sz w:val="20"/>
                <w:szCs w:val="20"/>
              </w:rPr>
            </w:pPr>
            <w:r>
              <w:rPr>
                <w:b/>
                <w:bCs/>
                <w:color w:val="000000"/>
                <w:sz w:val="20"/>
                <w:szCs w:val="20"/>
              </w:rPr>
              <w:t>COMM.</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4 YEAR</w:t>
            </w:r>
          </w:p>
        </w:tc>
      </w:tr>
      <w:tr w:rsidR="00913796" w:rsidRPr="001B669F" w:rsidTr="001B669F">
        <w:trPr>
          <w:trHeight w:val="79"/>
          <w:jc w:val="center"/>
        </w:trPr>
        <w:tc>
          <w:tcPr>
            <w:tcW w:w="5087" w:type="dxa"/>
            <w:tcBorders>
              <w:top w:val="nil"/>
              <w:left w:val="single" w:sz="8" w:space="0" w:color="auto"/>
              <w:bottom w:val="nil"/>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CURRENT</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INTERIM</w:t>
            </w:r>
          </w:p>
        </w:tc>
        <w:tc>
          <w:tcPr>
            <w:tcW w:w="1872" w:type="dxa"/>
            <w:tcBorders>
              <w:top w:val="nil"/>
              <w:left w:val="nil"/>
              <w:bottom w:val="nil"/>
              <w:right w:val="nil"/>
            </w:tcBorders>
            <w:shd w:val="clear" w:color="auto" w:fill="auto"/>
            <w:noWrap/>
            <w:vAlign w:val="center"/>
            <w:hideMark/>
          </w:tcPr>
          <w:p w:rsidR="00913796" w:rsidRPr="001B669F" w:rsidRDefault="00D967A0" w:rsidP="00D967A0">
            <w:pPr>
              <w:jc w:val="center"/>
              <w:rPr>
                <w:b/>
                <w:bCs/>
                <w:color w:val="000000"/>
                <w:sz w:val="20"/>
                <w:szCs w:val="20"/>
              </w:rPr>
            </w:pPr>
            <w:r>
              <w:rPr>
                <w:b/>
                <w:bCs/>
                <w:color w:val="000000"/>
                <w:sz w:val="20"/>
                <w:szCs w:val="20"/>
              </w:rPr>
              <w:t>APPROVED</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RATE</w:t>
            </w:r>
          </w:p>
        </w:tc>
      </w:tr>
      <w:tr w:rsidR="00913796" w:rsidRPr="001B669F" w:rsidTr="001B669F">
        <w:trPr>
          <w:trHeight w:val="79"/>
          <w:jc w:val="center"/>
        </w:trPr>
        <w:tc>
          <w:tcPr>
            <w:tcW w:w="5087" w:type="dxa"/>
            <w:tcBorders>
              <w:top w:val="nil"/>
              <w:left w:val="single" w:sz="8" w:space="0" w:color="auto"/>
              <w:bottom w:val="single" w:sz="8" w:space="0" w:color="000000"/>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205" w:type="dxa"/>
            <w:tcBorders>
              <w:top w:val="nil"/>
              <w:left w:val="nil"/>
              <w:bottom w:val="single" w:sz="8" w:space="0" w:color="000000"/>
              <w:right w:val="nil"/>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 xml:space="preserve">RATES </w:t>
            </w:r>
          </w:p>
        </w:tc>
        <w:tc>
          <w:tcPr>
            <w:tcW w:w="1207" w:type="dxa"/>
            <w:tcBorders>
              <w:top w:val="nil"/>
              <w:left w:val="nil"/>
              <w:bottom w:val="single" w:sz="8" w:space="0" w:color="000000"/>
              <w:right w:val="nil"/>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 xml:space="preserve">RATES </w:t>
            </w:r>
          </w:p>
        </w:tc>
        <w:tc>
          <w:tcPr>
            <w:tcW w:w="1872" w:type="dxa"/>
            <w:tcBorders>
              <w:top w:val="nil"/>
              <w:left w:val="nil"/>
              <w:bottom w:val="single" w:sz="8" w:space="0" w:color="000000"/>
              <w:right w:val="nil"/>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RATES</w:t>
            </w:r>
          </w:p>
        </w:tc>
        <w:tc>
          <w:tcPr>
            <w:tcW w:w="1439" w:type="dxa"/>
            <w:tcBorders>
              <w:top w:val="nil"/>
              <w:left w:val="nil"/>
              <w:bottom w:val="single" w:sz="8" w:space="0" w:color="000000"/>
              <w:right w:val="single" w:sz="8" w:space="0" w:color="auto"/>
            </w:tcBorders>
            <w:shd w:val="clear" w:color="auto" w:fill="auto"/>
            <w:noWrap/>
            <w:vAlign w:val="center"/>
            <w:hideMark/>
          </w:tcPr>
          <w:p w:rsidR="00913796" w:rsidRPr="001B669F" w:rsidRDefault="00913796" w:rsidP="00913796">
            <w:pPr>
              <w:jc w:val="center"/>
              <w:rPr>
                <w:b/>
                <w:bCs/>
                <w:color w:val="000000"/>
                <w:sz w:val="20"/>
                <w:szCs w:val="20"/>
              </w:rPr>
            </w:pPr>
            <w:r w:rsidRPr="001B669F">
              <w:rPr>
                <w:b/>
                <w:bCs/>
                <w:color w:val="000000"/>
                <w:sz w:val="20"/>
                <w:szCs w:val="20"/>
              </w:rPr>
              <w:t>REDUCTION</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205"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207"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872"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b/>
                <w:bCs/>
                <w:sz w:val="20"/>
                <w:szCs w:val="20"/>
                <w:u w:val="single"/>
              </w:rPr>
            </w:pPr>
            <w:r w:rsidRPr="001B669F">
              <w:rPr>
                <w:b/>
                <w:bCs/>
                <w:sz w:val="20"/>
                <w:szCs w:val="20"/>
                <w:u w:val="single"/>
              </w:rPr>
              <w:t>Residential and General Service</w:t>
            </w:r>
          </w:p>
        </w:tc>
        <w:tc>
          <w:tcPr>
            <w:tcW w:w="1205" w:type="dxa"/>
            <w:tcBorders>
              <w:top w:val="nil"/>
              <w:left w:val="nil"/>
              <w:bottom w:val="nil"/>
              <w:right w:val="nil"/>
            </w:tcBorders>
            <w:shd w:val="clear" w:color="auto" w:fill="auto"/>
            <w:noWrap/>
            <w:vAlign w:val="bottom"/>
            <w:hideMark/>
          </w:tcPr>
          <w:p w:rsidR="00913796" w:rsidRPr="001B669F" w:rsidRDefault="00913796" w:rsidP="00913796">
            <w:pPr>
              <w:rPr>
                <w:b/>
                <w:bCs/>
                <w:sz w:val="20"/>
                <w:szCs w:val="20"/>
                <w:u w:val="single"/>
              </w:rPr>
            </w:pPr>
          </w:p>
        </w:tc>
        <w:tc>
          <w:tcPr>
            <w:tcW w:w="1207"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872"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 </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sz w:val="20"/>
                <w:szCs w:val="20"/>
              </w:rPr>
            </w:pPr>
            <w:r w:rsidRPr="001B669F">
              <w:rPr>
                <w:sz w:val="20"/>
                <w:szCs w:val="20"/>
              </w:rPr>
              <w:t>Base Facility Charge by Meter Size</w:t>
            </w:r>
          </w:p>
        </w:tc>
        <w:tc>
          <w:tcPr>
            <w:tcW w:w="1205"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207"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872"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 </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5/8"X3/4"</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$22.00 </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$24.48 </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$24.27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$0.14 </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3/4"</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$36.41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$0.21 </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1"</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$55.00 </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$61.20 </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$60.68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$0.35 </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1-1/2"</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$110.00 </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$122.40 </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$121.35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$0.69 </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2"</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$176.00 </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$195.84 </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$194.16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$1.11 </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3"</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$388.32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$2.21 </w:t>
            </w:r>
          </w:p>
        </w:tc>
      </w:tr>
      <w:tr w:rsidR="00913796" w:rsidRPr="001B669F" w:rsidTr="001B669F">
        <w:trPr>
          <w:trHeight w:val="290"/>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4"</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$606.75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$3.46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6"</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$1,213.50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$6.92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 </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rPr>
                <w:color w:val="000000"/>
                <w:sz w:val="20"/>
                <w:szCs w:val="20"/>
              </w:rPr>
            </w:pP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sz w:val="20"/>
                <w:szCs w:val="20"/>
              </w:rPr>
            </w:pP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sz w:val="20"/>
                <w:szCs w:val="20"/>
              </w:rPr>
            </w:pP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Charge per 1,000 gallons -  Residential and General Service</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$1.66 </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$1.85 </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tcPr>
          <w:p w:rsidR="00913796" w:rsidRPr="001B669F" w:rsidRDefault="00913796" w:rsidP="00913796">
            <w:pPr>
              <w:rPr>
                <w:color w:val="000000"/>
                <w:sz w:val="20"/>
                <w:szCs w:val="20"/>
              </w:rPr>
            </w:pPr>
          </w:p>
        </w:tc>
        <w:tc>
          <w:tcPr>
            <w:tcW w:w="1205" w:type="dxa"/>
            <w:tcBorders>
              <w:top w:val="nil"/>
              <w:left w:val="nil"/>
              <w:bottom w:val="nil"/>
              <w:right w:val="nil"/>
            </w:tcBorders>
            <w:shd w:val="clear" w:color="auto" w:fill="auto"/>
            <w:noWrap/>
            <w:vAlign w:val="center"/>
          </w:tcPr>
          <w:p w:rsidR="00913796" w:rsidRPr="001B669F" w:rsidRDefault="00913796" w:rsidP="00913796">
            <w:pPr>
              <w:rPr>
                <w:color w:val="000000"/>
                <w:sz w:val="20"/>
                <w:szCs w:val="20"/>
              </w:rPr>
            </w:pPr>
          </w:p>
        </w:tc>
        <w:tc>
          <w:tcPr>
            <w:tcW w:w="1207" w:type="dxa"/>
            <w:tcBorders>
              <w:top w:val="nil"/>
              <w:left w:val="nil"/>
              <w:bottom w:val="nil"/>
              <w:right w:val="nil"/>
            </w:tcBorders>
            <w:shd w:val="clear" w:color="auto" w:fill="auto"/>
            <w:noWrap/>
            <w:vAlign w:val="center"/>
          </w:tcPr>
          <w:p w:rsidR="00913796" w:rsidRPr="001B669F" w:rsidRDefault="00913796" w:rsidP="00913796">
            <w:pPr>
              <w:jc w:val="right"/>
              <w:rPr>
                <w:sz w:val="20"/>
                <w:szCs w:val="20"/>
              </w:rPr>
            </w:pPr>
          </w:p>
        </w:tc>
        <w:tc>
          <w:tcPr>
            <w:tcW w:w="1872" w:type="dxa"/>
            <w:tcBorders>
              <w:top w:val="nil"/>
              <w:left w:val="nil"/>
              <w:bottom w:val="nil"/>
              <w:right w:val="nil"/>
            </w:tcBorders>
            <w:shd w:val="clear" w:color="auto" w:fill="auto"/>
            <w:noWrap/>
            <w:vAlign w:val="center"/>
          </w:tcPr>
          <w:p w:rsidR="00913796" w:rsidRPr="001B669F" w:rsidRDefault="00913796" w:rsidP="00913796">
            <w:pPr>
              <w:jc w:val="right"/>
              <w:rPr>
                <w:sz w:val="20"/>
                <w:szCs w:val="20"/>
              </w:rPr>
            </w:pPr>
          </w:p>
        </w:tc>
        <w:tc>
          <w:tcPr>
            <w:tcW w:w="1439" w:type="dxa"/>
            <w:tcBorders>
              <w:top w:val="nil"/>
              <w:left w:val="nil"/>
              <w:bottom w:val="nil"/>
              <w:right w:val="single" w:sz="8" w:space="0" w:color="auto"/>
            </w:tcBorders>
            <w:shd w:val="clear" w:color="auto" w:fill="auto"/>
            <w:noWrap/>
            <w:vAlign w:val="center"/>
          </w:tcPr>
          <w:p w:rsidR="00913796" w:rsidRPr="001B669F" w:rsidRDefault="00913796" w:rsidP="00913796">
            <w:pPr>
              <w:jc w:val="right"/>
              <w:rPr>
                <w:color w:val="000000"/>
                <w:sz w:val="20"/>
                <w:szCs w:val="20"/>
              </w:rPr>
            </w:pP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 xml:space="preserve">Charge per 1,000 gallons - Residential Service </w:t>
            </w:r>
          </w:p>
        </w:tc>
        <w:tc>
          <w:tcPr>
            <w:tcW w:w="1205" w:type="dxa"/>
            <w:tcBorders>
              <w:top w:val="nil"/>
              <w:left w:val="nil"/>
              <w:bottom w:val="nil"/>
              <w:right w:val="nil"/>
            </w:tcBorders>
            <w:shd w:val="clear" w:color="auto" w:fill="auto"/>
            <w:noWrap/>
            <w:vAlign w:val="bottom"/>
            <w:hideMark/>
          </w:tcPr>
          <w:p w:rsidR="00913796" w:rsidRPr="001B669F" w:rsidRDefault="00913796" w:rsidP="00913796">
            <w:pPr>
              <w:rPr>
                <w:color w:val="000000"/>
                <w:sz w:val="20"/>
                <w:szCs w:val="20"/>
              </w:rPr>
            </w:pPr>
          </w:p>
        </w:tc>
        <w:tc>
          <w:tcPr>
            <w:tcW w:w="1207"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872" w:type="dxa"/>
            <w:tcBorders>
              <w:top w:val="nil"/>
              <w:left w:val="nil"/>
              <w:bottom w:val="nil"/>
              <w:right w:val="nil"/>
            </w:tcBorders>
            <w:shd w:val="clear" w:color="auto" w:fill="auto"/>
            <w:noWrap/>
            <w:vAlign w:val="center"/>
            <w:hideMark/>
          </w:tcPr>
          <w:p w:rsidR="00913796" w:rsidRPr="001B669F" w:rsidRDefault="00913796" w:rsidP="00913796">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0 - 4,000 gallons</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$11.03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$0.06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Over 4,000 gallons</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N/A</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$13.79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$0.08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 </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rPr>
                <w:color w:val="000000"/>
                <w:sz w:val="20"/>
                <w:szCs w:val="20"/>
              </w:rPr>
            </w:pP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sz w:val="20"/>
                <w:szCs w:val="20"/>
              </w:rPr>
            </w:pP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sz w:val="20"/>
                <w:szCs w:val="20"/>
              </w:rPr>
            </w:pP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Charge per 1,000 gallons -  General Service</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N/A </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N/A </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$11.28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$0.06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205"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207"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872" w:type="dxa"/>
            <w:tcBorders>
              <w:top w:val="nil"/>
              <w:left w:val="nil"/>
              <w:bottom w:val="nil"/>
              <w:right w:val="nil"/>
            </w:tcBorders>
            <w:shd w:val="clear" w:color="auto" w:fill="auto"/>
            <w:noWrap/>
            <w:vAlign w:val="bottom"/>
            <w:hideMark/>
          </w:tcPr>
          <w:p w:rsidR="00913796" w:rsidRPr="001B669F" w:rsidRDefault="00913796" w:rsidP="00913796">
            <w:pPr>
              <w:rPr>
                <w:sz w:val="20"/>
                <w:szCs w:val="20"/>
              </w:rPr>
            </w:pP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r w:rsidR="00913796" w:rsidRPr="001B669F" w:rsidTr="001B669F">
        <w:trPr>
          <w:trHeight w:val="246"/>
          <w:jc w:val="center"/>
        </w:trPr>
        <w:tc>
          <w:tcPr>
            <w:tcW w:w="9371" w:type="dxa"/>
            <w:gridSpan w:val="4"/>
            <w:tcBorders>
              <w:top w:val="nil"/>
              <w:left w:val="single" w:sz="8" w:space="0" w:color="auto"/>
              <w:bottom w:val="nil"/>
              <w:right w:val="nil"/>
            </w:tcBorders>
            <w:shd w:val="clear" w:color="auto" w:fill="auto"/>
            <w:noWrap/>
            <w:vAlign w:val="center"/>
            <w:hideMark/>
          </w:tcPr>
          <w:p w:rsidR="00913796" w:rsidRPr="001B669F" w:rsidRDefault="00913796" w:rsidP="00913796">
            <w:pPr>
              <w:rPr>
                <w:sz w:val="20"/>
                <w:szCs w:val="20"/>
              </w:rPr>
            </w:pPr>
            <w:r w:rsidRPr="001B669F">
              <w:rPr>
                <w:b/>
                <w:bCs/>
                <w:color w:val="000000"/>
                <w:sz w:val="20"/>
                <w:szCs w:val="20"/>
                <w:u w:val="single"/>
              </w:rPr>
              <w:t>Typical Residential 5/8" x 3/4" Meter Bill Comparison</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3,000 Gallons</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$26.98 </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$30.03 </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$57.36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6,000 Gallons</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$31.96 </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$35.58 </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$95.97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r w:rsidR="00913796" w:rsidRPr="001B669F" w:rsidTr="001B669F">
        <w:trPr>
          <w:trHeight w:val="246"/>
          <w:jc w:val="center"/>
        </w:trPr>
        <w:tc>
          <w:tcPr>
            <w:tcW w:w="5087" w:type="dxa"/>
            <w:tcBorders>
              <w:top w:val="nil"/>
              <w:left w:val="single" w:sz="8" w:space="0" w:color="auto"/>
              <w:bottom w:val="nil"/>
              <w:right w:val="nil"/>
            </w:tcBorders>
            <w:shd w:val="clear" w:color="auto" w:fill="auto"/>
            <w:noWrap/>
            <w:vAlign w:val="center"/>
            <w:hideMark/>
          </w:tcPr>
          <w:p w:rsidR="00913796" w:rsidRPr="001B669F" w:rsidRDefault="00913796" w:rsidP="00913796">
            <w:pPr>
              <w:rPr>
                <w:color w:val="000000"/>
                <w:sz w:val="20"/>
                <w:szCs w:val="20"/>
              </w:rPr>
            </w:pPr>
            <w:r w:rsidRPr="001B669F">
              <w:rPr>
                <w:color w:val="000000"/>
                <w:sz w:val="20"/>
                <w:szCs w:val="20"/>
              </w:rPr>
              <w:t>10,000 Gallons</w:t>
            </w:r>
          </w:p>
        </w:tc>
        <w:tc>
          <w:tcPr>
            <w:tcW w:w="1205"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$38.60 </w:t>
            </w:r>
          </w:p>
        </w:tc>
        <w:tc>
          <w:tcPr>
            <w:tcW w:w="1207"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$42.98 </w:t>
            </w:r>
          </w:p>
        </w:tc>
        <w:tc>
          <w:tcPr>
            <w:tcW w:w="1872" w:type="dxa"/>
            <w:tcBorders>
              <w:top w:val="nil"/>
              <w:left w:val="nil"/>
              <w:bottom w:val="nil"/>
              <w:right w:val="nil"/>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xml:space="preserve">$151.13 </w:t>
            </w:r>
          </w:p>
        </w:tc>
        <w:tc>
          <w:tcPr>
            <w:tcW w:w="1439" w:type="dxa"/>
            <w:tcBorders>
              <w:top w:val="nil"/>
              <w:left w:val="nil"/>
              <w:bottom w:val="nil"/>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r w:rsidR="00913796" w:rsidRPr="001B669F" w:rsidTr="001B669F">
        <w:trPr>
          <w:trHeight w:val="261"/>
          <w:jc w:val="center"/>
        </w:trPr>
        <w:tc>
          <w:tcPr>
            <w:tcW w:w="5087" w:type="dxa"/>
            <w:tcBorders>
              <w:top w:val="nil"/>
              <w:left w:val="single" w:sz="8" w:space="0" w:color="auto"/>
              <w:bottom w:val="single" w:sz="8" w:space="0" w:color="auto"/>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205" w:type="dxa"/>
            <w:tcBorders>
              <w:top w:val="nil"/>
              <w:left w:val="nil"/>
              <w:bottom w:val="single" w:sz="8" w:space="0" w:color="auto"/>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207" w:type="dxa"/>
            <w:tcBorders>
              <w:top w:val="nil"/>
              <w:left w:val="nil"/>
              <w:bottom w:val="single" w:sz="8" w:space="0" w:color="auto"/>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872" w:type="dxa"/>
            <w:tcBorders>
              <w:top w:val="nil"/>
              <w:left w:val="nil"/>
              <w:bottom w:val="single" w:sz="8" w:space="0" w:color="auto"/>
              <w:right w:val="nil"/>
            </w:tcBorders>
            <w:shd w:val="clear" w:color="auto" w:fill="auto"/>
            <w:noWrap/>
            <w:vAlign w:val="bottom"/>
            <w:hideMark/>
          </w:tcPr>
          <w:p w:rsidR="00913796" w:rsidRPr="001B669F" w:rsidRDefault="00913796" w:rsidP="00913796">
            <w:pPr>
              <w:rPr>
                <w:sz w:val="20"/>
                <w:szCs w:val="20"/>
              </w:rPr>
            </w:pPr>
            <w:r w:rsidRPr="001B669F">
              <w:rPr>
                <w:sz w:val="20"/>
                <w:szCs w:val="20"/>
              </w:rPr>
              <w:t> </w:t>
            </w:r>
          </w:p>
        </w:tc>
        <w:tc>
          <w:tcPr>
            <w:tcW w:w="1439" w:type="dxa"/>
            <w:tcBorders>
              <w:top w:val="nil"/>
              <w:left w:val="nil"/>
              <w:bottom w:val="single" w:sz="8" w:space="0" w:color="auto"/>
              <w:right w:val="single" w:sz="8" w:space="0" w:color="auto"/>
            </w:tcBorders>
            <w:shd w:val="clear" w:color="auto" w:fill="auto"/>
            <w:noWrap/>
            <w:vAlign w:val="center"/>
            <w:hideMark/>
          </w:tcPr>
          <w:p w:rsidR="00913796" w:rsidRPr="001B669F" w:rsidRDefault="00913796" w:rsidP="00913796">
            <w:pPr>
              <w:jc w:val="right"/>
              <w:rPr>
                <w:color w:val="000000"/>
                <w:sz w:val="20"/>
                <w:szCs w:val="20"/>
              </w:rPr>
            </w:pPr>
            <w:r w:rsidRPr="001B669F">
              <w:rPr>
                <w:color w:val="000000"/>
                <w:sz w:val="20"/>
                <w:szCs w:val="20"/>
              </w:rPr>
              <w:t> </w:t>
            </w:r>
          </w:p>
        </w:tc>
      </w:tr>
    </w:tbl>
    <w:p w:rsidR="00913796" w:rsidRPr="001B669F" w:rsidRDefault="00913796" w:rsidP="00913796">
      <w:pPr>
        <w:spacing w:after="240"/>
        <w:jc w:val="both"/>
      </w:pPr>
    </w:p>
    <w:p w:rsidR="00913796" w:rsidRPr="001B669F" w:rsidRDefault="00913796" w:rsidP="00913796">
      <w:pPr>
        <w:jc w:val="both"/>
      </w:pPr>
    </w:p>
    <w:sectPr w:rsidR="00913796" w:rsidRPr="001B669F" w:rsidSect="00913796">
      <w:head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43" w:rsidRDefault="005E3343">
      <w:r>
        <w:separator/>
      </w:r>
    </w:p>
  </w:endnote>
  <w:endnote w:type="continuationSeparator" w:id="0">
    <w:p w:rsidR="005E3343" w:rsidRDefault="005E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pPr>
      <w:pStyle w:val="Footer"/>
    </w:pPr>
  </w:p>
  <w:p w:rsidR="005E3343" w:rsidRDefault="005E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rsidP="001B669F">
    <w:pPr>
      <w:pStyle w:val="Footer"/>
      <w:tabs>
        <w:tab w:val="clear" w:pos="4320"/>
        <w:tab w:val="clear" w:pos="8640"/>
        <w:tab w:val="left" w:pos="4378"/>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24</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25</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26</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43" w:rsidRDefault="005E3343">
      <w:r>
        <w:separator/>
      </w:r>
    </w:p>
  </w:footnote>
  <w:footnote w:type="continuationSeparator" w:id="0">
    <w:p w:rsidR="005E3343" w:rsidRDefault="005E3343">
      <w:r>
        <w:continuationSeparator/>
      </w:r>
    </w:p>
  </w:footnote>
  <w:footnote w:id="1">
    <w:p w:rsidR="005E3343" w:rsidRPr="000A10DB" w:rsidRDefault="005E3343" w:rsidP="002776CA">
      <w:pPr>
        <w:pStyle w:val="FootnoteText"/>
        <w:rPr>
          <w:i/>
        </w:rPr>
      </w:pPr>
      <w:r w:rsidRPr="00530A34">
        <w:rPr>
          <w:rStyle w:val="FootnoteReference"/>
        </w:rPr>
        <w:footnoteRef/>
      </w:r>
      <w:r w:rsidRPr="00530A34">
        <w:t xml:space="preserve"> </w:t>
      </w:r>
      <w:r>
        <w:t>Order No. PSC-2021-0408-PAA-WU, issued November 1, 2021, in Docket No. 20210043</w:t>
      </w:r>
      <w:r w:rsidRPr="00530A34">
        <w:t xml:space="preserve">-WU, </w:t>
      </w:r>
      <w:r w:rsidRPr="00BD39AD">
        <w:rPr>
          <w:i/>
        </w:rPr>
        <w:t>In re: Application to transfer facilities and water Certificate No. 652-W in Marion County from Arma Water Service, LLC to Leighton Estates Utilities, LLC.</w:t>
      </w:r>
    </w:p>
  </w:footnote>
  <w:footnote w:id="2">
    <w:p w:rsidR="005E3343" w:rsidRPr="007B2E17" w:rsidRDefault="005E3343" w:rsidP="002776CA">
      <w:pPr>
        <w:pStyle w:val="FootnoteText"/>
        <w:rPr>
          <w:i/>
        </w:rPr>
      </w:pPr>
      <w:r>
        <w:rPr>
          <w:rStyle w:val="FootnoteReference"/>
        </w:rPr>
        <w:footnoteRef/>
      </w:r>
      <w:r>
        <w:t xml:space="preserve"> Order No. PSC-10-0552-PAA-WU, issued September 3, 2010, in Docket No. 090366-WU, </w:t>
      </w:r>
      <w:r w:rsidRPr="007B2E17">
        <w:rPr>
          <w:i/>
        </w:rPr>
        <w:t>In re: Application for certificate to operate water utility in Marion County by ARMA WATER SERVICE, LLC.</w:t>
      </w:r>
    </w:p>
  </w:footnote>
  <w:footnote w:id="3">
    <w:p w:rsidR="005E3343" w:rsidRPr="00814FED" w:rsidRDefault="005E3343" w:rsidP="002776CA">
      <w:pPr>
        <w:pStyle w:val="FootnoteText"/>
      </w:pPr>
      <w:r>
        <w:rPr>
          <w:rStyle w:val="FootnoteReference"/>
        </w:rPr>
        <w:footnoteRef/>
      </w:r>
      <w:r>
        <w:t xml:space="preserve"> Order No. PSC-2021-0408</w:t>
      </w:r>
      <w:r w:rsidRPr="00814FED">
        <w:t xml:space="preserve">-PAA-WU, issued </w:t>
      </w:r>
      <w:r>
        <w:t>November 1, 2021</w:t>
      </w:r>
      <w:r w:rsidRPr="00814FED">
        <w:t xml:space="preserve">, in Docket No. </w:t>
      </w:r>
      <w:r>
        <w:t>20210043</w:t>
      </w:r>
      <w:r w:rsidRPr="00814FED">
        <w:t xml:space="preserve">-WU, </w:t>
      </w:r>
      <w:r w:rsidRPr="00814FED">
        <w:rPr>
          <w:i/>
        </w:rPr>
        <w:t xml:space="preserve">In re: </w:t>
      </w:r>
      <w:r w:rsidRPr="00D661DC">
        <w:rPr>
          <w:i/>
        </w:rPr>
        <w:t xml:space="preserve">Application to transfer facilities and water Certificate No. 652-W in Marion County from Arma Water Service, LLC to </w:t>
      </w:r>
      <w:r>
        <w:rPr>
          <w:i/>
        </w:rPr>
        <w:t>Leighton Estates Utilities, LLC</w:t>
      </w:r>
      <w:r w:rsidRPr="00814FED">
        <w:rPr>
          <w:i/>
        </w:rPr>
        <w:t>.</w:t>
      </w:r>
      <w:r w:rsidRPr="00814FED">
        <w:t xml:space="preserve"> </w:t>
      </w:r>
    </w:p>
  </w:footnote>
  <w:footnote w:id="4">
    <w:p w:rsidR="005E3343" w:rsidRDefault="005E3343" w:rsidP="002776CA">
      <w:pPr>
        <w:pStyle w:val="FootnoteText"/>
      </w:pPr>
      <w:r>
        <w:rPr>
          <w:rStyle w:val="FootnoteReference"/>
        </w:rPr>
        <w:footnoteRef/>
      </w:r>
      <w:r>
        <w:t xml:space="preserve"> See Document No. </w:t>
      </w:r>
      <w:r w:rsidRPr="001E342C">
        <w:t>06031-2022</w:t>
      </w:r>
      <w:r>
        <w:t xml:space="preserve"> filed September 6, 2022.</w:t>
      </w:r>
    </w:p>
  </w:footnote>
  <w:footnote w:id="5">
    <w:p w:rsidR="005E3343" w:rsidRDefault="005E3343" w:rsidP="002776CA">
      <w:pPr>
        <w:pStyle w:val="FootnoteText"/>
      </w:pPr>
      <w:r>
        <w:rPr>
          <w:rStyle w:val="FootnoteReference"/>
        </w:rPr>
        <w:footnoteRef/>
      </w:r>
      <w:r>
        <w:t xml:space="preserve"> See Document No. </w:t>
      </w:r>
      <w:r w:rsidRPr="00111F27">
        <w:t>04830-2022</w:t>
      </w:r>
      <w:r>
        <w:t xml:space="preserve"> filed July 19, 2022.</w:t>
      </w:r>
    </w:p>
  </w:footnote>
  <w:footnote w:id="6">
    <w:p w:rsidR="005E3343" w:rsidRDefault="005E3343" w:rsidP="002776CA">
      <w:pPr>
        <w:pStyle w:val="FootnoteText"/>
      </w:pPr>
      <w:r>
        <w:rPr>
          <w:rStyle w:val="FootnoteReference"/>
        </w:rPr>
        <w:footnoteRef/>
      </w:r>
      <w:r>
        <w:t xml:space="preserve"> Order No. PSC-2021-0408</w:t>
      </w:r>
      <w:r w:rsidRPr="00814FED">
        <w:t xml:space="preserve">-PAA-WU, issued </w:t>
      </w:r>
      <w:r>
        <w:t>November 1, 2021</w:t>
      </w:r>
      <w:r w:rsidRPr="00814FED">
        <w:t xml:space="preserve">, in Docket No. </w:t>
      </w:r>
      <w:r>
        <w:t>20210043</w:t>
      </w:r>
      <w:r w:rsidRPr="00814FED">
        <w:t xml:space="preserve">-WU, </w:t>
      </w:r>
      <w:r w:rsidRPr="00814FED">
        <w:rPr>
          <w:i/>
        </w:rPr>
        <w:t xml:space="preserve">In re: </w:t>
      </w:r>
      <w:r w:rsidRPr="00D661DC">
        <w:rPr>
          <w:i/>
        </w:rPr>
        <w:t xml:space="preserve">Application to transfer facilities and water Certificate No. 652-W in Marion County from Arma Water Service, LLC to </w:t>
      </w:r>
      <w:r>
        <w:rPr>
          <w:i/>
        </w:rPr>
        <w:t>Leighton Estates Utilities, LLC</w:t>
      </w:r>
      <w:r w:rsidRPr="00814FED">
        <w:rPr>
          <w:i/>
        </w:rPr>
        <w:t>.</w:t>
      </w:r>
    </w:p>
  </w:footnote>
  <w:footnote w:id="7">
    <w:p w:rsidR="005E3343" w:rsidRDefault="005E3343" w:rsidP="00913796">
      <w:pPr>
        <w:pStyle w:val="FootnoteText"/>
      </w:pPr>
      <w:r>
        <w:rPr>
          <w:rStyle w:val="FootnoteReference"/>
        </w:rPr>
        <w:footnoteRef/>
      </w:r>
      <w:r>
        <w:t>Order No. PSC-2022-0208-PAA-WS</w:t>
      </w:r>
      <w:r w:rsidRPr="00814FED">
        <w:t xml:space="preserve">, issued </w:t>
      </w:r>
      <w:r>
        <w:t>June 15, 2022</w:t>
      </w:r>
      <w:r w:rsidRPr="00814FED">
        <w:t xml:space="preserve">, in Docket No. </w:t>
      </w:r>
      <w:r>
        <w:t>20220006-WS</w:t>
      </w:r>
      <w:r w:rsidRPr="00814FED">
        <w:t xml:space="preserve">, </w:t>
      </w:r>
      <w:r w:rsidRPr="00814FED">
        <w:rPr>
          <w:i/>
        </w:rPr>
        <w:t xml:space="preserve">In re: </w:t>
      </w:r>
      <w:r>
        <w:rPr>
          <w:i/>
        </w:rPr>
        <w:t>Water and wastewater industry annual reestablishment of authorized range of return on common equity for water and wastewater utilities pursuant to Section 367.081(4)(f), F.S.</w:t>
      </w:r>
    </w:p>
  </w:footnote>
  <w:footnote w:id="8">
    <w:p w:rsidR="005E3343" w:rsidRDefault="005E3343" w:rsidP="00913796">
      <w:pPr>
        <w:pStyle w:val="FootnoteText"/>
      </w:pPr>
      <w:r>
        <w:rPr>
          <w:rStyle w:val="FootnoteReference"/>
        </w:rPr>
        <w:footnoteRef/>
      </w:r>
      <w:r>
        <w:t xml:space="preserve">Order No, PSC-2019-0503-PAA-SU, issued November 25, 2019, in Docket No. 201802020-SU, </w:t>
      </w:r>
      <w:r w:rsidRPr="00FB6909">
        <w:rPr>
          <w:i/>
        </w:rPr>
        <w:t>In re:</w:t>
      </w:r>
      <w:r>
        <w:t xml:space="preserve"> </w:t>
      </w:r>
      <w:r w:rsidRPr="006B09A9">
        <w:rPr>
          <w:i/>
        </w:rPr>
        <w:t>Application for staff-assisted rate case in Polk County by West Lakeland Wastewater, LLC</w:t>
      </w:r>
      <w:r>
        <w:t xml:space="preserve">. </w:t>
      </w:r>
    </w:p>
  </w:footnote>
  <w:footnote w:id="9">
    <w:p w:rsidR="005E3343" w:rsidRDefault="005E3343" w:rsidP="00913796">
      <w:pPr>
        <w:pStyle w:val="FootnoteText"/>
      </w:pPr>
      <w:r>
        <w:rPr>
          <w:rStyle w:val="FootnoteReference"/>
        </w:rPr>
        <w:footnoteRef/>
      </w:r>
      <w:r>
        <w:t xml:space="preserve">Document No. 08830-2022, filed on October 6, 2022. </w:t>
      </w:r>
    </w:p>
  </w:footnote>
  <w:footnote w:id="10">
    <w:p w:rsidR="005E3343" w:rsidRDefault="005E3343" w:rsidP="00913796">
      <w:pPr>
        <w:pStyle w:val="FootnoteText"/>
      </w:pPr>
      <w:r>
        <w:rPr>
          <w:rStyle w:val="FootnoteReference"/>
        </w:rPr>
        <w:footnoteRef/>
      </w:r>
      <w:r>
        <w:t xml:space="preserve">Document No. 08630-2022, filed on October 4, 2022. </w:t>
      </w:r>
    </w:p>
  </w:footnote>
  <w:footnote w:id="11">
    <w:p w:rsidR="005E3343" w:rsidRDefault="005E3343" w:rsidP="00913796">
      <w:pPr>
        <w:pStyle w:val="FootnoteText"/>
      </w:pPr>
      <w:r>
        <w:rPr>
          <w:rStyle w:val="FootnoteReference"/>
        </w:rPr>
        <w:footnoteRef/>
      </w:r>
      <w:r>
        <w:t xml:space="preserve">Document No. 02148-2022, filed on March 30, 2022. </w:t>
      </w:r>
    </w:p>
  </w:footnote>
  <w:footnote w:id="12">
    <w:p w:rsidR="005E3343" w:rsidRDefault="005E3343" w:rsidP="00913796">
      <w:pPr>
        <w:pStyle w:val="FootnoteText"/>
      </w:pPr>
      <w:r>
        <w:rPr>
          <w:rStyle w:val="FootnoteReference"/>
        </w:rPr>
        <w:footnoteRef/>
      </w:r>
      <w:r>
        <w:t xml:space="preserve"> Order No. PSC-2021-0408-PAA-WU.  </w:t>
      </w:r>
    </w:p>
  </w:footnote>
  <w:footnote w:id="13">
    <w:p w:rsidR="005E3343" w:rsidRDefault="005E3343" w:rsidP="00582B67">
      <w:pPr>
        <w:pStyle w:val="FootnoteText"/>
        <w:jc w:val="left"/>
      </w:pPr>
      <w:r>
        <w:rPr>
          <w:rStyle w:val="FootnoteReference"/>
        </w:rPr>
        <w:footnoteRef/>
      </w:r>
      <w:r>
        <w:t xml:space="preserve"> Order No. PSC-2021-0320-PAA-WU, issued on August 23, 2021, in Docket No. 20200230-WS, </w:t>
      </w:r>
      <w:r w:rsidRPr="00FB6909">
        <w:rPr>
          <w:i/>
        </w:rPr>
        <w:t>In re:</w:t>
      </w:r>
      <w:r>
        <w:t xml:space="preserve"> </w:t>
      </w:r>
      <w:r>
        <w:rPr>
          <w:i/>
        </w:rPr>
        <w:t xml:space="preserve">Application for staff-assisted rate case in Manatee County by Sunny Shores Utilities; </w:t>
      </w:r>
      <w:r>
        <w:t xml:space="preserve">Order No. PSC-2020-0086-PAA-WU, issued March 24, 2020, in Docket No. 20190114-WU, </w:t>
      </w:r>
      <w:r w:rsidRPr="00FB6909">
        <w:rPr>
          <w:i/>
        </w:rPr>
        <w:t>In re:</w:t>
      </w:r>
      <w:r>
        <w:t xml:space="preserve"> </w:t>
      </w:r>
      <w:r w:rsidRPr="00FB6909">
        <w:rPr>
          <w:i/>
        </w:rPr>
        <w:t>Application for staff-assisted rate case in</w:t>
      </w:r>
      <w:r>
        <w:t xml:space="preserve"> </w:t>
      </w:r>
      <w:r w:rsidRPr="00FB6909">
        <w:rPr>
          <w:i/>
        </w:rPr>
        <w:t>Alachua County, and request for interim rate in</w:t>
      </w:r>
      <w:r>
        <w:rPr>
          <w:i/>
        </w:rPr>
        <w:t>crease by Gator Waterworks, Inc;</w:t>
      </w:r>
      <w:r w:rsidRPr="00FB6909">
        <w:rPr>
          <w:i/>
        </w:rPr>
        <w:t xml:space="preserve"> </w:t>
      </w:r>
      <w:r>
        <w:t xml:space="preserve"> Order No. PSC-2017-0334-PAA-WS, issued August 23, 2017, in Docket No. 20160222-WS, </w:t>
      </w:r>
      <w:r>
        <w:rPr>
          <w:i/>
        </w:rPr>
        <w:t>In re: Application for staff-assisted rate case in Highlands County by LP Waterworks, Inc.</w:t>
      </w:r>
      <w:r>
        <w:t xml:space="preserve"> </w:t>
      </w:r>
    </w:p>
  </w:footnote>
  <w:footnote w:id="14">
    <w:p w:rsidR="005E3343" w:rsidRDefault="005E3343" w:rsidP="00913796">
      <w:pPr>
        <w:pStyle w:val="FootnoteText"/>
      </w:pPr>
      <w:r>
        <w:rPr>
          <w:rStyle w:val="FootnoteReference"/>
        </w:rPr>
        <w:footnoteRef/>
      </w:r>
      <w:r>
        <w:t xml:space="preserve"> </w:t>
      </w:r>
      <w:r w:rsidRPr="00CB0AD4">
        <w:t>Average person per household was obtained from www.</w:t>
      </w:r>
      <w:r>
        <w:t>census.gov/quickfacts/marioncounty</w:t>
      </w:r>
      <w:r w:rsidRPr="00CB0AD4">
        <w:t>florida.</w:t>
      </w:r>
    </w:p>
  </w:footnote>
  <w:footnote w:id="15">
    <w:p w:rsidR="005E3343" w:rsidRDefault="005E3343" w:rsidP="00AD49E1">
      <w:pPr>
        <w:pStyle w:val="FootnoteText"/>
      </w:pPr>
      <w:r>
        <w:rPr>
          <w:rStyle w:val="FootnoteReference"/>
        </w:rPr>
        <w:footnoteRef/>
      </w:r>
      <w:r>
        <w:t xml:space="preserve"> Order No. PSC-2021-0201-FOF-WS, issued June 4, 2020, in Docket No. 20200240-WS, </w:t>
      </w:r>
      <w:r w:rsidRPr="00D41B86">
        <w:rPr>
          <w:i/>
        </w:rPr>
        <w:t>In re: Proposed amendment of Rule 25-30.460, F.A.C., Application for Miscellaneous Service Charges.</w:t>
      </w:r>
    </w:p>
  </w:footnote>
  <w:footnote w:id="16">
    <w:p w:rsidR="005E3343" w:rsidRPr="00B714E0" w:rsidRDefault="005E3343" w:rsidP="00913796">
      <w:pPr>
        <w:pStyle w:val="FootnoteText"/>
        <w:rPr>
          <w:i/>
        </w:rPr>
      </w:pPr>
      <w:r>
        <w:rPr>
          <w:rStyle w:val="FootnoteReference"/>
        </w:rPr>
        <w:footnoteRef/>
      </w:r>
      <w:r>
        <w:t xml:space="preserve"> Order No. PSC-2022-0043-PAA-WU, issued January 26, 2022, in Docket No. 20210055-WU, </w:t>
      </w:r>
      <w:r>
        <w:rPr>
          <w:i/>
        </w:rPr>
        <w:t>In re:</w:t>
      </w:r>
      <w:r w:rsidRPr="00B714E0">
        <w:rPr>
          <w:i/>
        </w:rPr>
        <w:t xml:space="preserve"> </w:t>
      </w:r>
      <w:r w:rsidRPr="00743561">
        <w:rPr>
          <w:i/>
        </w:rPr>
        <w:t>Application for staff-assisted rate case in Lake County by Brendenwood Waterworks, Inc.</w:t>
      </w:r>
    </w:p>
  </w:footnote>
  <w:footnote w:id="17">
    <w:p w:rsidR="005E3343" w:rsidRDefault="005E3343" w:rsidP="00913796">
      <w:pPr>
        <w:pStyle w:val="FootnoteText"/>
      </w:pPr>
      <w:r w:rsidRPr="00B470ED">
        <w:rPr>
          <w:rStyle w:val="FootnoteReference"/>
        </w:rPr>
        <w:footnoteRef/>
      </w:r>
      <w:r>
        <w:t xml:space="preserve"> </w:t>
      </w:r>
      <w:r w:rsidRPr="00B470ED">
        <w:t xml:space="preserve">The </w:t>
      </w:r>
      <w:r>
        <w:t xml:space="preserve">post repression </w:t>
      </w:r>
      <w:r w:rsidRPr="00B470ED">
        <w:t xml:space="preserve">average consumption is </w:t>
      </w:r>
      <w:r>
        <w:t>3,231</w:t>
      </w:r>
      <w:r w:rsidRPr="00B470ED">
        <w:t xml:space="preserve"> gallons.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pPr>
      <w:pStyle w:val="OrderHeader"/>
    </w:pPr>
    <w:r>
      <w:t xml:space="preserve">ORDER NO. </w:t>
    </w:r>
    <w:r w:rsidR="002A09EB">
      <w:fldChar w:fldCharType="begin"/>
    </w:r>
    <w:r w:rsidR="002A09EB">
      <w:instrText xml:space="preserve"> REF OrderNo0435 </w:instrText>
    </w:r>
    <w:r w:rsidR="002A09EB">
      <w:fldChar w:fldCharType="separate"/>
    </w:r>
    <w:r w:rsidR="002A09EB">
      <w:t>PSC-2022-0435-PAA-WU</w:t>
    </w:r>
    <w:r w:rsidR="002A09EB">
      <w:fldChar w:fldCharType="end"/>
    </w:r>
  </w:p>
  <w:p w:rsidR="005E3343" w:rsidRDefault="005E3343">
    <w:pPr>
      <w:pStyle w:val="OrderHeader"/>
    </w:pPr>
    <w:bookmarkStart w:id="10" w:name="HeaderDocketNo"/>
    <w:bookmarkEnd w:id="10"/>
    <w:r>
      <w:t>DOCKET NO. 20220026-WU</w:t>
    </w:r>
  </w:p>
  <w:p w:rsidR="005E3343" w:rsidRDefault="005E334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19</w:t>
    </w:r>
    <w:r>
      <w:rPr>
        <w:rStyle w:val="PageNumber"/>
      </w:rPr>
      <w:fldChar w:fldCharType="end"/>
    </w:r>
  </w:p>
  <w:p w:rsidR="005E3343" w:rsidRDefault="005E3343">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rsidP="00913796">
    <w:pPr>
      <w:pStyle w:val="OrderHeader"/>
    </w:pPr>
    <w:r>
      <w:t xml:space="preserve">ORDER NO. </w:t>
    </w:r>
    <w:fldSimple w:instr=" REF OrderNo0435 ">
      <w:r w:rsidR="002A09EB">
        <w:t>PSC-2022-0435-PAA-WU</w:t>
      </w:r>
    </w:fldSimple>
    <w:r>
      <w:tab/>
    </w:r>
    <w:r>
      <w:tab/>
      <w:t>Schedule No. 1-A</w:t>
    </w:r>
  </w:p>
  <w:p w:rsidR="005E3343" w:rsidRDefault="005E3343" w:rsidP="00913796">
    <w:pPr>
      <w:pStyle w:val="OrderHeader"/>
    </w:pPr>
    <w:r>
      <w:t>DOCKET NO. 20220026-WU</w:t>
    </w:r>
  </w:p>
  <w:p w:rsidR="005E3343" w:rsidRDefault="005E3343" w:rsidP="0091379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22</w:t>
    </w:r>
    <w:r>
      <w:rPr>
        <w:rStyle w:val="PageNumber"/>
      </w:rPr>
      <w:fldChar w:fldCharType="end"/>
    </w:r>
  </w:p>
  <w:p w:rsidR="005E3343" w:rsidRPr="00913796" w:rsidRDefault="005E3343" w:rsidP="00913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rsidP="00913796">
    <w:pPr>
      <w:pStyle w:val="OrderHeader"/>
    </w:pPr>
    <w:r>
      <w:t xml:space="preserve">ORDER NO. </w:t>
    </w:r>
    <w:fldSimple w:instr=" REF OrderNo0435 ">
      <w:r w:rsidR="002A09EB">
        <w:t>PSC-2022-0435-PAA-WU</w:t>
      </w:r>
    </w:fldSimple>
    <w:r>
      <w:tab/>
    </w:r>
    <w:r>
      <w:tab/>
      <w:t>Schedule No. 1-B</w:t>
    </w:r>
  </w:p>
  <w:p w:rsidR="005E3343" w:rsidRDefault="005E3343" w:rsidP="00913796">
    <w:pPr>
      <w:pStyle w:val="OrderHeader"/>
    </w:pPr>
    <w:r>
      <w:t>DOCKET NO. 20220026-WU</w:t>
    </w:r>
  </w:p>
  <w:p w:rsidR="005E3343" w:rsidRDefault="005E3343" w:rsidP="0091379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23</w:t>
    </w:r>
    <w:r>
      <w:rPr>
        <w:rStyle w:val="PageNumber"/>
      </w:rPr>
      <w:fldChar w:fldCharType="end"/>
    </w:r>
  </w:p>
  <w:p w:rsidR="005E3343" w:rsidRPr="00913796" w:rsidRDefault="005E3343" w:rsidP="009137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rsidP="00913796">
    <w:pPr>
      <w:pStyle w:val="OrderHeader"/>
    </w:pPr>
    <w:r>
      <w:t xml:space="preserve">ORDER NO. </w:t>
    </w:r>
    <w:fldSimple w:instr=" REF OrderNo0435 ">
      <w:r w:rsidR="002A09EB">
        <w:t>PSC-2022-0435-PAA-WU</w:t>
      </w:r>
    </w:fldSimple>
    <w:r>
      <w:tab/>
    </w:r>
    <w:r>
      <w:tab/>
      <w:t>Schedule No. 2</w:t>
    </w:r>
  </w:p>
  <w:p w:rsidR="005E3343" w:rsidRDefault="005E3343" w:rsidP="00913796">
    <w:pPr>
      <w:pStyle w:val="OrderHeader"/>
    </w:pPr>
    <w:r>
      <w:t>DOCKET NO. 20220026-WU</w:t>
    </w:r>
  </w:p>
  <w:p w:rsidR="005E3343" w:rsidRDefault="005E3343" w:rsidP="0091379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24</w:t>
    </w:r>
    <w:r>
      <w:rPr>
        <w:rStyle w:val="PageNumber"/>
      </w:rPr>
      <w:fldChar w:fldCharType="end"/>
    </w:r>
  </w:p>
  <w:p w:rsidR="005E3343" w:rsidRPr="00913796" w:rsidRDefault="005E3343" w:rsidP="009137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rsidP="00913796">
    <w:pPr>
      <w:pStyle w:val="OrderHeader"/>
    </w:pPr>
    <w:r>
      <w:t xml:space="preserve">ORDER NO. </w:t>
    </w:r>
    <w:fldSimple w:instr=" REF OrderNo0435 ">
      <w:r w:rsidR="002A09EB">
        <w:t>PSC-2022-0435-PAA-WU</w:t>
      </w:r>
    </w:fldSimple>
    <w:r>
      <w:tab/>
    </w:r>
    <w:r>
      <w:tab/>
      <w:t>Schedule No. 3-A</w:t>
    </w:r>
  </w:p>
  <w:p w:rsidR="005E3343" w:rsidRDefault="005E3343" w:rsidP="00913796">
    <w:pPr>
      <w:pStyle w:val="OrderHeader"/>
    </w:pPr>
    <w:r>
      <w:t>DOCKET NO. 20220026-WU</w:t>
    </w:r>
  </w:p>
  <w:p w:rsidR="005E3343" w:rsidRDefault="005E3343" w:rsidP="0091379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25</w:t>
    </w:r>
    <w:r>
      <w:rPr>
        <w:rStyle w:val="PageNumber"/>
      </w:rPr>
      <w:fldChar w:fldCharType="end"/>
    </w:r>
  </w:p>
  <w:p w:rsidR="005E3343" w:rsidRPr="00913796" w:rsidRDefault="005E3343" w:rsidP="009137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rsidP="00913796">
    <w:pPr>
      <w:pStyle w:val="OrderHeader"/>
    </w:pPr>
    <w:r>
      <w:t xml:space="preserve">ORDER NO. </w:t>
    </w:r>
    <w:fldSimple w:instr=" REF OrderNo0435 ">
      <w:r w:rsidR="002A09EB">
        <w:t>PSC-2022-0435-PAA-WU</w:t>
      </w:r>
    </w:fldSimple>
    <w:r>
      <w:tab/>
    </w:r>
    <w:r>
      <w:tab/>
      <w:t>Schedule No. 3-B</w:t>
    </w:r>
  </w:p>
  <w:p w:rsidR="005E3343" w:rsidRDefault="005E3343" w:rsidP="00913796">
    <w:pPr>
      <w:pStyle w:val="OrderHeader"/>
    </w:pPr>
    <w:r>
      <w:t>DOCKET NO. 20220026-WU</w:t>
    </w:r>
  </w:p>
  <w:p w:rsidR="005E3343" w:rsidRDefault="005E3343" w:rsidP="0091379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26</w:t>
    </w:r>
    <w:r>
      <w:rPr>
        <w:rStyle w:val="PageNumber"/>
      </w:rPr>
      <w:fldChar w:fldCharType="end"/>
    </w:r>
  </w:p>
  <w:p w:rsidR="005E3343" w:rsidRPr="00913796" w:rsidRDefault="005E3343" w:rsidP="009137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rsidP="00913796">
    <w:pPr>
      <w:pStyle w:val="OrderHeader"/>
    </w:pPr>
    <w:r>
      <w:t xml:space="preserve">ORDER NO. </w:t>
    </w:r>
    <w:fldSimple w:instr=" REF OrderNo0435 ">
      <w:r w:rsidR="002A09EB">
        <w:t>PSC-2022-0435-PAA-WU</w:t>
      </w:r>
    </w:fldSimple>
    <w:r>
      <w:tab/>
    </w:r>
    <w:r>
      <w:tab/>
      <w:t>Schedule No. 3-C</w:t>
    </w:r>
  </w:p>
  <w:p w:rsidR="005E3343" w:rsidRDefault="005E3343" w:rsidP="00913796">
    <w:pPr>
      <w:pStyle w:val="OrderHeader"/>
    </w:pPr>
    <w:r>
      <w:t>DOCKET NO. 20220026-WU</w:t>
    </w:r>
  </w:p>
  <w:p w:rsidR="005E3343" w:rsidRDefault="005E3343" w:rsidP="0091379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27</w:t>
    </w:r>
    <w:r>
      <w:rPr>
        <w:rStyle w:val="PageNumber"/>
      </w:rPr>
      <w:fldChar w:fldCharType="end"/>
    </w:r>
  </w:p>
  <w:p w:rsidR="005E3343" w:rsidRPr="00913796" w:rsidRDefault="005E3343" w:rsidP="009137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43" w:rsidRDefault="005E3343">
    <w:pPr>
      <w:pStyle w:val="OrderHeader"/>
    </w:pPr>
    <w:r>
      <w:t xml:space="preserve">ORDER NO. </w:t>
    </w:r>
    <w:fldSimple w:instr=" REF OrderNo0435 ">
      <w:r w:rsidR="002A09EB">
        <w:t>PSC-2022-0435-PAA-WU</w:t>
      </w:r>
    </w:fldSimple>
    <w:r>
      <w:tab/>
    </w:r>
    <w:r>
      <w:tab/>
      <w:t>Schedule No. 4</w:t>
    </w:r>
  </w:p>
  <w:p w:rsidR="005E3343" w:rsidRDefault="005E3343">
    <w:pPr>
      <w:pStyle w:val="OrderHeader"/>
    </w:pPr>
    <w:r>
      <w:t>DOCKET NO. 20220026-WU</w:t>
    </w:r>
  </w:p>
  <w:p w:rsidR="005E3343" w:rsidRDefault="005E334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A09EB">
      <w:rPr>
        <w:rStyle w:val="PageNumber"/>
        <w:noProof/>
      </w:rPr>
      <w:t>28</w:t>
    </w:r>
    <w:r>
      <w:rPr>
        <w:rStyle w:val="PageNumber"/>
      </w:rPr>
      <w:fldChar w:fldCharType="end"/>
    </w:r>
  </w:p>
  <w:p w:rsidR="005E3343" w:rsidRDefault="005E3343">
    <w:pPr>
      <w:pStyle w:val="OrderHeader"/>
    </w:pPr>
  </w:p>
  <w:p w:rsidR="005E3343" w:rsidRDefault="005E33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07633"/>
    <w:multiLevelType w:val="hybridMultilevel"/>
    <w:tmpl w:val="87FAE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13B1D90"/>
    <w:multiLevelType w:val="hybridMultilevel"/>
    <w:tmpl w:val="C6A05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F12C07"/>
    <w:multiLevelType w:val="hybridMultilevel"/>
    <w:tmpl w:val="3E52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25F9E"/>
    <w:multiLevelType w:val="hybridMultilevel"/>
    <w:tmpl w:val="0F7C8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77426D7A"/>
    <w:multiLevelType w:val="hybridMultilevel"/>
    <w:tmpl w:val="36CE098E"/>
    <w:lvl w:ilvl="0" w:tplc="1D324E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5B721D"/>
    <w:multiLevelType w:val="hybridMultilevel"/>
    <w:tmpl w:val="7FDC9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73F3C"/>
    <w:multiLevelType w:val="hybridMultilevel"/>
    <w:tmpl w:val="80D62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4"/>
  </w:num>
  <w:num w:numId="17">
    <w:abstractNumId w:val="10"/>
  </w:num>
  <w:num w:numId="18">
    <w:abstractNumId w:val="1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6-WU"/>
  </w:docVars>
  <w:rsids>
    <w:rsidRoot w:val="002E320D"/>
    <w:rsid w:val="000022B8"/>
    <w:rsid w:val="00003883"/>
    <w:rsid w:val="00011251"/>
    <w:rsid w:val="00025C2A"/>
    <w:rsid w:val="00025C9D"/>
    <w:rsid w:val="000337CE"/>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66D"/>
    <w:rsid w:val="000960A2"/>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669F"/>
    <w:rsid w:val="001C2847"/>
    <w:rsid w:val="001C3BB5"/>
    <w:rsid w:val="001C3F8C"/>
    <w:rsid w:val="001C6097"/>
    <w:rsid w:val="001C64FD"/>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85D"/>
    <w:rsid w:val="00252B30"/>
    <w:rsid w:val="00255291"/>
    <w:rsid w:val="002613E4"/>
    <w:rsid w:val="00262C43"/>
    <w:rsid w:val="0026544B"/>
    <w:rsid w:val="00270F89"/>
    <w:rsid w:val="00276CDC"/>
    <w:rsid w:val="00277655"/>
    <w:rsid w:val="002776CA"/>
    <w:rsid w:val="002824B7"/>
    <w:rsid w:val="00282AC4"/>
    <w:rsid w:val="00293DC9"/>
    <w:rsid w:val="00297C37"/>
    <w:rsid w:val="002A09EB"/>
    <w:rsid w:val="002A11AC"/>
    <w:rsid w:val="002A6F30"/>
    <w:rsid w:val="002B214A"/>
    <w:rsid w:val="002B3111"/>
    <w:rsid w:val="002C118E"/>
    <w:rsid w:val="002C2096"/>
    <w:rsid w:val="002C7908"/>
    <w:rsid w:val="002D391B"/>
    <w:rsid w:val="002D4B1F"/>
    <w:rsid w:val="002D7D15"/>
    <w:rsid w:val="002E1B2E"/>
    <w:rsid w:val="002E27EB"/>
    <w:rsid w:val="002E320D"/>
    <w:rsid w:val="002E4EF4"/>
    <w:rsid w:val="002F0F1C"/>
    <w:rsid w:val="002F2A9D"/>
    <w:rsid w:val="002F31C2"/>
    <w:rsid w:val="002F7BF6"/>
    <w:rsid w:val="002F7E00"/>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7CD"/>
    <w:rsid w:val="003E711F"/>
    <w:rsid w:val="003F1D2B"/>
    <w:rsid w:val="003F49A6"/>
    <w:rsid w:val="003F518F"/>
    <w:rsid w:val="003F6BA7"/>
    <w:rsid w:val="003F7445"/>
    <w:rsid w:val="00411116"/>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580D"/>
    <w:rsid w:val="00540E6B"/>
    <w:rsid w:val="0054109E"/>
    <w:rsid w:val="0055595D"/>
    <w:rsid w:val="00556A10"/>
    <w:rsid w:val="00557F50"/>
    <w:rsid w:val="00571D3D"/>
    <w:rsid w:val="0058264B"/>
    <w:rsid w:val="00582B67"/>
    <w:rsid w:val="00586368"/>
    <w:rsid w:val="005868AA"/>
    <w:rsid w:val="00590845"/>
    <w:rsid w:val="005963C2"/>
    <w:rsid w:val="00596C2D"/>
    <w:rsid w:val="005A0D69"/>
    <w:rsid w:val="005A31F4"/>
    <w:rsid w:val="005A73EA"/>
    <w:rsid w:val="005B45F7"/>
    <w:rsid w:val="005B63EA"/>
    <w:rsid w:val="005C1A88"/>
    <w:rsid w:val="005C5033"/>
    <w:rsid w:val="005D4E1B"/>
    <w:rsid w:val="005D6F6E"/>
    <w:rsid w:val="005E3343"/>
    <w:rsid w:val="005E523F"/>
    <w:rsid w:val="005E64C4"/>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676B4"/>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0E2E"/>
    <w:rsid w:val="00703948"/>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A7A"/>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0E30"/>
    <w:rsid w:val="008278FE"/>
    <w:rsid w:val="00832598"/>
    <w:rsid w:val="0083397E"/>
    <w:rsid w:val="0083534B"/>
    <w:rsid w:val="0083703B"/>
    <w:rsid w:val="00842035"/>
    <w:rsid w:val="00842602"/>
    <w:rsid w:val="008449F0"/>
    <w:rsid w:val="00846F11"/>
    <w:rsid w:val="00847B45"/>
    <w:rsid w:val="00863A66"/>
    <w:rsid w:val="00867CA8"/>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480F"/>
    <w:rsid w:val="008E6328"/>
    <w:rsid w:val="008F578F"/>
    <w:rsid w:val="008F5D04"/>
    <w:rsid w:val="009040EE"/>
    <w:rsid w:val="009057FD"/>
    <w:rsid w:val="00906FBA"/>
    <w:rsid w:val="00913796"/>
    <w:rsid w:val="009163E8"/>
    <w:rsid w:val="00921BD3"/>
    <w:rsid w:val="009228C7"/>
    <w:rsid w:val="00922A7F"/>
    <w:rsid w:val="00923A5E"/>
    <w:rsid w:val="00924FE7"/>
    <w:rsid w:val="00926E27"/>
    <w:rsid w:val="00931C8C"/>
    <w:rsid w:val="00943D21"/>
    <w:rsid w:val="0094504B"/>
    <w:rsid w:val="00947CAB"/>
    <w:rsid w:val="00964A38"/>
    <w:rsid w:val="00966A9D"/>
    <w:rsid w:val="0096742B"/>
    <w:rsid w:val="00967C64"/>
    <w:rsid w:val="009718C5"/>
    <w:rsid w:val="00976AFF"/>
    <w:rsid w:val="00986AED"/>
    <w:rsid w:val="009924CF"/>
    <w:rsid w:val="00994100"/>
    <w:rsid w:val="009A04B7"/>
    <w:rsid w:val="009A6B17"/>
    <w:rsid w:val="009B052E"/>
    <w:rsid w:val="009B4B4D"/>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49E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6595"/>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134"/>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87BB6"/>
    <w:rsid w:val="00D967A0"/>
    <w:rsid w:val="00DA4EDD"/>
    <w:rsid w:val="00DA6B78"/>
    <w:rsid w:val="00DB122B"/>
    <w:rsid w:val="00DC1D94"/>
    <w:rsid w:val="00DC2731"/>
    <w:rsid w:val="00DC42CF"/>
    <w:rsid w:val="00DC738A"/>
    <w:rsid w:val="00DD382A"/>
    <w:rsid w:val="00DD592E"/>
    <w:rsid w:val="00DD6193"/>
    <w:rsid w:val="00DE057F"/>
    <w:rsid w:val="00DE2082"/>
    <w:rsid w:val="00DE2289"/>
    <w:rsid w:val="00DF09A7"/>
    <w:rsid w:val="00DF2B51"/>
    <w:rsid w:val="00E001D6"/>
    <w:rsid w:val="00E03A76"/>
    <w:rsid w:val="00E04410"/>
    <w:rsid w:val="00E072D4"/>
    <w:rsid w:val="00E07484"/>
    <w:rsid w:val="00E11351"/>
    <w:rsid w:val="00E177A5"/>
    <w:rsid w:val="00E25030"/>
    <w:rsid w:val="00E33F44"/>
    <w:rsid w:val="00E37D48"/>
    <w:rsid w:val="00E4225C"/>
    <w:rsid w:val="00E439E0"/>
    <w:rsid w:val="00E44879"/>
    <w:rsid w:val="00E72914"/>
    <w:rsid w:val="00E75AE0"/>
    <w:rsid w:val="00E83C1F"/>
    <w:rsid w:val="00E85684"/>
    <w:rsid w:val="00E8794B"/>
    <w:rsid w:val="00E97656"/>
    <w:rsid w:val="00EA004A"/>
    <w:rsid w:val="00EA172C"/>
    <w:rsid w:val="00EA259B"/>
    <w:rsid w:val="00EA35A3"/>
    <w:rsid w:val="00EA3E6A"/>
    <w:rsid w:val="00EA4207"/>
    <w:rsid w:val="00EB18EF"/>
    <w:rsid w:val="00EB58F4"/>
    <w:rsid w:val="00EB7951"/>
    <w:rsid w:val="00ED6A79"/>
    <w:rsid w:val="00EE17DF"/>
    <w:rsid w:val="00EF015A"/>
    <w:rsid w:val="00EF1482"/>
    <w:rsid w:val="00EF4621"/>
    <w:rsid w:val="00EF4D52"/>
    <w:rsid w:val="00EF6312"/>
    <w:rsid w:val="00F038B0"/>
    <w:rsid w:val="00F05F34"/>
    <w:rsid w:val="00F070D8"/>
    <w:rsid w:val="00F22B27"/>
    <w:rsid w:val="00F234A7"/>
    <w:rsid w:val="00F277B6"/>
    <w:rsid w:val="00F27DA5"/>
    <w:rsid w:val="00F379F0"/>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AD1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2776CA"/>
  </w:style>
  <w:style w:type="table" w:customStyle="1" w:styleId="TableGrid1">
    <w:name w:val="Table Grid1"/>
    <w:basedOn w:val="TableNormal"/>
    <w:next w:val="TableGrid"/>
    <w:uiPriority w:val="59"/>
    <w:rsid w:val="002776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137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Addresses">
    <w:name w:val="Memo Addresses"/>
    <w:basedOn w:val="Normal"/>
    <w:next w:val="Normal"/>
    <w:rsid w:val="00913796"/>
    <w:pPr>
      <w:spacing w:before="120"/>
      <w:ind w:left="1008" w:hanging="1008"/>
      <w:jc w:val="both"/>
    </w:pPr>
  </w:style>
  <w:style w:type="paragraph" w:customStyle="1" w:styleId="MastHeadPSC">
    <w:name w:val="MastHead PSC"/>
    <w:basedOn w:val="Normal"/>
    <w:next w:val="Normal"/>
    <w:rsid w:val="00913796"/>
    <w:pPr>
      <w:jc w:val="center"/>
    </w:pPr>
    <w:rPr>
      <w:b/>
      <w:sz w:val="48"/>
      <w:szCs w:val="48"/>
    </w:rPr>
  </w:style>
  <w:style w:type="paragraph" w:customStyle="1" w:styleId="MastHeadMemorandum">
    <w:name w:val="MastHead Memorandum"/>
    <w:basedOn w:val="Normal"/>
    <w:next w:val="Normal"/>
    <w:rsid w:val="00913796"/>
    <w:pPr>
      <w:jc w:val="center"/>
    </w:pPr>
    <w:rPr>
      <w:b/>
      <w:sz w:val="28"/>
      <w:szCs w:val="28"/>
    </w:rPr>
  </w:style>
  <w:style w:type="paragraph" w:customStyle="1" w:styleId="MastHeadAddress">
    <w:name w:val="MastHead Address"/>
    <w:basedOn w:val="Normal"/>
    <w:next w:val="Normal"/>
    <w:rsid w:val="00913796"/>
    <w:pPr>
      <w:spacing w:after="200"/>
      <w:jc w:val="center"/>
    </w:pPr>
    <w:rPr>
      <w:b/>
      <w:smallCaps/>
      <w:sz w:val="20"/>
      <w:szCs w:val="20"/>
    </w:rPr>
  </w:style>
  <w:style w:type="paragraph" w:customStyle="1" w:styleId="MastHeadState">
    <w:name w:val="MastHead State"/>
    <w:basedOn w:val="Normal"/>
    <w:next w:val="Normal"/>
    <w:rsid w:val="00913796"/>
    <w:pPr>
      <w:jc w:val="center"/>
    </w:pPr>
    <w:rPr>
      <w:b/>
      <w:sz w:val="28"/>
      <w:szCs w:val="28"/>
    </w:rPr>
  </w:style>
  <w:style w:type="paragraph" w:customStyle="1" w:styleId="MemoHeading">
    <w:name w:val="Memo Heading"/>
    <w:basedOn w:val="Normal"/>
    <w:next w:val="Normal"/>
    <w:rsid w:val="00913796"/>
    <w:pPr>
      <w:jc w:val="both"/>
    </w:pPr>
  </w:style>
  <w:style w:type="paragraph" w:customStyle="1" w:styleId="BlockText5">
    <w:name w:val="Block Text .5&quot;"/>
    <w:basedOn w:val="Normal"/>
    <w:rsid w:val="00913796"/>
    <w:pPr>
      <w:spacing w:after="120"/>
      <w:ind w:left="720" w:right="720"/>
    </w:pPr>
  </w:style>
  <w:style w:type="paragraph" w:customStyle="1" w:styleId="BlockText1">
    <w:name w:val="Block Text 1&quot;"/>
    <w:basedOn w:val="Normal"/>
    <w:rsid w:val="00913796"/>
    <w:pPr>
      <w:spacing w:after="120"/>
      <w:ind w:left="1440" w:right="1440"/>
    </w:pPr>
  </w:style>
  <w:style w:type="paragraph" w:customStyle="1" w:styleId="BlockText15">
    <w:name w:val="Block Text 1.5&quot;"/>
    <w:basedOn w:val="Normal"/>
    <w:rsid w:val="00913796"/>
    <w:pPr>
      <w:spacing w:after="120"/>
      <w:ind w:left="2160" w:right="2160"/>
    </w:pPr>
  </w:style>
  <w:style w:type="paragraph" w:customStyle="1" w:styleId="IssueHeading">
    <w:name w:val="Issue Heading"/>
    <w:basedOn w:val="Heading1"/>
    <w:next w:val="BodyText"/>
    <w:link w:val="IssueHeadingChar"/>
    <w:qFormat/>
    <w:rsid w:val="00913796"/>
    <w:pPr>
      <w:keepNext w:val="0"/>
    </w:pPr>
    <w:rPr>
      <w:rFonts w:ascii="Arial" w:hAnsi="Arial"/>
      <w:b/>
      <w:i/>
    </w:rPr>
  </w:style>
  <w:style w:type="character" w:customStyle="1" w:styleId="IssueHeadingChar">
    <w:name w:val="Issue Heading Char"/>
    <w:link w:val="IssueHeading"/>
    <w:rsid w:val="00913796"/>
    <w:rPr>
      <w:rFonts w:ascii="Arial" w:hAnsi="Arial" w:cs="Arial"/>
      <w:b/>
      <w:bCs/>
      <w:i/>
      <w:kern w:val="32"/>
      <w:sz w:val="24"/>
      <w:szCs w:val="32"/>
    </w:rPr>
  </w:style>
  <w:style w:type="paragraph" w:customStyle="1" w:styleId="MemoHeadingRe">
    <w:name w:val="Memo Heading Re"/>
    <w:basedOn w:val="MemoHeading"/>
    <w:rsid w:val="00913796"/>
    <w:pPr>
      <w:tabs>
        <w:tab w:val="left" w:pos="2520"/>
        <w:tab w:val="left" w:pos="2736"/>
      </w:tabs>
    </w:pPr>
  </w:style>
  <w:style w:type="paragraph" w:styleId="TOC1">
    <w:name w:val="toc 1"/>
    <w:basedOn w:val="Normal"/>
    <w:next w:val="Normal"/>
    <w:uiPriority w:val="39"/>
    <w:rsid w:val="00913796"/>
    <w:pPr>
      <w:tabs>
        <w:tab w:val="left" w:pos="864"/>
        <w:tab w:val="right" w:leader="dot" w:pos="9360"/>
      </w:tabs>
      <w:ind w:left="864" w:right="360" w:hanging="864"/>
    </w:pPr>
  </w:style>
  <w:style w:type="character" w:styleId="Hyperlink">
    <w:name w:val="Hyperlink"/>
    <w:uiPriority w:val="99"/>
    <w:rsid w:val="00913796"/>
    <w:rPr>
      <w:color w:val="0000FF"/>
      <w:u w:val="single"/>
    </w:rPr>
  </w:style>
  <w:style w:type="paragraph" w:customStyle="1" w:styleId="RecommendationMajorSectionHeading">
    <w:name w:val="Recommendation Major Section Heading"/>
    <w:basedOn w:val="Heading1"/>
    <w:next w:val="BodyText"/>
    <w:rsid w:val="00913796"/>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13796"/>
    <w:pPr>
      <w:keepNext w:val="0"/>
    </w:pPr>
    <w:rPr>
      <w:rFonts w:ascii="Arial" w:hAnsi="Arial"/>
      <w:b/>
      <w:i/>
    </w:rPr>
  </w:style>
  <w:style w:type="character" w:customStyle="1" w:styleId="IssueSubsectionHeadingChar">
    <w:name w:val="Issue Subsection Heading Char"/>
    <w:link w:val="IssueSubsectionHeading"/>
    <w:rsid w:val="00913796"/>
    <w:rPr>
      <w:rFonts w:ascii="Arial" w:hAnsi="Arial" w:cs="Arial"/>
      <w:b/>
      <w:bCs/>
      <w:i/>
      <w:iCs/>
      <w:sz w:val="24"/>
      <w:szCs w:val="28"/>
    </w:rPr>
  </w:style>
  <w:style w:type="paragraph" w:customStyle="1" w:styleId="RecommendationHeading">
    <w:name w:val="Recommendation Heading"/>
    <w:basedOn w:val="Heading1"/>
    <w:next w:val="BodyText"/>
    <w:rsid w:val="00913796"/>
    <w:pPr>
      <w:keepNext w:val="0"/>
      <w:jc w:val="center"/>
    </w:pPr>
    <w:rPr>
      <w:b/>
      <w:u w:val="single"/>
    </w:rPr>
  </w:style>
  <w:style w:type="paragraph" w:customStyle="1" w:styleId="DiscussionofIssues">
    <w:name w:val="Discussion of Issues"/>
    <w:basedOn w:val="RecommendationMajorSectionHeading"/>
    <w:next w:val="BodyText"/>
    <w:rsid w:val="00913796"/>
    <w:pPr>
      <w:spacing w:after="0"/>
    </w:pPr>
  </w:style>
  <w:style w:type="paragraph" w:customStyle="1" w:styleId="TOCColumnHeadings">
    <w:name w:val="TOC Column Headings"/>
    <w:basedOn w:val="Normal"/>
    <w:rsid w:val="00913796"/>
    <w:pPr>
      <w:tabs>
        <w:tab w:val="left" w:pos="864"/>
        <w:tab w:val="right" w:pos="9360"/>
      </w:tabs>
    </w:pPr>
    <w:rPr>
      <w:rFonts w:ascii="Arial" w:hAnsi="Arial"/>
      <w:b/>
      <w:i/>
    </w:rPr>
  </w:style>
  <w:style w:type="table" w:customStyle="1" w:styleId="TableMasthead">
    <w:name w:val="Table Masthead"/>
    <w:basedOn w:val="TableGrid"/>
    <w:rsid w:val="00913796"/>
    <w:tblPr/>
  </w:style>
  <w:style w:type="paragraph" w:customStyle="1" w:styleId="StyleHeading1BoldUnderline">
    <w:name w:val="Style Heading 1 + Bold Underline"/>
    <w:basedOn w:val="Heading1"/>
    <w:link w:val="StyleHeading1BoldUnderlineChar"/>
    <w:rsid w:val="00913796"/>
    <w:pPr>
      <w:keepNext w:val="0"/>
      <w:spacing w:before="240"/>
    </w:pPr>
    <w:rPr>
      <w:b/>
      <w:u w:val="single"/>
    </w:rPr>
  </w:style>
  <w:style w:type="character" w:customStyle="1" w:styleId="StyleHeading1BoldUnderlineChar">
    <w:name w:val="Style Heading 1 + Bold Underline Char"/>
    <w:link w:val="StyleHeading1BoldUnderline"/>
    <w:rsid w:val="00913796"/>
    <w:rPr>
      <w:rFonts w:cs="Arial"/>
      <w:b/>
      <w:bCs/>
      <w:kern w:val="32"/>
      <w:sz w:val="24"/>
      <w:szCs w:val="32"/>
      <w:u w:val="single"/>
    </w:rPr>
  </w:style>
  <w:style w:type="paragraph" w:customStyle="1" w:styleId="RecommendationIssueGroupingSection">
    <w:name w:val="Recommendation Issue Grouping Section"/>
    <w:basedOn w:val="RecommendationMajorSectionHeading"/>
    <w:next w:val="IssueHeading"/>
    <w:rsid w:val="00913796"/>
    <w:pPr>
      <w:jc w:val="left"/>
    </w:pPr>
  </w:style>
  <w:style w:type="paragraph" w:styleId="TOC3">
    <w:name w:val="toc 3"/>
    <w:basedOn w:val="TOC2"/>
    <w:next w:val="Normal"/>
    <w:rsid w:val="00913796"/>
    <w:pPr>
      <w:tabs>
        <w:tab w:val="clear" w:pos="1152"/>
        <w:tab w:val="left" w:pos="1584"/>
      </w:tabs>
      <w:ind w:left="1584" w:hanging="432"/>
    </w:pPr>
  </w:style>
  <w:style w:type="paragraph" w:styleId="TOC2">
    <w:name w:val="toc 2"/>
    <w:basedOn w:val="TOC1"/>
    <w:next w:val="Normal"/>
    <w:rsid w:val="00913796"/>
    <w:pPr>
      <w:tabs>
        <w:tab w:val="clear" w:pos="864"/>
        <w:tab w:val="left" w:pos="1152"/>
      </w:tabs>
      <w:ind w:left="1152" w:hanging="288"/>
    </w:pPr>
  </w:style>
  <w:style w:type="paragraph" w:styleId="DocumentMap">
    <w:name w:val="Document Map"/>
    <w:basedOn w:val="Normal"/>
    <w:link w:val="DocumentMapChar"/>
    <w:semiHidden/>
    <w:rsid w:val="00913796"/>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3796"/>
    <w:rPr>
      <w:rFonts w:ascii="Tahoma" w:hAnsi="Tahoma" w:cs="Tahoma"/>
      <w:sz w:val="24"/>
      <w:szCs w:val="24"/>
      <w:shd w:val="clear" w:color="auto" w:fill="000080"/>
    </w:rPr>
  </w:style>
  <w:style w:type="paragraph" w:styleId="BalloonText">
    <w:name w:val="Balloon Text"/>
    <w:basedOn w:val="Normal"/>
    <w:link w:val="BalloonTextChar"/>
    <w:semiHidden/>
    <w:rsid w:val="00913796"/>
    <w:rPr>
      <w:rFonts w:ascii="Tahoma" w:hAnsi="Tahoma" w:cs="Tahoma"/>
      <w:sz w:val="16"/>
      <w:szCs w:val="16"/>
    </w:rPr>
  </w:style>
  <w:style w:type="character" w:customStyle="1" w:styleId="BalloonTextChar">
    <w:name w:val="Balloon Text Char"/>
    <w:basedOn w:val="DefaultParagraphFont"/>
    <w:link w:val="BalloonText"/>
    <w:semiHidden/>
    <w:rsid w:val="00913796"/>
    <w:rPr>
      <w:rFonts w:ascii="Tahoma" w:hAnsi="Tahoma" w:cs="Tahoma"/>
      <w:sz w:val="16"/>
      <w:szCs w:val="16"/>
    </w:rPr>
  </w:style>
  <w:style w:type="paragraph" w:styleId="BlockText">
    <w:name w:val="Block Text"/>
    <w:basedOn w:val="Normal"/>
    <w:rsid w:val="00913796"/>
    <w:pPr>
      <w:spacing w:after="120"/>
      <w:ind w:left="1440" w:right="1440"/>
    </w:pPr>
  </w:style>
  <w:style w:type="paragraph" w:styleId="BodyText2">
    <w:name w:val="Body Text 2"/>
    <w:basedOn w:val="Normal"/>
    <w:link w:val="BodyText2Char"/>
    <w:rsid w:val="00913796"/>
    <w:pPr>
      <w:spacing w:after="120" w:line="480" w:lineRule="auto"/>
    </w:pPr>
  </w:style>
  <w:style w:type="character" w:customStyle="1" w:styleId="BodyText2Char">
    <w:name w:val="Body Text 2 Char"/>
    <w:basedOn w:val="DefaultParagraphFont"/>
    <w:link w:val="BodyText2"/>
    <w:rsid w:val="00913796"/>
    <w:rPr>
      <w:sz w:val="24"/>
      <w:szCs w:val="24"/>
    </w:rPr>
  </w:style>
  <w:style w:type="paragraph" w:styleId="BodyText3">
    <w:name w:val="Body Text 3"/>
    <w:basedOn w:val="Normal"/>
    <w:link w:val="BodyText3Char"/>
    <w:rsid w:val="00913796"/>
    <w:pPr>
      <w:spacing w:after="120"/>
    </w:pPr>
    <w:rPr>
      <w:sz w:val="16"/>
      <w:szCs w:val="16"/>
    </w:rPr>
  </w:style>
  <w:style w:type="character" w:customStyle="1" w:styleId="BodyText3Char">
    <w:name w:val="Body Text 3 Char"/>
    <w:basedOn w:val="DefaultParagraphFont"/>
    <w:link w:val="BodyText3"/>
    <w:rsid w:val="00913796"/>
    <w:rPr>
      <w:sz w:val="16"/>
      <w:szCs w:val="16"/>
    </w:rPr>
  </w:style>
  <w:style w:type="paragraph" w:styleId="BodyTextFirstIndent">
    <w:name w:val="Body Text First Indent"/>
    <w:basedOn w:val="BodyText"/>
    <w:link w:val="BodyTextFirstIndentChar"/>
    <w:rsid w:val="00913796"/>
    <w:pPr>
      <w:ind w:firstLine="210"/>
    </w:pPr>
  </w:style>
  <w:style w:type="character" w:customStyle="1" w:styleId="BodyTextFirstIndentChar">
    <w:name w:val="Body Text First Indent Char"/>
    <w:basedOn w:val="BodyTextChar"/>
    <w:link w:val="BodyTextFirstIndent"/>
    <w:rsid w:val="00913796"/>
    <w:rPr>
      <w:sz w:val="24"/>
      <w:szCs w:val="24"/>
    </w:rPr>
  </w:style>
  <w:style w:type="paragraph" w:styleId="BodyTextIndent">
    <w:name w:val="Body Text Indent"/>
    <w:basedOn w:val="Normal"/>
    <w:link w:val="BodyTextIndentChar"/>
    <w:rsid w:val="00913796"/>
    <w:pPr>
      <w:spacing w:after="120"/>
      <w:ind w:left="360"/>
    </w:pPr>
  </w:style>
  <w:style w:type="character" w:customStyle="1" w:styleId="BodyTextIndentChar">
    <w:name w:val="Body Text Indent Char"/>
    <w:basedOn w:val="DefaultParagraphFont"/>
    <w:link w:val="BodyTextIndent"/>
    <w:rsid w:val="00913796"/>
    <w:rPr>
      <w:sz w:val="24"/>
      <w:szCs w:val="24"/>
    </w:rPr>
  </w:style>
  <w:style w:type="paragraph" w:styleId="BodyTextFirstIndent2">
    <w:name w:val="Body Text First Indent 2"/>
    <w:basedOn w:val="BodyTextIndent"/>
    <w:link w:val="BodyTextFirstIndent2Char"/>
    <w:rsid w:val="00913796"/>
    <w:pPr>
      <w:ind w:firstLine="210"/>
    </w:pPr>
  </w:style>
  <w:style w:type="character" w:customStyle="1" w:styleId="BodyTextFirstIndent2Char">
    <w:name w:val="Body Text First Indent 2 Char"/>
    <w:basedOn w:val="BodyTextIndentChar"/>
    <w:link w:val="BodyTextFirstIndent2"/>
    <w:rsid w:val="00913796"/>
    <w:rPr>
      <w:sz w:val="24"/>
      <w:szCs w:val="24"/>
    </w:rPr>
  </w:style>
  <w:style w:type="paragraph" w:styleId="BodyTextIndent2">
    <w:name w:val="Body Text Indent 2"/>
    <w:basedOn w:val="Normal"/>
    <w:link w:val="BodyTextIndent2Char"/>
    <w:rsid w:val="00913796"/>
    <w:pPr>
      <w:spacing w:after="120" w:line="480" w:lineRule="auto"/>
      <w:ind w:left="360"/>
    </w:pPr>
  </w:style>
  <w:style w:type="character" w:customStyle="1" w:styleId="BodyTextIndent2Char">
    <w:name w:val="Body Text Indent 2 Char"/>
    <w:basedOn w:val="DefaultParagraphFont"/>
    <w:link w:val="BodyTextIndent2"/>
    <w:rsid w:val="00913796"/>
    <w:rPr>
      <w:sz w:val="24"/>
      <w:szCs w:val="24"/>
    </w:rPr>
  </w:style>
  <w:style w:type="paragraph" w:styleId="BodyTextIndent3">
    <w:name w:val="Body Text Indent 3"/>
    <w:basedOn w:val="Normal"/>
    <w:link w:val="BodyTextIndent3Char"/>
    <w:rsid w:val="00913796"/>
    <w:pPr>
      <w:spacing w:after="120"/>
      <w:ind w:left="360"/>
    </w:pPr>
    <w:rPr>
      <w:sz w:val="16"/>
      <w:szCs w:val="16"/>
    </w:rPr>
  </w:style>
  <w:style w:type="character" w:customStyle="1" w:styleId="BodyTextIndent3Char">
    <w:name w:val="Body Text Indent 3 Char"/>
    <w:basedOn w:val="DefaultParagraphFont"/>
    <w:link w:val="BodyTextIndent3"/>
    <w:rsid w:val="00913796"/>
    <w:rPr>
      <w:sz w:val="16"/>
      <w:szCs w:val="16"/>
    </w:rPr>
  </w:style>
  <w:style w:type="paragraph" w:styleId="Caption">
    <w:name w:val="caption"/>
    <w:basedOn w:val="Normal"/>
    <w:next w:val="Normal"/>
    <w:qFormat/>
    <w:rsid w:val="00913796"/>
    <w:pPr>
      <w:spacing w:before="120" w:after="120"/>
    </w:pPr>
    <w:rPr>
      <w:b/>
      <w:bCs/>
      <w:sz w:val="20"/>
      <w:szCs w:val="20"/>
    </w:rPr>
  </w:style>
  <w:style w:type="paragraph" w:styleId="Closing">
    <w:name w:val="Closing"/>
    <w:basedOn w:val="Normal"/>
    <w:link w:val="ClosingChar"/>
    <w:rsid w:val="00913796"/>
    <w:pPr>
      <w:ind w:left="4320"/>
    </w:pPr>
  </w:style>
  <w:style w:type="character" w:customStyle="1" w:styleId="ClosingChar">
    <w:name w:val="Closing Char"/>
    <w:basedOn w:val="DefaultParagraphFont"/>
    <w:link w:val="Closing"/>
    <w:rsid w:val="00913796"/>
    <w:rPr>
      <w:sz w:val="24"/>
      <w:szCs w:val="24"/>
    </w:rPr>
  </w:style>
  <w:style w:type="paragraph" w:styleId="CommentText">
    <w:name w:val="annotation text"/>
    <w:basedOn w:val="Normal"/>
    <w:link w:val="CommentTextChar"/>
    <w:semiHidden/>
    <w:rsid w:val="00913796"/>
    <w:rPr>
      <w:sz w:val="20"/>
      <w:szCs w:val="20"/>
    </w:rPr>
  </w:style>
  <w:style w:type="character" w:customStyle="1" w:styleId="CommentTextChar">
    <w:name w:val="Comment Text Char"/>
    <w:basedOn w:val="DefaultParagraphFont"/>
    <w:link w:val="CommentText"/>
    <w:semiHidden/>
    <w:rsid w:val="00913796"/>
  </w:style>
  <w:style w:type="paragraph" w:styleId="CommentSubject">
    <w:name w:val="annotation subject"/>
    <w:basedOn w:val="CommentText"/>
    <w:next w:val="CommentText"/>
    <w:link w:val="CommentSubjectChar"/>
    <w:semiHidden/>
    <w:rsid w:val="00913796"/>
    <w:rPr>
      <w:b/>
      <w:bCs/>
    </w:rPr>
  </w:style>
  <w:style w:type="character" w:customStyle="1" w:styleId="CommentSubjectChar">
    <w:name w:val="Comment Subject Char"/>
    <w:basedOn w:val="CommentTextChar"/>
    <w:link w:val="CommentSubject"/>
    <w:semiHidden/>
    <w:rsid w:val="00913796"/>
    <w:rPr>
      <w:b/>
      <w:bCs/>
    </w:rPr>
  </w:style>
  <w:style w:type="paragraph" w:styleId="Date">
    <w:name w:val="Date"/>
    <w:basedOn w:val="Normal"/>
    <w:next w:val="Normal"/>
    <w:link w:val="DateChar"/>
    <w:rsid w:val="00913796"/>
  </w:style>
  <w:style w:type="character" w:customStyle="1" w:styleId="DateChar">
    <w:name w:val="Date Char"/>
    <w:basedOn w:val="DefaultParagraphFont"/>
    <w:link w:val="Date"/>
    <w:rsid w:val="00913796"/>
    <w:rPr>
      <w:sz w:val="24"/>
      <w:szCs w:val="24"/>
    </w:rPr>
  </w:style>
  <w:style w:type="paragraph" w:styleId="E-mailSignature">
    <w:name w:val="E-mail Signature"/>
    <w:basedOn w:val="Normal"/>
    <w:link w:val="E-mailSignatureChar"/>
    <w:rsid w:val="00913796"/>
  </w:style>
  <w:style w:type="character" w:customStyle="1" w:styleId="E-mailSignatureChar">
    <w:name w:val="E-mail Signature Char"/>
    <w:basedOn w:val="DefaultParagraphFont"/>
    <w:link w:val="E-mailSignature"/>
    <w:rsid w:val="00913796"/>
    <w:rPr>
      <w:sz w:val="24"/>
      <w:szCs w:val="24"/>
    </w:rPr>
  </w:style>
  <w:style w:type="paragraph" w:styleId="EndnoteText">
    <w:name w:val="endnote text"/>
    <w:basedOn w:val="Normal"/>
    <w:link w:val="EndnoteTextChar"/>
    <w:semiHidden/>
    <w:rsid w:val="00913796"/>
    <w:rPr>
      <w:sz w:val="20"/>
      <w:szCs w:val="20"/>
    </w:rPr>
  </w:style>
  <w:style w:type="character" w:customStyle="1" w:styleId="EndnoteTextChar">
    <w:name w:val="Endnote Text Char"/>
    <w:basedOn w:val="DefaultParagraphFont"/>
    <w:link w:val="EndnoteText"/>
    <w:semiHidden/>
    <w:rsid w:val="00913796"/>
  </w:style>
  <w:style w:type="paragraph" w:styleId="EnvelopeAddress">
    <w:name w:val="envelope address"/>
    <w:basedOn w:val="Normal"/>
    <w:rsid w:val="0091379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3796"/>
    <w:rPr>
      <w:rFonts w:ascii="Arial" w:hAnsi="Arial" w:cs="Arial"/>
      <w:sz w:val="20"/>
      <w:szCs w:val="20"/>
    </w:rPr>
  </w:style>
  <w:style w:type="paragraph" w:styleId="HTMLAddress">
    <w:name w:val="HTML Address"/>
    <w:basedOn w:val="Normal"/>
    <w:link w:val="HTMLAddressChar"/>
    <w:rsid w:val="00913796"/>
    <w:rPr>
      <w:i/>
      <w:iCs/>
    </w:rPr>
  </w:style>
  <w:style w:type="character" w:customStyle="1" w:styleId="HTMLAddressChar">
    <w:name w:val="HTML Address Char"/>
    <w:basedOn w:val="DefaultParagraphFont"/>
    <w:link w:val="HTMLAddress"/>
    <w:rsid w:val="00913796"/>
    <w:rPr>
      <w:i/>
      <w:iCs/>
      <w:sz w:val="24"/>
      <w:szCs w:val="24"/>
    </w:rPr>
  </w:style>
  <w:style w:type="paragraph" w:styleId="HTMLPreformatted">
    <w:name w:val="HTML Preformatted"/>
    <w:basedOn w:val="Normal"/>
    <w:link w:val="HTMLPreformattedChar"/>
    <w:rsid w:val="00913796"/>
    <w:rPr>
      <w:rFonts w:ascii="Courier New" w:hAnsi="Courier New" w:cs="Courier New"/>
      <w:sz w:val="20"/>
      <w:szCs w:val="20"/>
    </w:rPr>
  </w:style>
  <w:style w:type="character" w:customStyle="1" w:styleId="HTMLPreformattedChar">
    <w:name w:val="HTML Preformatted Char"/>
    <w:basedOn w:val="DefaultParagraphFont"/>
    <w:link w:val="HTMLPreformatted"/>
    <w:rsid w:val="00913796"/>
    <w:rPr>
      <w:rFonts w:ascii="Courier New" w:hAnsi="Courier New" w:cs="Courier New"/>
    </w:rPr>
  </w:style>
  <w:style w:type="paragraph" w:styleId="Index1">
    <w:name w:val="index 1"/>
    <w:basedOn w:val="Normal"/>
    <w:next w:val="Normal"/>
    <w:autoRedefine/>
    <w:semiHidden/>
    <w:rsid w:val="00913796"/>
    <w:pPr>
      <w:ind w:left="240" w:hanging="240"/>
    </w:pPr>
  </w:style>
  <w:style w:type="paragraph" w:styleId="Index2">
    <w:name w:val="index 2"/>
    <w:basedOn w:val="Normal"/>
    <w:next w:val="Normal"/>
    <w:autoRedefine/>
    <w:semiHidden/>
    <w:rsid w:val="00913796"/>
    <w:pPr>
      <w:ind w:left="480" w:hanging="240"/>
    </w:pPr>
  </w:style>
  <w:style w:type="paragraph" w:styleId="Index3">
    <w:name w:val="index 3"/>
    <w:basedOn w:val="Normal"/>
    <w:next w:val="Normal"/>
    <w:autoRedefine/>
    <w:semiHidden/>
    <w:rsid w:val="00913796"/>
    <w:pPr>
      <w:ind w:left="720" w:hanging="240"/>
    </w:pPr>
  </w:style>
  <w:style w:type="paragraph" w:styleId="Index4">
    <w:name w:val="index 4"/>
    <w:basedOn w:val="Normal"/>
    <w:next w:val="Normal"/>
    <w:autoRedefine/>
    <w:semiHidden/>
    <w:rsid w:val="00913796"/>
    <w:pPr>
      <w:ind w:left="960" w:hanging="240"/>
    </w:pPr>
  </w:style>
  <w:style w:type="paragraph" w:styleId="Index5">
    <w:name w:val="index 5"/>
    <w:basedOn w:val="Normal"/>
    <w:next w:val="Normal"/>
    <w:autoRedefine/>
    <w:semiHidden/>
    <w:rsid w:val="00913796"/>
    <w:pPr>
      <w:ind w:left="1200" w:hanging="240"/>
    </w:pPr>
  </w:style>
  <w:style w:type="paragraph" w:styleId="Index6">
    <w:name w:val="index 6"/>
    <w:basedOn w:val="Normal"/>
    <w:next w:val="Normal"/>
    <w:autoRedefine/>
    <w:semiHidden/>
    <w:rsid w:val="00913796"/>
    <w:pPr>
      <w:ind w:left="1440" w:hanging="240"/>
    </w:pPr>
  </w:style>
  <w:style w:type="paragraph" w:styleId="Index7">
    <w:name w:val="index 7"/>
    <w:basedOn w:val="Normal"/>
    <w:next w:val="Normal"/>
    <w:autoRedefine/>
    <w:semiHidden/>
    <w:rsid w:val="00913796"/>
    <w:pPr>
      <w:ind w:left="1680" w:hanging="240"/>
    </w:pPr>
  </w:style>
  <w:style w:type="paragraph" w:styleId="Index8">
    <w:name w:val="index 8"/>
    <w:basedOn w:val="Normal"/>
    <w:next w:val="Normal"/>
    <w:autoRedefine/>
    <w:semiHidden/>
    <w:rsid w:val="00913796"/>
    <w:pPr>
      <w:ind w:left="1920" w:hanging="240"/>
    </w:pPr>
  </w:style>
  <w:style w:type="paragraph" w:styleId="Index9">
    <w:name w:val="index 9"/>
    <w:basedOn w:val="Normal"/>
    <w:next w:val="Normal"/>
    <w:autoRedefine/>
    <w:semiHidden/>
    <w:rsid w:val="00913796"/>
    <w:pPr>
      <w:ind w:left="2160" w:hanging="240"/>
    </w:pPr>
  </w:style>
  <w:style w:type="paragraph" w:styleId="IndexHeading">
    <w:name w:val="index heading"/>
    <w:basedOn w:val="Normal"/>
    <w:next w:val="Index1"/>
    <w:semiHidden/>
    <w:rsid w:val="00913796"/>
    <w:rPr>
      <w:rFonts w:ascii="Arial" w:hAnsi="Arial" w:cs="Arial"/>
      <w:b/>
      <w:bCs/>
    </w:rPr>
  </w:style>
  <w:style w:type="paragraph" w:styleId="List">
    <w:name w:val="List"/>
    <w:basedOn w:val="Normal"/>
    <w:rsid w:val="00913796"/>
    <w:pPr>
      <w:ind w:left="360" w:hanging="360"/>
    </w:pPr>
  </w:style>
  <w:style w:type="paragraph" w:styleId="List2">
    <w:name w:val="List 2"/>
    <w:basedOn w:val="Normal"/>
    <w:rsid w:val="00913796"/>
    <w:pPr>
      <w:ind w:left="720" w:hanging="360"/>
    </w:pPr>
  </w:style>
  <w:style w:type="paragraph" w:styleId="List3">
    <w:name w:val="List 3"/>
    <w:basedOn w:val="Normal"/>
    <w:rsid w:val="00913796"/>
    <w:pPr>
      <w:ind w:left="1080" w:hanging="360"/>
    </w:pPr>
  </w:style>
  <w:style w:type="paragraph" w:styleId="List4">
    <w:name w:val="List 4"/>
    <w:basedOn w:val="Normal"/>
    <w:rsid w:val="00913796"/>
    <w:pPr>
      <w:ind w:left="1440" w:hanging="360"/>
    </w:pPr>
  </w:style>
  <w:style w:type="paragraph" w:styleId="List5">
    <w:name w:val="List 5"/>
    <w:basedOn w:val="Normal"/>
    <w:rsid w:val="00913796"/>
    <w:pPr>
      <w:ind w:left="1800" w:hanging="360"/>
    </w:pPr>
  </w:style>
  <w:style w:type="paragraph" w:styleId="ListBullet">
    <w:name w:val="List Bullet"/>
    <w:basedOn w:val="Normal"/>
    <w:autoRedefine/>
    <w:rsid w:val="00913796"/>
    <w:pPr>
      <w:tabs>
        <w:tab w:val="num" w:pos="360"/>
      </w:tabs>
      <w:ind w:left="360" w:hanging="360"/>
    </w:pPr>
  </w:style>
  <w:style w:type="paragraph" w:styleId="ListBullet2">
    <w:name w:val="List Bullet 2"/>
    <w:basedOn w:val="Normal"/>
    <w:autoRedefine/>
    <w:rsid w:val="00913796"/>
    <w:pPr>
      <w:tabs>
        <w:tab w:val="num" w:pos="720"/>
      </w:tabs>
      <w:ind w:left="720" w:hanging="360"/>
    </w:pPr>
  </w:style>
  <w:style w:type="paragraph" w:styleId="ListBullet3">
    <w:name w:val="List Bullet 3"/>
    <w:basedOn w:val="Normal"/>
    <w:autoRedefine/>
    <w:rsid w:val="00913796"/>
    <w:pPr>
      <w:tabs>
        <w:tab w:val="num" w:pos="1080"/>
      </w:tabs>
      <w:ind w:left="1080" w:hanging="360"/>
    </w:pPr>
  </w:style>
  <w:style w:type="paragraph" w:styleId="ListBullet4">
    <w:name w:val="List Bullet 4"/>
    <w:basedOn w:val="Normal"/>
    <w:autoRedefine/>
    <w:rsid w:val="00913796"/>
    <w:pPr>
      <w:tabs>
        <w:tab w:val="num" w:pos="1440"/>
      </w:tabs>
      <w:ind w:left="1440" w:hanging="360"/>
    </w:pPr>
  </w:style>
  <w:style w:type="paragraph" w:styleId="ListBullet5">
    <w:name w:val="List Bullet 5"/>
    <w:basedOn w:val="Normal"/>
    <w:autoRedefine/>
    <w:rsid w:val="00913796"/>
    <w:pPr>
      <w:tabs>
        <w:tab w:val="num" w:pos="1800"/>
      </w:tabs>
      <w:ind w:left="1800" w:hanging="360"/>
    </w:pPr>
  </w:style>
  <w:style w:type="paragraph" w:styleId="ListContinue">
    <w:name w:val="List Continue"/>
    <w:basedOn w:val="Normal"/>
    <w:rsid w:val="00913796"/>
    <w:pPr>
      <w:spacing w:after="120"/>
      <w:ind w:left="360"/>
    </w:pPr>
  </w:style>
  <w:style w:type="paragraph" w:styleId="ListContinue2">
    <w:name w:val="List Continue 2"/>
    <w:basedOn w:val="Normal"/>
    <w:rsid w:val="00913796"/>
    <w:pPr>
      <w:spacing w:after="120"/>
      <w:ind w:left="720"/>
    </w:pPr>
  </w:style>
  <w:style w:type="paragraph" w:styleId="ListContinue3">
    <w:name w:val="List Continue 3"/>
    <w:basedOn w:val="Normal"/>
    <w:rsid w:val="00913796"/>
    <w:pPr>
      <w:spacing w:after="120"/>
      <w:ind w:left="1080"/>
    </w:pPr>
  </w:style>
  <w:style w:type="paragraph" w:styleId="ListContinue4">
    <w:name w:val="List Continue 4"/>
    <w:basedOn w:val="Normal"/>
    <w:rsid w:val="00913796"/>
    <w:pPr>
      <w:spacing w:after="120"/>
      <w:ind w:left="1440"/>
    </w:pPr>
  </w:style>
  <w:style w:type="paragraph" w:styleId="ListContinue5">
    <w:name w:val="List Continue 5"/>
    <w:basedOn w:val="Normal"/>
    <w:rsid w:val="00913796"/>
    <w:pPr>
      <w:spacing w:after="120"/>
      <w:ind w:left="1800"/>
    </w:pPr>
  </w:style>
  <w:style w:type="paragraph" w:styleId="ListNumber">
    <w:name w:val="List Number"/>
    <w:basedOn w:val="Normal"/>
    <w:rsid w:val="00913796"/>
    <w:pPr>
      <w:tabs>
        <w:tab w:val="num" w:pos="360"/>
      </w:tabs>
      <w:ind w:left="360" w:hanging="360"/>
    </w:pPr>
  </w:style>
  <w:style w:type="paragraph" w:styleId="ListNumber2">
    <w:name w:val="List Number 2"/>
    <w:basedOn w:val="Normal"/>
    <w:rsid w:val="00913796"/>
    <w:pPr>
      <w:tabs>
        <w:tab w:val="num" w:pos="720"/>
      </w:tabs>
      <w:ind w:left="720" w:hanging="360"/>
    </w:pPr>
  </w:style>
  <w:style w:type="paragraph" w:styleId="ListNumber3">
    <w:name w:val="List Number 3"/>
    <w:basedOn w:val="Normal"/>
    <w:rsid w:val="00913796"/>
    <w:pPr>
      <w:tabs>
        <w:tab w:val="num" w:pos="1080"/>
      </w:tabs>
      <w:ind w:left="1080" w:hanging="360"/>
    </w:pPr>
  </w:style>
  <w:style w:type="paragraph" w:styleId="ListNumber4">
    <w:name w:val="List Number 4"/>
    <w:basedOn w:val="Normal"/>
    <w:rsid w:val="00913796"/>
    <w:pPr>
      <w:tabs>
        <w:tab w:val="num" w:pos="1440"/>
      </w:tabs>
      <w:ind w:left="1440" w:hanging="360"/>
    </w:pPr>
  </w:style>
  <w:style w:type="paragraph" w:styleId="ListNumber5">
    <w:name w:val="List Number 5"/>
    <w:basedOn w:val="Normal"/>
    <w:rsid w:val="00913796"/>
    <w:pPr>
      <w:tabs>
        <w:tab w:val="num" w:pos="1800"/>
      </w:tabs>
      <w:ind w:left="1800" w:hanging="360"/>
    </w:pPr>
  </w:style>
  <w:style w:type="paragraph" w:styleId="MacroText">
    <w:name w:val="macro"/>
    <w:link w:val="MacroTextChar"/>
    <w:semiHidden/>
    <w:rsid w:val="009137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913796"/>
    <w:rPr>
      <w:rFonts w:ascii="Courier New" w:hAnsi="Courier New" w:cs="Courier New"/>
    </w:rPr>
  </w:style>
  <w:style w:type="paragraph" w:styleId="MessageHeader">
    <w:name w:val="Message Header"/>
    <w:basedOn w:val="Normal"/>
    <w:link w:val="MessageHeaderChar"/>
    <w:rsid w:val="009137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913796"/>
    <w:rPr>
      <w:rFonts w:ascii="Arial" w:hAnsi="Arial" w:cs="Arial"/>
      <w:sz w:val="24"/>
      <w:szCs w:val="24"/>
      <w:shd w:val="pct20" w:color="auto" w:fill="auto"/>
    </w:rPr>
  </w:style>
  <w:style w:type="paragraph" w:styleId="NormalWeb">
    <w:name w:val="Normal (Web)"/>
    <w:basedOn w:val="Normal"/>
    <w:rsid w:val="00913796"/>
  </w:style>
  <w:style w:type="paragraph" w:styleId="NormalIndent">
    <w:name w:val="Normal Indent"/>
    <w:basedOn w:val="Normal"/>
    <w:rsid w:val="00913796"/>
    <w:pPr>
      <w:ind w:left="720"/>
    </w:pPr>
  </w:style>
  <w:style w:type="paragraph" w:styleId="NoteHeading">
    <w:name w:val="Note Heading"/>
    <w:basedOn w:val="Normal"/>
    <w:next w:val="Normal"/>
    <w:link w:val="NoteHeadingChar"/>
    <w:rsid w:val="00913796"/>
  </w:style>
  <w:style w:type="character" w:customStyle="1" w:styleId="NoteHeadingChar">
    <w:name w:val="Note Heading Char"/>
    <w:basedOn w:val="DefaultParagraphFont"/>
    <w:link w:val="NoteHeading"/>
    <w:rsid w:val="00913796"/>
    <w:rPr>
      <w:sz w:val="24"/>
      <w:szCs w:val="24"/>
    </w:rPr>
  </w:style>
  <w:style w:type="paragraph" w:styleId="PlainText">
    <w:name w:val="Plain Text"/>
    <w:basedOn w:val="Normal"/>
    <w:link w:val="PlainTextChar"/>
    <w:rsid w:val="00913796"/>
    <w:rPr>
      <w:rFonts w:ascii="Courier New" w:hAnsi="Courier New" w:cs="Courier New"/>
      <w:sz w:val="20"/>
      <w:szCs w:val="20"/>
    </w:rPr>
  </w:style>
  <w:style w:type="character" w:customStyle="1" w:styleId="PlainTextChar">
    <w:name w:val="Plain Text Char"/>
    <w:basedOn w:val="DefaultParagraphFont"/>
    <w:link w:val="PlainText"/>
    <w:rsid w:val="00913796"/>
    <w:rPr>
      <w:rFonts w:ascii="Courier New" w:hAnsi="Courier New" w:cs="Courier New"/>
    </w:rPr>
  </w:style>
  <w:style w:type="paragraph" w:styleId="Salutation">
    <w:name w:val="Salutation"/>
    <w:basedOn w:val="Normal"/>
    <w:next w:val="Normal"/>
    <w:link w:val="SalutationChar"/>
    <w:rsid w:val="00913796"/>
  </w:style>
  <w:style w:type="character" w:customStyle="1" w:styleId="SalutationChar">
    <w:name w:val="Salutation Char"/>
    <w:basedOn w:val="DefaultParagraphFont"/>
    <w:link w:val="Salutation"/>
    <w:rsid w:val="00913796"/>
    <w:rPr>
      <w:sz w:val="24"/>
      <w:szCs w:val="24"/>
    </w:rPr>
  </w:style>
  <w:style w:type="paragraph" w:styleId="Signature">
    <w:name w:val="Signature"/>
    <w:basedOn w:val="Normal"/>
    <w:link w:val="SignatureChar"/>
    <w:rsid w:val="00913796"/>
    <w:pPr>
      <w:ind w:left="4320"/>
    </w:pPr>
  </w:style>
  <w:style w:type="character" w:customStyle="1" w:styleId="SignatureChar">
    <w:name w:val="Signature Char"/>
    <w:basedOn w:val="DefaultParagraphFont"/>
    <w:link w:val="Signature"/>
    <w:rsid w:val="00913796"/>
    <w:rPr>
      <w:sz w:val="24"/>
      <w:szCs w:val="24"/>
    </w:rPr>
  </w:style>
  <w:style w:type="paragraph" w:styleId="Subtitle">
    <w:name w:val="Subtitle"/>
    <w:basedOn w:val="Normal"/>
    <w:link w:val="SubtitleChar"/>
    <w:qFormat/>
    <w:rsid w:val="00913796"/>
    <w:pPr>
      <w:spacing w:after="60"/>
      <w:jc w:val="center"/>
      <w:outlineLvl w:val="1"/>
    </w:pPr>
    <w:rPr>
      <w:rFonts w:ascii="Arial" w:hAnsi="Arial" w:cs="Arial"/>
    </w:rPr>
  </w:style>
  <w:style w:type="character" w:customStyle="1" w:styleId="SubtitleChar">
    <w:name w:val="Subtitle Char"/>
    <w:basedOn w:val="DefaultParagraphFont"/>
    <w:link w:val="Subtitle"/>
    <w:rsid w:val="00913796"/>
    <w:rPr>
      <w:rFonts w:ascii="Arial" w:hAnsi="Arial" w:cs="Arial"/>
      <w:sz w:val="24"/>
      <w:szCs w:val="24"/>
    </w:rPr>
  </w:style>
  <w:style w:type="paragraph" w:styleId="TableofAuthorities">
    <w:name w:val="table of authorities"/>
    <w:basedOn w:val="Normal"/>
    <w:next w:val="Normal"/>
    <w:semiHidden/>
    <w:rsid w:val="00913796"/>
    <w:pPr>
      <w:ind w:left="240" w:hanging="240"/>
    </w:pPr>
  </w:style>
  <w:style w:type="paragraph" w:styleId="TableofFigures">
    <w:name w:val="table of figures"/>
    <w:basedOn w:val="Normal"/>
    <w:next w:val="Normal"/>
    <w:semiHidden/>
    <w:rsid w:val="00913796"/>
    <w:pPr>
      <w:ind w:left="480" w:hanging="480"/>
    </w:pPr>
  </w:style>
  <w:style w:type="paragraph" w:styleId="Title">
    <w:name w:val="Title"/>
    <w:basedOn w:val="Normal"/>
    <w:link w:val="TitleChar"/>
    <w:qFormat/>
    <w:rsid w:val="0091379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13796"/>
    <w:rPr>
      <w:rFonts w:ascii="Arial" w:hAnsi="Arial" w:cs="Arial"/>
      <w:b/>
      <w:bCs/>
      <w:kern w:val="28"/>
      <w:sz w:val="32"/>
      <w:szCs w:val="32"/>
    </w:rPr>
  </w:style>
  <w:style w:type="paragraph" w:styleId="TOAHeading">
    <w:name w:val="toa heading"/>
    <w:basedOn w:val="Normal"/>
    <w:next w:val="Normal"/>
    <w:semiHidden/>
    <w:rsid w:val="00913796"/>
    <w:pPr>
      <w:spacing w:before="120"/>
    </w:pPr>
    <w:rPr>
      <w:rFonts w:ascii="Arial" w:hAnsi="Arial" w:cs="Arial"/>
      <w:b/>
      <w:bCs/>
    </w:rPr>
  </w:style>
  <w:style w:type="paragraph" w:styleId="TOC4">
    <w:name w:val="toc 4"/>
    <w:basedOn w:val="Normal"/>
    <w:next w:val="Normal"/>
    <w:autoRedefine/>
    <w:semiHidden/>
    <w:rsid w:val="00913796"/>
    <w:pPr>
      <w:ind w:left="720"/>
    </w:pPr>
  </w:style>
  <w:style w:type="paragraph" w:styleId="TOC5">
    <w:name w:val="toc 5"/>
    <w:basedOn w:val="Normal"/>
    <w:next w:val="Normal"/>
    <w:autoRedefine/>
    <w:semiHidden/>
    <w:rsid w:val="00913796"/>
    <w:pPr>
      <w:ind w:left="960"/>
    </w:pPr>
  </w:style>
  <w:style w:type="paragraph" w:styleId="TOC6">
    <w:name w:val="toc 6"/>
    <w:basedOn w:val="Normal"/>
    <w:next w:val="Normal"/>
    <w:autoRedefine/>
    <w:semiHidden/>
    <w:rsid w:val="00913796"/>
    <w:pPr>
      <w:ind w:left="1200"/>
    </w:pPr>
  </w:style>
  <w:style w:type="paragraph" w:styleId="TOC9">
    <w:name w:val="toc 9"/>
    <w:basedOn w:val="TOC1"/>
    <w:next w:val="Normal"/>
    <w:autoRedefine/>
    <w:rsid w:val="00913796"/>
    <w:pPr>
      <w:ind w:left="1728"/>
    </w:pPr>
    <w:rPr>
      <w:u w:val="single"/>
    </w:rPr>
  </w:style>
  <w:style w:type="paragraph" w:customStyle="1" w:styleId="MemoHeadingLabel">
    <w:name w:val="Memo Heading Label"/>
    <w:basedOn w:val="MemoHeading"/>
    <w:qFormat/>
    <w:rsid w:val="00913796"/>
    <w:rPr>
      <w:rFonts w:ascii="Arial" w:hAnsi="Arial"/>
      <w:b/>
    </w:rPr>
  </w:style>
  <w:style w:type="paragraph" w:customStyle="1" w:styleId="First-LevelSubheading">
    <w:name w:val="First-Level Subheading"/>
    <w:basedOn w:val="IssueSubsectionHeading"/>
    <w:next w:val="BodyText"/>
    <w:qFormat/>
    <w:rsid w:val="00913796"/>
    <w:pPr>
      <w:spacing w:after="0"/>
      <w:outlineLvl w:val="2"/>
    </w:pPr>
    <w:rPr>
      <w:i w:val="0"/>
    </w:rPr>
  </w:style>
  <w:style w:type="paragraph" w:customStyle="1" w:styleId="Second-LevelSubheading">
    <w:name w:val="Second-Level Subheading"/>
    <w:basedOn w:val="First-LevelSubheading"/>
    <w:next w:val="BodyText"/>
    <w:qFormat/>
    <w:rsid w:val="00913796"/>
    <w:pPr>
      <w:ind w:left="720"/>
      <w:outlineLvl w:val="3"/>
    </w:pPr>
    <w:rPr>
      <w:i/>
    </w:rPr>
  </w:style>
  <w:style w:type="paragraph" w:customStyle="1" w:styleId="TableNumber">
    <w:name w:val="Table Number"/>
    <w:basedOn w:val="BodyText"/>
    <w:next w:val="BodyText"/>
    <w:qFormat/>
    <w:rsid w:val="00913796"/>
    <w:pPr>
      <w:spacing w:before="480" w:after="0"/>
      <w:jc w:val="center"/>
    </w:pPr>
    <w:rPr>
      <w:rFonts w:ascii="Arial" w:hAnsi="Arial"/>
      <w:b/>
    </w:rPr>
  </w:style>
  <w:style w:type="paragraph" w:customStyle="1" w:styleId="TableTitle">
    <w:name w:val="Table Title"/>
    <w:basedOn w:val="BodyText"/>
    <w:next w:val="BodyText"/>
    <w:qFormat/>
    <w:rsid w:val="00913796"/>
    <w:pPr>
      <w:spacing w:after="0"/>
      <w:jc w:val="center"/>
    </w:pPr>
    <w:rPr>
      <w:rFonts w:ascii="Arial" w:hAnsi="Arial"/>
      <w:b/>
    </w:rPr>
  </w:style>
  <w:style w:type="paragraph" w:customStyle="1" w:styleId="TableSource">
    <w:name w:val="Table Source"/>
    <w:basedOn w:val="BodyText"/>
    <w:next w:val="BodyText"/>
    <w:qFormat/>
    <w:rsid w:val="00913796"/>
    <w:pPr>
      <w:spacing w:after="480"/>
      <w:jc w:val="both"/>
    </w:pPr>
  </w:style>
  <w:style w:type="paragraph" w:customStyle="1" w:styleId="PartyName">
    <w:name w:val="Party Name"/>
    <w:basedOn w:val="IssueSubsectionHeading"/>
    <w:next w:val="BodyText"/>
    <w:qFormat/>
    <w:rsid w:val="00913796"/>
    <w:rPr>
      <w:i w:val="0"/>
    </w:rPr>
  </w:style>
  <w:style w:type="paragraph" w:customStyle="1" w:styleId="Third-LevelSubheading">
    <w:name w:val="Third-Level Subheading"/>
    <w:basedOn w:val="Second-LevelSubheading"/>
    <w:next w:val="BodyText"/>
    <w:qFormat/>
    <w:rsid w:val="00913796"/>
    <w:pPr>
      <w:ind w:left="1440"/>
      <w:outlineLvl w:val="4"/>
    </w:pPr>
  </w:style>
  <w:style w:type="table" w:customStyle="1" w:styleId="TableGrid2">
    <w:name w:val="Table Grid2"/>
    <w:basedOn w:val="TableNormal"/>
    <w:next w:val="TableGrid"/>
    <w:uiPriority w:val="59"/>
    <w:rsid w:val="009137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37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37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796"/>
    <w:pPr>
      <w:ind w:left="720"/>
      <w:contextualSpacing/>
    </w:pPr>
  </w:style>
  <w:style w:type="table" w:customStyle="1" w:styleId="TableGrid5">
    <w:name w:val="Table Grid5"/>
    <w:basedOn w:val="TableNormal"/>
    <w:next w:val="TableGrid"/>
    <w:uiPriority w:val="59"/>
    <w:rsid w:val="009137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137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28</Pages>
  <Words>8721</Words>
  <Characters>49710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2022-12-22T15:08:00Z</dcterms:created>
  <dcterms:modified xsi:type="dcterms:W3CDTF">2022-12-22T17:45:00Z</dcterms:modified>
</cp:coreProperties>
</file>