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20ACC" w:rsidP="00720ACC">
      <w:pPr>
        <w:pStyle w:val="OrderHeading"/>
      </w:pPr>
      <w:r>
        <w:t>BEFORE THE FLORIDA PUBLIC SERVICE COMMISSION</w:t>
      </w:r>
    </w:p>
    <w:p w:rsidR="00720ACC" w:rsidRDefault="00720ACC" w:rsidP="00720ACC">
      <w:pPr>
        <w:pStyle w:val="OrderBody"/>
      </w:pPr>
    </w:p>
    <w:p w:rsidR="00720ACC" w:rsidRDefault="00720ACC" w:rsidP="00720A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0ACC" w:rsidRPr="00C63FCF" w:rsidTr="00C63FCF">
        <w:trPr>
          <w:trHeight w:val="828"/>
        </w:trPr>
        <w:tc>
          <w:tcPr>
            <w:tcW w:w="4788" w:type="dxa"/>
            <w:tcBorders>
              <w:bottom w:val="single" w:sz="8" w:space="0" w:color="auto"/>
              <w:right w:val="double" w:sz="6" w:space="0" w:color="auto"/>
            </w:tcBorders>
            <w:shd w:val="clear" w:color="auto" w:fill="auto"/>
          </w:tcPr>
          <w:p w:rsidR="00720ACC" w:rsidRDefault="00720ACC" w:rsidP="00C63FCF">
            <w:pPr>
              <w:pStyle w:val="OrderBody"/>
              <w:tabs>
                <w:tab w:val="center" w:pos="4320"/>
                <w:tab w:val="right" w:pos="8640"/>
              </w:tabs>
              <w:jc w:val="left"/>
            </w:pPr>
            <w:r>
              <w:t xml:space="preserve">In re: </w:t>
            </w:r>
            <w:bookmarkStart w:id="0" w:name="SSInRe"/>
            <w:bookmarkEnd w:id="0"/>
            <w:r>
              <w:t>Application for limited alternative rate increase in Hardee, Manatee, Marion, Polk, and Pasco Counties, by Charlies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LLC.</w:t>
            </w:r>
          </w:p>
        </w:tc>
        <w:tc>
          <w:tcPr>
            <w:tcW w:w="4788" w:type="dxa"/>
            <w:tcBorders>
              <w:left w:val="double" w:sz="6" w:space="0" w:color="auto"/>
            </w:tcBorders>
            <w:shd w:val="clear" w:color="auto" w:fill="auto"/>
          </w:tcPr>
          <w:p w:rsidR="00720ACC" w:rsidRDefault="00720ACC" w:rsidP="00720ACC">
            <w:pPr>
              <w:pStyle w:val="OrderBody"/>
            </w:pPr>
            <w:r>
              <w:t xml:space="preserve">DOCKET NO. </w:t>
            </w:r>
            <w:bookmarkStart w:id="1" w:name="SSDocketNo"/>
            <w:bookmarkEnd w:id="1"/>
            <w:r>
              <w:t>20220185-WS</w:t>
            </w:r>
          </w:p>
          <w:p w:rsidR="00720ACC" w:rsidRDefault="00720ACC" w:rsidP="00C63FCF">
            <w:pPr>
              <w:pStyle w:val="OrderBody"/>
              <w:tabs>
                <w:tab w:val="center" w:pos="4320"/>
                <w:tab w:val="right" w:pos="8640"/>
              </w:tabs>
              <w:jc w:val="left"/>
            </w:pPr>
            <w:r>
              <w:t xml:space="preserve">ORDER NO. </w:t>
            </w:r>
            <w:bookmarkStart w:id="2" w:name="OrderNo0064"/>
            <w:r w:rsidR="006D73BD">
              <w:t>PSC-2023-0064-PAA-WS</w:t>
            </w:r>
            <w:bookmarkEnd w:id="2"/>
          </w:p>
          <w:p w:rsidR="00720ACC" w:rsidRDefault="00720ACC" w:rsidP="00C63FCF">
            <w:pPr>
              <w:pStyle w:val="OrderBody"/>
              <w:tabs>
                <w:tab w:val="center" w:pos="4320"/>
                <w:tab w:val="right" w:pos="8640"/>
              </w:tabs>
              <w:jc w:val="left"/>
            </w:pPr>
            <w:r>
              <w:t xml:space="preserve">ISSUED: </w:t>
            </w:r>
            <w:r w:rsidR="006D73BD">
              <w:t>January 30, 2023</w:t>
            </w:r>
          </w:p>
        </w:tc>
      </w:tr>
    </w:tbl>
    <w:p w:rsidR="00720ACC" w:rsidRDefault="00720ACC" w:rsidP="00720ACC"/>
    <w:p w:rsidR="00720ACC" w:rsidRDefault="00720ACC" w:rsidP="00720ACC"/>
    <w:p w:rsidR="00720ACC" w:rsidRDefault="00720ACC" w:rsidP="00B67A43">
      <w:pPr>
        <w:ind w:firstLine="720"/>
        <w:jc w:val="both"/>
      </w:pPr>
      <w:bookmarkStart w:id="3" w:name="Commissioners"/>
      <w:bookmarkEnd w:id="3"/>
      <w:r>
        <w:t>The following Commissioners participated in the disposition of this matter:</w:t>
      </w:r>
    </w:p>
    <w:p w:rsidR="00720ACC" w:rsidRDefault="00720ACC" w:rsidP="00B67A43"/>
    <w:p w:rsidR="00720ACC" w:rsidRDefault="00720ACC" w:rsidP="00477699">
      <w:pPr>
        <w:jc w:val="center"/>
      </w:pPr>
      <w:r>
        <w:t>ANDREW GILES FAY, Chairman</w:t>
      </w:r>
    </w:p>
    <w:p w:rsidR="00720ACC" w:rsidRDefault="00720ACC" w:rsidP="00B67A43">
      <w:pPr>
        <w:jc w:val="center"/>
      </w:pPr>
      <w:r>
        <w:t>ART GRAHAM</w:t>
      </w:r>
    </w:p>
    <w:p w:rsidR="00720ACC" w:rsidRDefault="00720ACC" w:rsidP="00B67A43">
      <w:pPr>
        <w:jc w:val="center"/>
      </w:pPr>
      <w:r>
        <w:t>GARY F. CLARK</w:t>
      </w:r>
    </w:p>
    <w:p w:rsidR="00720ACC" w:rsidRDefault="00720ACC" w:rsidP="00B67A43">
      <w:pPr>
        <w:jc w:val="center"/>
      </w:pPr>
      <w:r>
        <w:t>MIKE LA ROSA</w:t>
      </w:r>
    </w:p>
    <w:p w:rsidR="00720ACC" w:rsidRPr="005F2751" w:rsidRDefault="00720ACC" w:rsidP="00B67A43">
      <w:pPr>
        <w:jc w:val="center"/>
      </w:pPr>
      <w:r w:rsidRPr="005F2751">
        <w:rPr>
          <w:lang w:val="en"/>
        </w:rPr>
        <w:t>GABRIELLA PASSIDOMO</w:t>
      </w:r>
    </w:p>
    <w:p w:rsidR="00720ACC" w:rsidRDefault="00720ACC" w:rsidP="00B67A43"/>
    <w:p w:rsidR="00720ACC" w:rsidRDefault="00720ACC" w:rsidP="00720ACC">
      <w:pPr>
        <w:pStyle w:val="OrderBody"/>
      </w:pPr>
    </w:p>
    <w:bookmarkStart w:id="4" w:name="OrderText"/>
    <w:bookmarkEnd w:id="4"/>
    <w:p w:rsidR="00720ACC" w:rsidRPr="003E4B2D" w:rsidRDefault="00720ACC">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85759" w:rsidRDefault="00720ACC">
      <w:pPr>
        <w:pStyle w:val="OrderBody"/>
        <w:jc w:val="center"/>
        <w:rPr>
          <w:u w:val="single"/>
        </w:rPr>
      </w:pPr>
      <w:r w:rsidRPr="003E4B2D">
        <w:rPr>
          <w:u w:val="single"/>
        </w:rPr>
        <w:t>ORDER</w:t>
      </w:r>
      <w:bookmarkStart w:id="5" w:name="OrderTitle"/>
      <w:r w:rsidR="00171C4E">
        <w:rPr>
          <w:u w:val="single"/>
        </w:rPr>
        <w:t xml:space="preserve"> </w:t>
      </w:r>
      <w:r w:rsidR="00085759">
        <w:rPr>
          <w:u w:val="single"/>
        </w:rPr>
        <w:t>DENYING PE</w:t>
      </w:r>
      <w:r w:rsidR="006A51B3">
        <w:rPr>
          <w:u w:val="single"/>
        </w:rPr>
        <w:t>T</w:t>
      </w:r>
      <w:bookmarkStart w:id="6" w:name="_GoBack"/>
      <w:bookmarkEnd w:id="6"/>
      <w:r w:rsidR="00085759">
        <w:rPr>
          <w:u w:val="single"/>
        </w:rPr>
        <w:t>ITION FOR TEMPORARY WAIVER OF</w:t>
      </w:r>
    </w:p>
    <w:p w:rsidR="00720ACC" w:rsidRPr="003E4B2D" w:rsidRDefault="00085759">
      <w:pPr>
        <w:pStyle w:val="OrderBody"/>
        <w:jc w:val="center"/>
        <w:rPr>
          <w:u w:val="single"/>
        </w:rPr>
      </w:pPr>
      <w:r>
        <w:rPr>
          <w:u w:val="single"/>
        </w:rPr>
        <w:t>RULE 25-30.020(2)(f), F.A.C., BY FLORIDA UTILTY SERVICES 1, LLC</w:t>
      </w:r>
      <w:r w:rsidR="00720ACC">
        <w:rPr>
          <w:u w:val="single"/>
        </w:rPr>
        <w:t xml:space="preserve"> </w:t>
      </w:r>
      <w:bookmarkEnd w:id="5"/>
    </w:p>
    <w:p w:rsidR="00720ACC" w:rsidRPr="003E4B2D" w:rsidRDefault="00720ACC">
      <w:pPr>
        <w:pStyle w:val="OrderBody"/>
      </w:pPr>
    </w:p>
    <w:p w:rsidR="00720ACC" w:rsidRPr="003E4B2D" w:rsidRDefault="00720ACC">
      <w:pPr>
        <w:pStyle w:val="OrderBody"/>
      </w:pPr>
    </w:p>
    <w:p w:rsidR="00720ACC" w:rsidRPr="003E4B2D" w:rsidRDefault="00720ACC">
      <w:pPr>
        <w:pStyle w:val="OrderBody"/>
      </w:pPr>
      <w:r w:rsidRPr="003E4B2D">
        <w:t>BY THE COMMISSION:</w:t>
      </w:r>
    </w:p>
    <w:p w:rsidR="00720ACC" w:rsidRPr="003E4B2D" w:rsidRDefault="00720ACC">
      <w:pPr>
        <w:pStyle w:val="OrderBody"/>
      </w:pPr>
    </w:p>
    <w:p w:rsidR="00720ACC" w:rsidRDefault="00720ACC">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085759" w:rsidRDefault="00085759">
      <w:pPr>
        <w:pStyle w:val="OrderBody"/>
      </w:pPr>
    </w:p>
    <w:p w:rsidR="00085759" w:rsidRPr="00C12D44" w:rsidRDefault="00085759" w:rsidP="00085759">
      <w:pPr>
        <w:pStyle w:val="OrderBody"/>
        <w:jc w:val="center"/>
        <w:rPr>
          <w:u w:val="single"/>
        </w:rPr>
      </w:pPr>
      <w:r w:rsidRPr="00C12D44">
        <w:rPr>
          <w:u w:val="single"/>
        </w:rPr>
        <w:t>Background</w:t>
      </w:r>
    </w:p>
    <w:p w:rsidR="00085759" w:rsidRDefault="00085759" w:rsidP="00085759">
      <w:pPr>
        <w:pStyle w:val="OrderBody"/>
        <w:jc w:val="center"/>
      </w:pPr>
    </w:p>
    <w:p w:rsidR="00085759" w:rsidRDefault="00085759" w:rsidP="004379DD">
      <w:pPr>
        <w:pStyle w:val="BodyText"/>
        <w:jc w:val="both"/>
      </w:pPr>
      <w:r>
        <w:tab/>
      </w:r>
      <w:r w:rsidRPr="00226478">
        <w:t>Florida Utility Services 1, LLC (</w:t>
      </w:r>
      <w:r>
        <w:t>FUS1</w:t>
      </w:r>
      <w:r w:rsidRPr="00226478">
        <w:t>)</w:t>
      </w:r>
      <w:r>
        <w:t xml:space="preserve"> is a service company that owns multiple Commission-regulated </w:t>
      </w:r>
      <w:r w:rsidR="00DC7AD0">
        <w:t xml:space="preserve">water and wastewater </w:t>
      </w:r>
      <w:r>
        <w:t>utilities.</w:t>
      </w:r>
      <w:r w:rsidRPr="00226478">
        <w:t xml:space="preserve"> </w:t>
      </w:r>
      <w:r>
        <w:t xml:space="preserve">On November 4, 2022, FUS1 </w:t>
      </w:r>
      <w:r w:rsidRPr="00226478">
        <w:t>filed a</w:t>
      </w:r>
      <w:r>
        <w:t>n</w:t>
      </w:r>
      <w:r w:rsidRPr="00226478">
        <w:t xml:space="preserve"> </w:t>
      </w:r>
      <w:r>
        <w:t xml:space="preserve">application </w:t>
      </w:r>
      <w:r w:rsidRPr="00226478">
        <w:t>for a</w:t>
      </w:r>
      <w:r>
        <w:t xml:space="preserve"> limited alternative rate increase proceeding (LARI)</w:t>
      </w:r>
      <w:r w:rsidR="00F054F4">
        <w:t xml:space="preserve"> pursuant to Rule 25-30.457, F.A.C</w:t>
      </w:r>
      <w:r>
        <w:t>, for the following eleven utilities: Charles Creek Utilities, LLC; Crestridge Utilities, LLC; East Marion Utilities, LLC; Heather Hills Utilities, LLC; Holiday Gardens Utilities, LLC; Lake Yale Utilities, LLC; McLeod Gardens Utilities, LLC; Orange Land Utilities, LLC; Sunny Shores Utilities, LLC; Sunrise Water, LLC; and, West Lakeland Wastewater.  FUS1 allocates common costs to its Commission-regulated utilities.</w:t>
      </w:r>
    </w:p>
    <w:p w:rsidR="00085759" w:rsidRDefault="00085759" w:rsidP="004379DD">
      <w:pPr>
        <w:pStyle w:val="BodyText"/>
        <w:jc w:val="both"/>
      </w:pPr>
      <w:r>
        <w:lastRenderedPageBreak/>
        <w:tab/>
        <w:t>Rule 25-30.457(4), F.A.C., requires payment of a filing fee as required by Rule 25-30.020(2)(f),  F.A.C., or the application is deemed denied. Pursuant to Rule 25-30.020(1), F.A.C., the utility must pay a separate filing fee for water services and wastewater services.</w:t>
      </w:r>
      <w:r>
        <w:rPr>
          <w:noProof/>
          <w:color w:val="000000"/>
        </w:rPr>
        <w:t xml:space="preserve"> </w:t>
      </w:r>
      <w:r>
        <w:t xml:space="preserve"> In this docket, there are eleven utilities with fourteen separate water and wastewater systems.  Therefore, </w:t>
      </w:r>
      <w:r w:rsidR="00C12D44">
        <w:t>our staff</w:t>
      </w:r>
      <w:r>
        <w:t xml:space="preserve"> determined and subsequently notified FUS1 that the filing fees under Rule 25-30.020(2)(f), F.A.C., for these fourteen systems totaled $13,000. The following table reflects the asso</w:t>
      </w:r>
      <w:r w:rsidR="00DC7AD0">
        <w:t>ciated fee for each water and</w:t>
      </w:r>
      <w:r>
        <w:t xml:space="preserve"> wastewater system at issue. </w:t>
      </w:r>
    </w:p>
    <w:p w:rsidR="00085759" w:rsidRPr="00772BD4" w:rsidRDefault="00772BD4" w:rsidP="00085759">
      <w:pPr>
        <w:pStyle w:val="BodyText"/>
        <w:jc w:val="center"/>
        <w:rPr>
          <w:b/>
        </w:rPr>
      </w:pPr>
      <w:r w:rsidRPr="00772BD4">
        <w:rPr>
          <w:b/>
        </w:rPr>
        <w:t>Table</w:t>
      </w:r>
      <w:r w:rsidR="00D86DFD">
        <w:rPr>
          <w:b/>
        </w:rPr>
        <w:t xml:space="preserve"> 1</w:t>
      </w:r>
      <w:r w:rsidR="00085759" w:rsidRPr="00772BD4">
        <w:rPr>
          <w:b/>
        </w:rPr>
        <w:t xml:space="preserve"> – Filing Fees for Systems Included in the LARI</w:t>
      </w:r>
    </w:p>
    <w:tbl>
      <w:tblPr>
        <w:tblW w:w="8080" w:type="dxa"/>
        <w:jc w:val="center"/>
        <w:tblLook w:val="04A0" w:firstRow="1" w:lastRow="0" w:firstColumn="1" w:lastColumn="0" w:noHBand="0" w:noVBand="1"/>
      </w:tblPr>
      <w:tblGrid>
        <w:gridCol w:w="3100"/>
        <w:gridCol w:w="1003"/>
        <w:gridCol w:w="1580"/>
        <w:gridCol w:w="1397"/>
        <w:gridCol w:w="1000"/>
      </w:tblGrid>
      <w:tr w:rsidR="00085759" w:rsidTr="001810DD">
        <w:trPr>
          <w:trHeight w:val="300"/>
          <w:jc w:val="center"/>
        </w:trPr>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jc w:val="center"/>
              <w:rPr>
                <w:b/>
                <w:bCs/>
                <w:color w:val="000000"/>
              </w:rPr>
            </w:pPr>
            <w:r w:rsidRPr="00A37FD2">
              <w:rPr>
                <w:b/>
                <w:bCs/>
                <w:color w:val="000000"/>
              </w:rPr>
              <w:t>Utility</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b/>
                <w:bCs/>
                <w:color w:val="000000"/>
              </w:rPr>
            </w:pPr>
            <w:r w:rsidRPr="00A37FD2">
              <w:rPr>
                <w:b/>
                <w:bCs/>
                <w:color w:val="000000"/>
              </w:rPr>
              <w:t>W/WW</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b/>
                <w:bCs/>
                <w:color w:val="000000"/>
              </w:rPr>
            </w:pPr>
            <w:r w:rsidRPr="00A37FD2">
              <w:rPr>
                <w:b/>
                <w:bCs/>
                <w:color w:val="000000"/>
              </w:rPr>
              <w:t>Design Capacity</w:t>
            </w:r>
          </w:p>
        </w:tc>
        <w:tc>
          <w:tcPr>
            <w:tcW w:w="1397" w:type="dxa"/>
            <w:tcBorders>
              <w:top w:val="single" w:sz="4" w:space="0" w:color="auto"/>
              <w:left w:val="nil"/>
              <w:bottom w:val="single" w:sz="4" w:space="0" w:color="auto"/>
              <w:right w:val="single" w:sz="4" w:space="0" w:color="auto"/>
            </w:tcBorders>
            <w:shd w:val="clear" w:color="auto" w:fill="auto"/>
            <w:noWrap/>
            <w:vAlign w:val="bottom"/>
            <w:hideMark/>
          </w:tcPr>
          <w:p w:rsidR="00085759" w:rsidRPr="00361019" w:rsidRDefault="00085759" w:rsidP="001810DD">
            <w:pPr>
              <w:jc w:val="center"/>
              <w:rPr>
                <w:b/>
                <w:shd w:val="clear" w:color="auto" w:fill="FFFFFF"/>
              </w:rPr>
            </w:pPr>
            <w:r w:rsidRPr="00361019">
              <w:rPr>
                <w:b/>
                <w:shd w:val="clear" w:color="auto" w:fill="FFFFFF"/>
              </w:rPr>
              <w:t> Equivalent Residential Connection</w:t>
            </w:r>
          </w:p>
          <w:p w:rsidR="00085759" w:rsidRPr="00A37FD2" w:rsidRDefault="00085759" w:rsidP="001810DD">
            <w:pPr>
              <w:jc w:val="center"/>
              <w:rPr>
                <w:b/>
                <w:bCs/>
                <w:color w:val="000000"/>
              </w:rPr>
            </w:pPr>
            <w:r>
              <w:rPr>
                <w:b/>
                <w:bCs/>
                <w:color w:val="000000"/>
              </w:rPr>
              <w:t>(</w:t>
            </w:r>
            <w:r w:rsidRPr="00A37FD2">
              <w:rPr>
                <w:b/>
                <w:bCs/>
                <w:color w:val="000000"/>
              </w:rPr>
              <w:t>ERC</w:t>
            </w:r>
            <w:r>
              <w:rPr>
                <w:b/>
                <w:bCs/>
                <w:color w:val="000000"/>
              </w:rPr>
              <w: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b/>
                <w:bCs/>
                <w:color w:val="000000"/>
              </w:rPr>
            </w:pPr>
            <w:r w:rsidRPr="00A37FD2">
              <w:rPr>
                <w:b/>
                <w:bCs/>
                <w:color w:val="000000"/>
              </w:rPr>
              <w:t>Filing Fee</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Charlie Creek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133,000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380</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Crestridge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432,000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1234</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759" w:rsidRPr="00A37FD2" w:rsidRDefault="00085759" w:rsidP="001810DD">
            <w:pPr>
              <w:rPr>
                <w:color w:val="000000"/>
              </w:rPr>
            </w:pPr>
            <w:r w:rsidRPr="00A37FD2">
              <w:rPr>
                <w:color w:val="000000"/>
              </w:rPr>
              <w:t>East Marion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180,000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514</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085759" w:rsidRPr="00A37FD2" w:rsidRDefault="00085759" w:rsidP="001810DD">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50,000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179</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$500</w:t>
            </w:r>
          </w:p>
        </w:tc>
      </w:tr>
      <w:tr w:rsidR="00085759" w:rsidTr="001810DD">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759" w:rsidRPr="00A37FD2" w:rsidRDefault="00085759" w:rsidP="001810DD">
            <w:pPr>
              <w:rPr>
                <w:color w:val="000000"/>
              </w:rPr>
            </w:pPr>
            <w:r w:rsidRPr="00A37FD2">
              <w:rPr>
                <w:color w:val="000000"/>
              </w:rPr>
              <w:t>Heather Hills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355</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085759" w:rsidRPr="00A37FD2" w:rsidRDefault="00085759" w:rsidP="001810DD">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355</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Holiday Gardens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342,000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977</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85759" w:rsidRPr="00A37FD2" w:rsidRDefault="00085759" w:rsidP="001810DD">
            <w:pPr>
              <w:rPr>
                <w:color w:val="000000"/>
              </w:rPr>
            </w:pPr>
            <w:r w:rsidRPr="00A37FD2">
              <w:rPr>
                <w:color w:val="000000"/>
              </w:rPr>
              <w:t>Lake Yale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468,000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1337</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vMerge/>
            <w:tcBorders>
              <w:top w:val="nil"/>
              <w:left w:val="single" w:sz="4" w:space="0" w:color="auto"/>
              <w:bottom w:val="single" w:sz="4" w:space="0" w:color="auto"/>
              <w:right w:val="single" w:sz="4" w:space="0" w:color="auto"/>
            </w:tcBorders>
            <w:shd w:val="clear" w:color="auto" w:fill="auto"/>
            <w:vAlign w:val="center"/>
            <w:hideMark/>
          </w:tcPr>
          <w:p w:rsidR="00085759" w:rsidRPr="00A37FD2" w:rsidRDefault="00085759" w:rsidP="001810DD">
            <w:pPr>
              <w:rPr>
                <w:color w:val="000000"/>
              </w:rPr>
            </w:pP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55,000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196</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$500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McLeod Gardens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712,800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2037</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Orange Land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100,000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286</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Sunny Shores Utilities,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N/A</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262</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Sunrise Water,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792,000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2263</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West Lakeland Wastewater, LLC</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WW</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70,000</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center"/>
              <w:rPr>
                <w:color w:val="000000"/>
              </w:rPr>
            </w:pPr>
            <w:r w:rsidRPr="00A37FD2">
              <w:rPr>
                <w:color w:val="000000"/>
              </w:rPr>
              <w:t>250</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jc w:val="right"/>
              <w:rPr>
                <w:color w:val="000000"/>
              </w:rPr>
            </w:pPr>
            <w:r w:rsidRPr="00A37FD2">
              <w:rPr>
                <w:color w:val="000000"/>
              </w:rPr>
              <w:t>$1,000</w:t>
            </w:r>
          </w:p>
        </w:tc>
      </w:tr>
      <w:tr w:rsidR="00085759" w:rsidRPr="003E21EC" w:rsidTr="001810DD">
        <w:trPr>
          <w:trHeight w:val="300"/>
          <w:jc w:val="center"/>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 </w:t>
            </w:r>
          </w:p>
        </w:tc>
        <w:tc>
          <w:tcPr>
            <w:tcW w:w="1003"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 </w:t>
            </w:r>
          </w:p>
        </w:tc>
        <w:tc>
          <w:tcPr>
            <w:tcW w:w="1580" w:type="dxa"/>
            <w:tcBorders>
              <w:top w:val="nil"/>
              <w:left w:val="nil"/>
              <w:bottom w:val="single" w:sz="4" w:space="0" w:color="auto"/>
              <w:right w:val="single" w:sz="4" w:space="0" w:color="auto"/>
            </w:tcBorders>
            <w:shd w:val="clear" w:color="auto" w:fill="auto"/>
            <w:noWrap/>
            <w:vAlign w:val="bottom"/>
            <w:hideMark/>
          </w:tcPr>
          <w:p w:rsidR="00085759" w:rsidRPr="00A37FD2" w:rsidRDefault="00085759" w:rsidP="001810DD">
            <w:pPr>
              <w:rPr>
                <w:color w:val="000000"/>
              </w:rPr>
            </w:pPr>
            <w:r w:rsidRPr="00A37FD2">
              <w:rPr>
                <w:color w:val="000000"/>
              </w:rPr>
              <w:t> </w:t>
            </w:r>
          </w:p>
        </w:tc>
        <w:tc>
          <w:tcPr>
            <w:tcW w:w="1397" w:type="dxa"/>
            <w:tcBorders>
              <w:top w:val="nil"/>
              <w:left w:val="nil"/>
              <w:bottom w:val="single" w:sz="4" w:space="0" w:color="auto"/>
              <w:right w:val="single" w:sz="4" w:space="0" w:color="auto"/>
            </w:tcBorders>
            <w:shd w:val="clear" w:color="auto" w:fill="auto"/>
            <w:noWrap/>
            <w:vAlign w:val="bottom"/>
            <w:hideMark/>
          </w:tcPr>
          <w:p w:rsidR="00085759" w:rsidRPr="003E21EC" w:rsidRDefault="00085759" w:rsidP="001810DD">
            <w:pPr>
              <w:jc w:val="right"/>
              <w:rPr>
                <w:color w:val="000000"/>
              </w:rPr>
            </w:pPr>
            <w:r w:rsidRPr="003E21EC">
              <w:rPr>
                <w:color w:val="000000"/>
              </w:rPr>
              <w:t>Total:</w:t>
            </w:r>
          </w:p>
        </w:tc>
        <w:tc>
          <w:tcPr>
            <w:tcW w:w="1000" w:type="dxa"/>
            <w:tcBorders>
              <w:top w:val="nil"/>
              <w:left w:val="nil"/>
              <w:bottom w:val="single" w:sz="4" w:space="0" w:color="auto"/>
              <w:right w:val="single" w:sz="4" w:space="0" w:color="auto"/>
            </w:tcBorders>
            <w:shd w:val="clear" w:color="auto" w:fill="auto"/>
            <w:noWrap/>
            <w:vAlign w:val="bottom"/>
            <w:hideMark/>
          </w:tcPr>
          <w:p w:rsidR="00085759" w:rsidRPr="003E21EC" w:rsidRDefault="00085759" w:rsidP="001810DD">
            <w:pPr>
              <w:jc w:val="right"/>
              <w:rPr>
                <w:b/>
                <w:bCs/>
                <w:color w:val="000000"/>
              </w:rPr>
            </w:pPr>
            <w:r w:rsidRPr="003E21EC">
              <w:rPr>
                <w:b/>
                <w:bCs/>
                <w:color w:val="000000"/>
              </w:rPr>
              <w:t>$13,000</w:t>
            </w:r>
          </w:p>
        </w:tc>
      </w:tr>
    </w:tbl>
    <w:p w:rsidR="00085759" w:rsidRDefault="00085759" w:rsidP="00085759">
      <w:pPr>
        <w:pStyle w:val="BodyText"/>
      </w:pPr>
    </w:p>
    <w:p w:rsidR="00D37925" w:rsidRDefault="00085759" w:rsidP="0024664C">
      <w:pPr>
        <w:pStyle w:val="BodyText"/>
        <w:spacing w:after="0"/>
        <w:jc w:val="both"/>
      </w:pPr>
      <w:r>
        <w:tab/>
        <w:t xml:space="preserve">On November 7, 2022, FUS1 filed a petition pursuant to Section 120.542, F.S., for </w:t>
      </w:r>
      <w:r w:rsidRPr="00226478">
        <w:t>waiver of Rule 25-30.020(2)(</w:t>
      </w:r>
      <w:r>
        <w:t>f</w:t>
      </w:r>
      <w:r w:rsidRPr="00226478">
        <w:t>), F.A.C. (Petition)</w:t>
      </w:r>
      <w:r>
        <w:t xml:space="preserve">, requesting that </w:t>
      </w:r>
      <w:r w:rsidR="00772BD4">
        <w:t>we</w:t>
      </w:r>
      <w:r w:rsidRPr="00226478">
        <w:t xml:space="preserve"> </w:t>
      </w:r>
      <w:r>
        <w:t>waive the $13,000 in filing fees required by the rule and enable FUS1</w:t>
      </w:r>
      <w:r w:rsidRPr="00226478">
        <w:t xml:space="preserve"> </w:t>
      </w:r>
      <w:r>
        <w:t xml:space="preserve">to instead pay </w:t>
      </w:r>
      <w:r w:rsidRPr="00226478">
        <w:t xml:space="preserve">a </w:t>
      </w:r>
      <w:r>
        <w:t xml:space="preserve">single filing fee of $1,000. </w:t>
      </w:r>
    </w:p>
    <w:p w:rsidR="00085759" w:rsidRDefault="004A34E2" w:rsidP="0024664C">
      <w:pPr>
        <w:pStyle w:val="BodyText"/>
        <w:spacing w:after="0"/>
        <w:jc w:val="both"/>
      </w:pPr>
      <w:r>
        <w:br/>
      </w:r>
      <w:r>
        <w:tab/>
      </w:r>
      <w:r w:rsidR="00085759">
        <w:t xml:space="preserve">On December 6, 2022, </w:t>
      </w:r>
      <w:r w:rsidR="00C12D44">
        <w:t xml:space="preserve">our </w:t>
      </w:r>
      <w:r w:rsidR="00085759">
        <w:t xml:space="preserve">staff notified FUS1 that the application had met the initial requirements imposed by Rule 25-30.457, F.A.C.  However, </w:t>
      </w:r>
      <w:r w:rsidR="00C12D44">
        <w:t xml:space="preserve">our </w:t>
      </w:r>
      <w:r w:rsidR="00085759">
        <w:t xml:space="preserve">staff could not move forward with the application until after the disposition of the rule waiver.  In addition, </w:t>
      </w:r>
      <w:r w:rsidR="00C12D44">
        <w:t xml:space="preserve">our </w:t>
      </w:r>
      <w:r w:rsidR="00085759">
        <w:t>staff confirmed that the filing fees under Rule 25-30.020(2)(f), F.A.C., for these fourteen systems totaled $13,000, as shown in the table above.</w:t>
      </w:r>
    </w:p>
    <w:p w:rsidR="00D86DFD" w:rsidRDefault="00D86DFD" w:rsidP="004A34E2">
      <w:pPr>
        <w:pStyle w:val="BodyText"/>
        <w:jc w:val="both"/>
      </w:pPr>
    </w:p>
    <w:p w:rsidR="00D86DFD" w:rsidRDefault="00D86DFD" w:rsidP="004A34E2">
      <w:pPr>
        <w:pStyle w:val="BodyText"/>
        <w:jc w:val="both"/>
      </w:pPr>
      <w:r>
        <w:tab/>
        <w:t>We have jurisdiction pursuant to Section 120.542 and Chapters 120 and 367, Florida Statutes (F.S.).</w:t>
      </w:r>
    </w:p>
    <w:p w:rsidR="00085759" w:rsidRPr="00C12D44" w:rsidRDefault="00772BD4" w:rsidP="00085759">
      <w:pPr>
        <w:pStyle w:val="BodyText"/>
        <w:jc w:val="center"/>
        <w:rPr>
          <w:u w:val="single"/>
        </w:rPr>
      </w:pPr>
      <w:r>
        <w:rPr>
          <w:u w:val="single"/>
        </w:rPr>
        <w:t>Decision</w:t>
      </w:r>
    </w:p>
    <w:p w:rsidR="004A34E2" w:rsidRDefault="00C12D44" w:rsidP="004379DD">
      <w:pPr>
        <w:pStyle w:val="BodyText"/>
        <w:jc w:val="both"/>
        <w:rPr>
          <w:i/>
        </w:rPr>
      </w:pPr>
      <w:r>
        <w:rPr>
          <w:i/>
        </w:rPr>
        <w:t>Rule 25-30.</w:t>
      </w:r>
      <w:r w:rsidR="004A34E2">
        <w:rPr>
          <w:i/>
        </w:rPr>
        <w:t>020(2)(f), F.A.C.</w:t>
      </w:r>
    </w:p>
    <w:p w:rsidR="0024664C" w:rsidRDefault="004A34E2" w:rsidP="0024664C">
      <w:pPr>
        <w:pStyle w:val="BodyText"/>
        <w:spacing w:after="0"/>
        <w:jc w:val="both"/>
      </w:pPr>
      <w:r>
        <w:tab/>
      </w:r>
      <w:r w:rsidR="00085759" w:rsidRPr="00226478">
        <w:t>S</w:t>
      </w:r>
      <w:r w:rsidR="00085759">
        <w:t>ubs</w:t>
      </w:r>
      <w:r w:rsidR="00085759" w:rsidRPr="00226478">
        <w:t xml:space="preserve">ection 120.542(2), F.S., </w:t>
      </w:r>
      <w:r w:rsidR="00085759">
        <w:t>provides a procedure for agencies to provide relief to persons when strict application of uniformly applicable rule requirements leads to unreasonable, unfair, and unintended results in particular instances. In this case, FUS1</w:t>
      </w:r>
      <w:r w:rsidR="00085759" w:rsidRPr="00226478">
        <w:t xml:space="preserve"> requests that </w:t>
      </w:r>
      <w:r w:rsidR="00D86DFD">
        <w:t xml:space="preserve">we </w:t>
      </w:r>
      <w:r w:rsidR="00085759" w:rsidRPr="00226478">
        <w:t>grant it a waiver of Rule 25-30.020(2)(</w:t>
      </w:r>
      <w:r w:rsidR="00085759">
        <w:t>f</w:t>
      </w:r>
      <w:r w:rsidR="00085759" w:rsidRPr="00226478">
        <w:t>), F.A.C.,</w:t>
      </w:r>
      <w:r w:rsidR="00085759">
        <w:t xml:space="preserve"> to remit a single $1,000 filing fee instead of the  $13,000 in filing fees which was calculated pursuant to the rule for each of the fourteen systems operated by the eleven individual utilities. FUS1</w:t>
      </w:r>
      <w:r w:rsidR="00085759" w:rsidRPr="00226478">
        <w:t xml:space="preserve"> </w:t>
      </w:r>
      <w:r w:rsidR="00085759">
        <w:t>argues the rule waiver is appropriate because</w:t>
      </w:r>
      <w:r w:rsidR="00085759" w:rsidRPr="00226478">
        <w:t xml:space="preserve"> by filing a LARI for common costs only, </w:t>
      </w:r>
      <w:r w:rsidR="00C12D44">
        <w:t>we</w:t>
      </w:r>
      <w:r w:rsidR="00085759" w:rsidRPr="00226478">
        <w:t xml:space="preserve"> will </w:t>
      </w:r>
      <w:r w:rsidR="00085759">
        <w:t xml:space="preserve">only </w:t>
      </w:r>
      <w:r w:rsidR="00085759" w:rsidRPr="00226478">
        <w:t xml:space="preserve">have to make one calculation and apply that calculation </w:t>
      </w:r>
      <w:r w:rsidR="00085759">
        <w:t xml:space="preserve">eleven </w:t>
      </w:r>
      <w:r w:rsidR="00085759" w:rsidRPr="00226478">
        <w:t>times.</w:t>
      </w:r>
      <w:r w:rsidR="00D37925">
        <w:t xml:space="preserve"> </w:t>
      </w:r>
    </w:p>
    <w:p w:rsidR="00D37925" w:rsidRDefault="004A34E2" w:rsidP="0024664C">
      <w:pPr>
        <w:pStyle w:val="BodyText"/>
        <w:spacing w:after="0"/>
        <w:jc w:val="both"/>
      </w:pPr>
      <w:r>
        <w:br/>
      </w:r>
      <w:r>
        <w:tab/>
      </w:r>
      <w:r w:rsidR="00085759">
        <w:t>An a</w:t>
      </w:r>
      <w:r w:rsidR="00085759" w:rsidRPr="00226478">
        <w:t>genc</w:t>
      </w:r>
      <w:r w:rsidR="00085759">
        <w:t>y</w:t>
      </w:r>
      <w:r w:rsidR="00085759" w:rsidRPr="00226478">
        <w:t xml:space="preserve"> </w:t>
      </w:r>
      <w:r w:rsidR="00DC7AD0">
        <w:t>must</w:t>
      </w:r>
      <w:r w:rsidR="00085759">
        <w:t xml:space="preserve"> </w:t>
      </w:r>
      <w:r w:rsidR="00085759" w:rsidRPr="00226478">
        <w:t xml:space="preserve">grant variances or waivers from agency rules when the person subject to the rule demonstrates </w:t>
      </w:r>
      <w:r w:rsidR="00085759">
        <w:t xml:space="preserve">both (1) </w:t>
      </w:r>
      <w:r w:rsidR="00085759" w:rsidRPr="00226478">
        <w:t>that the purpose of the underlying statute will be or has been achieved by other means</w:t>
      </w:r>
      <w:r w:rsidR="00085759">
        <w:t>, and (2) that an</w:t>
      </w:r>
      <w:r w:rsidR="00085759" w:rsidRPr="00226478">
        <w:t xml:space="preserve"> application of the rule would </w:t>
      </w:r>
      <w:r w:rsidR="00085759">
        <w:t xml:space="preserve">either </w:t>
      </w:r>
      <w:r w:rsidR="00085759" w:rsidRPr="00226478">
        <w:t>cause the person substantial hardship or violate  principles of fairness.  S</w:t>
      </w:r>
      <w:r w:rsidR="00DC7AD0">
        <w:t>ubsection 120.542(2), F.S. “S</w:t>
      </w:r>
      <w:r w:rsidR="00085759" w:rsidRPr="00226478">
        <w:t xml:space="preserve">ubstantial hardship” </w:t>
      </w:r>
      <w:r w:rsidR="00DC7AD0">
        <w:t>as defined as</w:t>
      </w:r>
      <w:r w:rsidR="00085759" w:rsidRPr="00226478">
        <w:t xml:space="preserve"> a demonstrated economic, technological, legal, or other type of hardship.</w:t>
      </w:r>
    </w:p>
    <w:p w:rsidR="00D37925" w:rsidRDefault="004A34E2" w:rsidP="0024664C">
      <w:pPr>
        <w:pStyle w:val="BodyText"/>
        <w:spacing w:after="0"/>
        <w:jc w:val="both"/>
      </w:pPr>
      <w:r>
        <w:br/>
      </w:r>
      <w:r>
        <w:tab/>
      </w:r>
      <w:r w:rsidR="00085759">
        <w:t>The underlying statute a</w:t>
      </w:r>
      <w:r w:rsidR="00DC7AD0">
        <w:t>t issue in this case is Section</w:t>
      </w:r>
      <w:r w:rsidR="00085759">
        <w:t xml:space="preserve"> 367.145, F.S. Specifically, Subsection 367.145(2), F.S., requires that each utility requesting rate relief must pay an application fee to the Commission. T</w:t>
      </w:r>
      <w:r w:rsidR="00D86DFD">
        <w:t xml:space="preserve">he Legislature intended for us </w:t>
      </w:r>
      <w:r w:rsidR="00085759">
        <w:t xml:space="preserve">to create a filing fee to be paid by each utility to compensate </w:t>
      </w:r>
      <w:r w:rsidR="00D86DFD">
        <w:t>us</w:t>
      </w:r>
      <w:r w:rsidR="00085759">
        <w:t xml:space="preserve"> for </w:t>
      </w:r>
      <w:r w:rsidR="00D86DFD">
        <w:t>our</w:t>
      </w:r>
      <w:r w:rsidR="00085759">
        <w:t xml:space="preserve"> work on LARIs, and </w:t>
      </w:r>
      <w:r w:rsidR="00D86DFD">
        <w:t>we have</w:t>
      </w:r>
      <w:r w:rsidR="00085759">
        <w:t xml:space="preserve"> done so</w:t>
      </w:r>
      <w:r w:rsidR="00085759" w:rsidRPr="00CD7701">
        <w:t xml:space="preserve"> </w:t>
      </w:r>
      <w:r w:rsidR="00085759">
        <w:t xml:space="preserve">with </w:t>
      </w:r>
      <w:r w:rsidR="00D86DFD">
        <w:t>our</w:t>
      </w:r>
      <w:r w:rsidR="00085759">
        <w:t xml:space="preserve"> implementation of Rule 25-30.020, F.A.C., which sets forth how the filing fee is calculated based on the capacity of each water or wastewater system to serve a specific number of ERCs.  Accordingly, </w:t>
      </w:r>
      <w:r w:rsidR="00C12D44">
        <w:t>we</w:t>
      </w:r>
      <w:r w:rsidR="00085759">
        <w:t xml:space="preserve"> </w:t>
      </w:r>
      <w:r w:rsidR="00F054F4">
        <w:t>f</w:t>
      </w:r>
      <w:r w:rsidR="00C12D44">
        <w:t>ind</w:t>
      </w:r>
      <w:r w:rsidR="00085759">
        <w:t xml:space="preserve"> that a modification or waiver of this rule requirement would b</w:t>
      </w:r>
      <w:r w:rsidR="00DC7AD0">
        <w:t>e inconsistent with the statute.</w:t>
      </w:r>
    </w:p>
    <w:p w:rsidR="001E220B" w:rsidRDefault="004A34E2" w:rsidP="0024664C">
      <w:pPr>
        <w:pStyle w:val="BodyText"/>
        <w:spacing w:after="0"/>
        <w:jc w:val="both"/>
      </w:pPr>
      <w:r>
        <w:br/>
      </w:r>
      <w:r>
        <w:tab/>
      </w:r>
      <w:r w:rsidR="00085759">
        <w:t>In its petition</w:t>
      </w:r>
      <w:r w:rsidR="00DC7AD0">
        <w:t>, FUS1 claims</w:t>
      </w:r>
      <w:r w:rsidR="00085759">
        <w:t xml:space="preserve"> “By filing a LARI for common costs only, commission staff will have to make one calculation and apply that calculation 11 times, as they would do anyway." However, because these are not consolidated systems, an individual assessment of each individual uti</w:t>
      </w:r>
      <w:r w:rsidR="00DC7AD0">
        <w:t>lity and system is needed, that is</w:t>
      </w:r>
      <w:r w:rsidR="00085759">
        <w:t xml:space="preserve"> </w:t>
      </w:r>
      <w:r w:rsidR="00C12D44">
        <w:t>we</w:t>
      </w:r>
      <w:r w:rsidR="00085759">
        <w:t xml:space="preserve"> must conduct a review of each of the fourteen individual syste</w:t>
      </w:r>
      <w:r w:rsidR="00D86DFD">
        <w:t>ms that are shown in Table 1</w:t>
      </w:r>
      <w:r w:rsidR="00DC7AD0">
        <w:t xml:space="preserve"> </w:t>
      </w:r>
      <w:r w:rsidR="00085759">
        <w:t>above.</w:t>
      </w:r>
      <w:r w:rsidR="00085759">
        <w:rPr>
          <w:rStyle w:val="CommentReference"/>
        </w:rPr>
        <w:t xml:space="preserve"> </w:t>
      </w:r>
      <w:r w:rsidR="00085759">
        <w:t xml:space="preserve"> The purpose of the filing fee is to defray some of the costs of processing these applications thereby allowing </w:t>
      </w:r>
      <w:r w:rsidR="00C12D44">
        <w:t>us</w:t>
      </w:r>
      <w:r w:rsidR="00085759">
        <w:t xml:space="preserve"> to assist small water and wastewater systems. As such, a filing fee for each system is consistent with the applicable statutes and rules. Furthermore, Section 367.145(2), F.S., states that the filing fee is to be based upon the capacity of the system, not on the amount of the work performed by the Commission.</w:t>
      </w:r>
      <w:r w:rsidR="00085759">
        <w:rPr>
          <w:rStyle w:val="FootnoteReference"/>
        </w:rPr>
        <w:footnoteReference w:id="1"/>
      </w:r>
      <w:r w:rsidR="00085759">
        <w:t xml:space="preserve">  For these reasons, </w:t>
      </w:r>
      <w:r w:rsidR="00C12D44">
        <w:t>we</w:t>
      </w:r>
      <w:r w:rsidR="00085759">
        <w:t xml:space="preserve"> </w:t>
      </w:r>
      <w:r w:rsidR="00F054F4">
        <w:t>f</w:t>
      </w:r>
      <w:r w:rsidR="00C12D44">
        <w:t>ind</w:t>
      </w:r>
      <w:r w:rsidR="00085759">
        <w:t xml:space="preserve"> that FUS1’s petition</w:t>
      </w:r>
      <w:r w:rsidR="00085759" w:rsidRPr="00226478">
        <w:t xml:space="preserve"> </w:t>
      </w:r>
      <w:r w:rsidR="00085759">
        <w:t>failed to demonstrate how a waiver of filing fees will meet the purpose of the underlying statute.</w:t>
      </w:r>
    </w:p>
    <w:p w:rsidR="00085759" w:rsidRDefault="001E220B" w:rsidP="004379DD">
      <w:pPr>
        <w:pStyle w:val="BodyText"/>
        <w:jc w:val="both"/>
      </w:pPr>
      <w:r>
        <w:br/>
      </w:r>
      <w:r>
        <w:tab/>
      </w:r>
      <w:r w:rsidR="00085759">
        <w:t xml:space="preserve">Moreover, </w:t>
      </w:r>
      <w:r w:rsidR="00C12D44">
        <w:t>we</w:t>
      </w:r>
      <w:r w:rsidR="00085759">
        <w:t xml:space="preserve"> </w:t>
      </w:r>
      <w:r w:rsidR="00F054F4">
        <w:t>f</w:t>
      </w:r>
      <w:r w:rsidR="00C12D44">
        <w:t>ind</w:t>
      </w:r>
      <w:r w:rsidR="00085759">
        <w:t xml:space="preserve"> that FUS1’s Petition</w:t>
      </w:r>
      <w:r w:rsidR="00085759" w:rsidRPr="00226478">
        <w:t xml:space="preserve"> </w:t>
      </w:r>
      <w:r w:rsidR="00085759">
        <w:t>failed to</w:t>
      </w:r>
      <w:r w:rsidR="00085759" w:rsidDel="00A53EF7">
        <w:t xml:space="preserve"> </w:t>
      </w:r>
      <w:r w:rsidR="00085759">
        <w:t>demonstrate how the</w:t>
      </w:r>
      <w:r w:rsidR="00085759" w:rsidRPr="00226478">
        <w:t xml:space="preserve"> application of </w:t>
      </w:r>
      <w:r w:rsidR="00085759">
        <w:t>Rule 25-30.020(2)(f), F.A.C</w:t>
      </w:r>
      <w:r w:rsidR="00085759" w:rsidRPr="00226478">
        <w:t xml:space="preserve">., would create a substantial hardship </w:t>
      </w:r>
      <w:r w:rsidR="00085759">
        <w:t xml:space="preserve">for the utilities and their customers. While FUS1 argues the application fees would limit the utilities’ cash reserves and inhibit the ability to deal with emergencies in a proper manner, </w:t>
      </w:r>
      <w:r w:rsidR="00C12D44">
        <w:t>we</w:t>
      </w:r>
      <w:r w:rsidR="00085759">
        <w:t xml:space="preserve"> </w:t>
      </w:r>
      <w:r w:rsidR="00F054F4">
        <w:t>f</w:t>
      </w:r>
      <w:r w:rsidR="00C12D44">
        <w:t>ind</w:t>
      </w:r>
      <w:r w:rsidR="00085759">
        <w:t xml:space="preserve"> the filing fees are highly predictable and incurred as a regular cost of doing business. Therefore, FUS1 failed to adequately show it meets the requirements for a rule waiver pursuant to </w:t>
      </w:r>
      <w:r w:rsidR="00085759" w:rsidRPr="00226478">
        <w:t>S</w:t>
      </w:r>
      <w:r w:rsidR="00085759">
        <w:t>ubsection 120.542</w:t>
      </w:r>
      <w:r w:rsidR="00085759" w:rsidRPr="00226478">
        <w:t>, F.S.</w:t>
      </w:r>
    </w:p>
    <w:p w:rsidR="004A34E2" w:rsidRDefault="004A34E2" w:rsidP="004A34E2">
      <w:pPr>
        <w:pStyle w:val="OrderBody"/>
      </w:pPr>
      <w:r>
        <w:rPr>
          <w:i/>
        </w:rPr>
        <w:br/>
      </w:r>
      <w:r w:rsidR="00085759" w:rsidRPr="00085759">
        <w:rPr>
          <w:i/>
        </w:rPr>
        <w:t>Conclusion</w:t>
      </w:r>
      <w:r>
        <w:br/>
      </w:r>
      <w:r>
        <w:tab/>
      </w:r>
      <w:r>
        <w:br/>
      </w:r>
      <w:r>
        <w:tab/>
      </w:r>
      <w:r w:rsidR="00085759" w:rsidRPr="00226478">
        <w:t xml:space="preserve">Based on the above, </w:t>
      </w:r>
      <w:r w:rsidR="00C12D44">
        <w:t>we</w:t>
      </w:r>
      <w:r w:rsidR="00085759">
        <w:t xml:space="preserve"> deny</w:t>
      </w:r>
      <w:r w:rsidR="00085759" w:rsidRPr="00226478">
        <w:t xml:space="preserve"> </w:t>
      </w:r>
      <w:r w:rsidR="00085759">
        <w:t>FUS1</w:t>
      </w:r>
      <w:r w:rsidR="00085759" w:rsidRPr="00226478">
        <w:t xml:space="preserve">’s </w:t>
      </w:r>
      <w:r w:rsidR="00085759">
        <w:t>Petition for a</w:t>
      </w:r>
      <w:r w:rsidR="00085759" w:rsidRPr="00226478">
        <w:t xml:space="preserve"> waiver of </w:t>
      </w:r>
      <w:r w:rsidR="00085759">
        <w:t>Rule 25-30.020(2)(f), F.A.C</w:t>
      </w:r>
      <w:r w:rsidR="00085759" w:rsidRPr="00226478">
        <w:t xml:space="preserve">., to allow </w:t>
      </w:r>
      <w:r w:rsidR="00085759">
        <w:t xml:space="preserve">FUS1 to file a single filing fee for fourteen separate </w:t>
      </w:r>
      <w:r>
        <w:t>systems.</w:t>
      </w:r>
    </w:p>
    <w:p w:rsidR="004A34E2" w:rsidRDefault="004A34E2" w:rsidP="004A34E2">
      <w:pPr>
        <w:pStyle w:val="OrderBody"/>
      </w:pPr>
      <w:r>
        <w:br/>
      </w:r>
      <w:r w:rsidR="00D86DFD">
        <w:tab/>
      </w:r>
      <w:r w:rsidR="00085759">
        <w:t>Based on the foregoing, it is</w:t>
      </w:r>
    </w:p>
    <w:p w:rsidR="00085759" w:rsidRPr="004A34E2" w:rsidRDefault="004A34E2" w:rsidP="004A34E2">
      <w:pPr>
        <w:pStyle w:val="OrderBody"/>
      </w:pPr>
      <w:r>
        <w:br/>
      </w:r>
      <w:r>
        <w:tab/>
      </w:r>
      <w:r w:rsidR="00085759" w:rsidRPr="00BB2BA5">
        <w:t xml:space="preserve">ORDERED by the Florida Public Service Commission that </w:t>
      </w:r>
      <w:r w:rsidR="00085759" w:rsidRPr="00226478">
        <w:t>Florida Utility Services 1, LLC</w:t>
      </w:r>
      <w:r w:rsidR="00085759" w:rsidRPr="004A34E2">
        <w:t>’s petition for waiver of Rule 25-30.020(2)(f), F.A.C., is denied for the reasons set forth in the body of this Order. It is further</w:t>
      </w:r>
    </w:p>
    <w:p w:rsidR="00085759" w:rsidRDefault="00085759" w:rsidP="00085759">
      <w:pPr>
        <w:pStyle w:val="OrderBody"/>
      </w:pPr>
      <w:r w:rsidRPr="00430011">
        <w:tab/>
        <w:t> </w:t>
      </w:r>
    </w:p>
    <w:p w:rsidR="00085759" w:rsidRDefault="00085759" w:rsidP="00085759">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85759" w:rsidRDefault="00085759" w:rsidP="00085759">
      <w:pPr>
        <w:pStyle w:val="OrderBody"/>
      </w:pPr>
    </w:p>
    <w:p w:rsidR="00085759" w:rsidRDefault="00085759" w:rsidP="00085759">
      <w:pPr>
        <w:pStyle w:val="OrderBody"/>
      </w:pPr>
      <w:r>
        <w:tab/>
        <w:t xml:space="preserve">ORDERED that </w:t>
      </w:r>
      <w:r w:rsidRPr="004C5406">
        <w:t xml:space="preserve">this docket shall remain open pending our decision on the </w:t>
      </w:r>
      <w:r w:rsidRPr="004E01BD">
        <w:t xml:space="preserve">application for </w:t>
      </w:r>
      <w:r>
        <w:t xml:space="preserve">a Limited Alternative Rate Increase. </w:t>
      </w:r>
    </w:p>
    <w:p w:rsidR="0024664C" w:rsidRDefault="0024664C" w:rsidP="0024664C">
      <w:pPr>
        <w:pStyle w:val="OrderBody"/>
        <w:keepNext/>
        <w:keepLines/>
      </w:pPr>
      <w:r>
        <w:tab/>
        <w:t xml:space="preserve">By ORDER of the Florida Public Service Commission this </w:t>
      </w:r>
      <w:bookmarkStart w:id="7" w:name="replaceDate"/>
      <w:bookmarkEnd w:id="7"/>
      <w:r w:rsidR="006D73BD">
        <w:rPr>
          <w:u w:val="single"/>
        </w:rPr>
        <w:t>30th</w:t>
      </w:r>
      <w:r w:rsidR="006D73BD">
        <w:t xml:space="preserve"> day of </w:t>
      </w:r>
      <w:r w:rsidR="006D73BD">
        <w:rPr>
          <w:u w:val="single"/>
        </w:rPr>
        <w:t>January</w:t>
      </w:r>
      <w:r w:rsidR="006D73BD">
        <w:t xml:space="preserve">, </w:t>
      </w:r>
      <w:r w:rsidR="006D73BD">
        <w:rPr>
          <w:u w:val="single"/>
        </w:rPr>
        <w:t>2023</w:t>
      </w:r>
      <w:r w:rsidR="006D73BD">
        <w:t>.</w:t>
      </w:r>
    </w:p>
    <w:p w:rsidR="006D73BD" w:rsidRPr="006D73BD" w:rsidRDefault="006D73BD" w:rsidP="0024664C">
      <w:pPr>
        <w:pStyle w:val="OrderBody"/>
        <w:keepNext/>
        <w:keepLines/>
      </w:pPr>
    </w:p>
    <w:p w:rsidR="0024664C" w:rsidRDefault="0024664C" w:rsidP="0024664C">
      <w:pPr>
        <w:pStyle w:val="OrderBody"/>
        <w:keepNext/>
        <w:keepLines/>
      </w:pPr>
    </w:p>
    <w:p w:rsidR="0024664C" w:rsidRDefault="0024664C" w:rsidP="0024664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4664C" w:rsidTr="0024664C">
        <w:tc>
          <w:tcPr>
            <w:tcW w:w="720" w:type="dxa"/>
            <w:shd w:val="clear" w:color="auto" w:fill="auto"/>
          </w:tcPr>
          <w:p w:rsidR="0024664C" w:rsidRDefault="0024664C" w:rsidP="0024664C">
            <w:pPr>
              <w:pStyle w:val="OrderBody"/>
              <w:keepNext/>
              <w:keepLines/>
            </w:pPr>
            <w:bookmarkStart w:id="8" w:name="bkmrkSignature" w:colFirst="0" w:colLast="0"/>
          </w:p>
        </w:tc>
        <w:tc>
          <w:tcPr>
            <w:tcW w:w="4320" w:type="dxa"/>
            <w:tcBorders>
              <w:bottom w:val="single" w:sz="4" w:space="0" w:color="auto"/>
            </w:tcBorders>
            <w:shd w:val="clear" w:color="auto" w:fill="auto"/>
          </w:tcPr>
          <w:p w:rsidR="0024664C" w:rsidRDefault="006D73BD" w:rsidP="0024664C">
            <w:pPr>
              <w:pStyle w:val="OrderBody"/>
              <w:keepNext/>
              <w:keepLines/>
            </w:pPr>
            <w:r>
              <w:t>/s/ Adam J. Teitzman</w:t>
            </w:r>
          </w:p>
        </w:tc>
      </w:tr>
      <w:bookmarkEnd w:id="8"/>
      <w:tr w:rsidR="0024664C" w:rsidTr="0024664C">
        <w:tc>
          <w:tcPr>
            <w:tcW w:w="720" w:type="dxa"/>
            <w:shd w:val="clear" w:color="auto" w:fill="auto"/>
          </w:tcPr>
          <w:p w:rsidR="0024664C" w:rsidRDefault="0024664C" w:rsidP="0024664C">
            <w:pPr>
              <w:pStyle w:val="OrderBody"/>
              <w:keepNext/>
              <w:keepLines/>
            </w:pPr>
          </w:p>
        </w:tc>
        <w:tc>
          <w:tcPr>
            <w:tcW w:w="4320" w:type="dxa"/>
            <w:tcBorders>
              <w:top w:val="single" w:sz="4" w:space="0" w:color="auto"/>
            </w:tcBorders>
            <w:shd w:val="clear" w:color="auto" w:fill="auto"/>
          </w:tcPr>
          <w:p w:rsidR="0024664C" w:rsidRDefault="0024664C" w:rsidP="0024664C">
            <w:pPr>
              <w:pStyle w:val="OrderBody"/>
              <w:keepNext/>
              <w:keepLines/>
            </w:pPr>
            <w:r>
              <w:t>ADAM J. TEITZMAN</w:t>
            </w:r>
          </w:p>
          <w:p w:rsidR="0024664C" w:rsidRDefault="0024664C" w:rsidP="0024664C">
            <w:pPr>
              <w:pStyle w:val="OrderBody"/>
              <w:keepNext/>
              <w:keepLines/>
            </w:pPr>
            <w:r>
              <w:t>Commission Clerk</w:t>
            </w:r>
          </w:p>
        </w:tc>
      </w:tr>
    </w:tbl>
    <w:p w:rsidR="0024664C" w:rsidRDefault="0024664C" w:rsidP="0024664C">
      <w:pPr>
        <w:pStyle w:val="OrderSigInfo"/>
        <w:keepNext/>
        <w:keepLines/>
      </w:pPr>
      <w:r>
        <w:t>Florida Public Service Commission</w:t>
      </w:r>
    </w:p>
    <w:p w:rsidR="0024664C" w:rsidRDefault="0024664C" w:rsidP="0024664C">
      <w:pPr>
        <w:pStyle w:val="OrderSigInfo"/>
        <w:keepNext/>
        <w:keepLines/>
      </w:pPr>
      <w:r>
        <w:t>2540 Shumard Oak Boulevard</w:t>
      </w:r>
    </w:p>
    <w:p w:rsidR="0024664C" w:rsidRDefault="0024664C" w:rsidP="0024664C">
      <w:pPr>
        <w:pStyle w:val="OrderSigInfo"/>
        <w:keepNext/>
        <w:keepLines/>
      </w:pPr>
      <w:r>
        <w:t>Tallahassee, Florida 32399</w:t>
      </w:r>
    </w:p>
    <w:p w:rsidR="0024664C" w:rsidRDefault="0024664C" w:rsidP="0024664C">
      <w:pPr>
        <w:pStyle w:val="OrderSigInfo"/>
        <w:keepNext/>
        <w:keepLines/>
      </w:pPr>
      <w:r>
        <w:t>(850) 413</w:t>
      </w:r>
      <w:r>
        <w:noBreakHyphen/>
        <w:t>6770</w:t>
      </w:r>
    </w:p>
    <w:p w:rsidR="0024664C" w:rsidRDefault="0024664C" w:rsidP="0024664C">
      <w:pPr>
        <w:pStyle w:val="OrderSigInfo"/>
        <w:keepNext/>
        <w:keepLines/>
      </w:pPr>
      <w:r>
        <w:t>www.floridapsc.com</w:t>
      </w:r>
    </w:p>
    <w:p w:rsidR="0024664C" w:rsidRDefault="0024664C" w:rsidP="0024664C">
      <w:pPr>
        <w:pStyle w:val="OrderSigInfo"/>
        <w:keepNext/>
        <w:keepLines/>
      </w:pPr>
    </w:p>
    <w:p w:rsidR="0024664C" w:rsidRDefault="0024664C" w:rsidP="0024664C">
      <w:pPr>
        <w:pStyle w:val="OrderSigInfo"/>
        <w:keepNext/>
        <w:keepLines/>
      </w:pPr>
      <w:r>
        <w:t>Copies furnished:  A copy of this document is provided to the parties of record at the time of issuance and, if applicable, interested persons.</w:t>
      </w:r>
    </w:p>
    <w:p w:rsidR="00CE7518" w:rsidRDefault="00CE7518" w:rsidP="0024664C">
      <w:pPr>
        <w:pStyle w:val="OrderBody"/>
        <w:keepNext/>
        <w:keepLines/>
      </w:pPr>
    </w:p>
    <w:p w:rsidR="00720ACC" w:rsidRDefault="00720ACC" w:rsidP="00720ACC">
      <w:pPr>
        <w:keepNext/>
        <w:keepLines/>
        <w:jc w:val="both"/>
      </w:pPr>
      <w:r>
        <w:t>MJJ</w:t>
      </w:r>
    </w:p>
    <w:p w:rsidR="00720ACC" w:rsidRDefault="00720ACC" w:rsidP="00720ACC">
      <w:pPr>
        <w:jc w:val="both"/>
      </w:pPr>
    </w:p>
    <w:p w:rsidR="00720ACC" w:rsidRDefault="00720ACC" w:rsidP="00720ACC">
      <w:pPr>
        <w:pStyle w:val="CenterUnderline"/>
      </w:pPr>
      <w:r>
        <w:t>NOTICE OF FURTHER PROCEEDINGS OR JUDICIAL REVIEW</w:t>
      </w:r>
    </w:p>
    <w:p w:rsidR="005F2751" w:rsidRDefault="005F2751" w:rsidP="00720ACC">
      <w:pPr>
        <w:pStyle w:val="CenterUnderline"/>
        <w:rPr>
          <w:u w:val="none"/>
        </w:rPr>
      </w:pPr>
    </w:p>
    <w:p w:rsidR="00720ACC" w:rsidRDefault="00720ACC" w:rsidP="00720ACC">
      <w:pPr>
        <w:pStyle w:val="OrderBody"/>
      </w:pPr>
      <w:r>
        <w:tab/>
        <w:t>The Florida Public Service Commission is required by S</w:t>
      </w:r>
      <w:r w:rsidR="00085759">
        <w:t>ubs</w:t>
      </w:r>
      <w:r>
        <w:t>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720ACC" w:rsidRDefault="00720ACC" w:rsidP="00720ACC">
      <w:pPr>
        <w:pStyle w:val="OrderBody"/>
      </w:pPr>
    </w:p>
    <w:p w:rsidR="00720ACC" w:rsidRDefault="00720ACC" w:rsidP="00720ACC">
      <w:pPr>
        <w:pStyle w:val="OrderBody"/>
      </w:pPr>
      <w:r>
        <w:tab/>
        <w:t>Mediation may be available on a case-by-case basis.  If mediation is conducted, it does not affect a substantially interested person's right to a hearing.</w:t>
      </w:r>
    </w:p>
    <w:p w:rsidR="00720ACC" w:rsidRDefault="00720ACC" w:rsidP="00720ACC">
      <w:pPr>
        <w:pStyle w:val="OrderBody"/>
      </w:pPr>
    </w:p>
    <w:p w:rsidR="00720ACC" w:rsidRDefault="00720ACC" w:rsidP="00720ACC">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D73BD">
        <w:rPr>
          <w:u w:val="single"/>
        </w:rPr>
        <w:t>February 20, 2023</w:t>
      </w:r>
      <w:r>
        <w:t>.</w:t>
      </w:r>
    </w:p>
    <w:p w:rsidR="00720ACC" w:rsidRDefault="00720ACC" w:rsidP="00720ACC">
      <w:pPr>
        <w:pStyle w:val="OrderBody"/>
      </w:pPr>
    </w:p>
    <w:p w:rsidR="00720ACC" w:rsidRDefault="00720ACC" w:rsidP="00720ACC">
      <w:pPr>
        <w:pStyle w:val="OrderBody"/>
      </w:pPr>
      <w:r>
        <w:tab/>
        <w:t>In the absence of such a petition, this order shall become final and effective upon the issuance of a Consummating Order.</w:t>
      </w:r>
    </w:p>
    <w:p w:rsidR="00720ACC" w:rsidRDefault="00720ACC" w:rsidP="00720ACC">
      <w:pPr>
        <w:pStyle w:val="OrderBody"/>
      </w:pPr>
    </w:p>
    <w:p w:rsidR="00720ACC" w:rsidRPr="00720ACC" w:rsidRDefault="00720ACC" w:rsidP="00720ACC">
      <w:pPr>
        <w:pStyle w:val="OrderBody"/>
      </w:pPr>
      <w:r>
        <w:tab/>
        <w:t>Any objection or protest filed in this/these docket(s) before the issuance date of this order is considered abandoned unless it satisfies the foregoing conditions and is renewed within the specified protest period.</w:t>
      </w:r>
    </w:p>
    <w:sectPr w:rsidR="00720ACC" w:rsidRPr="00720ACC">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ACC" w:rsidRDefault="00720ACC">
      <w:r>
        <w:separator/>
      </w:r>
    </w:p>
  </w:endnote>
  <w:endnote w:type="continuationSeparator" w:id="0">
    <w:p w:rsidR="00720ACC" w:rsidRDefault="0072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ACC" w:rsidRDefault="00720ACC">
      <w:r>
        <w:separator/>
      </w:r>
    </w:p>
  </w:footnote>
  <w:footnote w:type="continuationSeparator" w:id="0">
    <w:p w:rsidR="00720ACC" w:rsidRDefault="00720ACC">
      <w:r>
        <w:continuationSeparator/>
      </w:r>
    </w:p>
  </w:footnote>
  <w:footnote w:id="1">
    <w:p w:rsidR="00085759" w:rsidRDefault="00085759" w:rsidP="00085759">
      <w:pPr>
        <w:pStyle w:val="FootnoteText"/>
      </w:pPr>
      <w:r>
        <w:rPr>
          <w:rStyle w:val="FootnoteReference"/>
        </w:rPr>
        <w:footnoteRef/>
      </w:r>
      <w:r w:rsidR="00C12D44">
        <w:t xml:space="preserve"> This is consistent with our prior </w:t>
      </w:r>
      <w:r>
        <w:t xml:space="preserve">practice. </w:t>
      </w:r>
      <w:r>
        <w:rPr>
          <w:i/>
        </w:rPr>
        <w:t>See</w:t>
      </w:r>
      <w:r>
        <w:t xml:space="preserve"> Docket No. 20200152-WS, where </w:t>
      </w:r>
      <w:r w:rsidR="00D86DFD">
        <w:t xml:space="preserve">we </w:t>
      </w:r>
      <w:r>
        <w:t>accepted a fee of $4,500 for processing a LARI for Alturas Water, LLC, Sunrise Water, LLC, Pinecrest Utilities, LLC, and East Marion Utilities, LLC.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6A51B3">
      <w:fldChar w:fldCharType="begin"/>
    </w:r>
    <w:r w:rsidR="006A51B3">
      <w:instrText xml:space="preserve"> REF OrderNo0064 </w:instrText>
    </w:r>
    <w:r w:rsidR="006A51B3">
      <w:fldChar w:fldCharType="separate"/>
    </w:r>
    <w:r w:rsidR="006A51B3">
      <w:t>PSC-2023-0064-PAA-WS</w:t>
    </w:r>
    <w:r w:rsidR="006A51B3">
      <w:fldChar w:fldCharType="end"/>
    </w:r>
  </w:p>
  <w:p w:rsidR="00FA6EFD" w:rsidRDefault="00720ACC">
    <w:pPr>
      <w:pStyle w:val="OrderHeader"/>
    </w:pPr>
    <w:bookmarkStart w:id="9" w:name="HeaderDocketNo"/>
    <w:bookmarkEnd w:id="9"/>
    <w:r>
      <w:t>DOCKET NO. 20220185-WS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A51B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85-WS"/>
  </w:docVars>
  <w:rsids>
    <w:rsidRoot w:val="00720AC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5759"/>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1C4E"/>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220B"/>
    <w:rsid w:val="001F0095"/>
    <w:rsid w:val="001F36B0"/>
    <w:rsid w:val="001F4CA3"/>
    <w:rsid w:val="001F59E0"/>
    <w:rsid w:val="002002ED"/>
    <w:rsid w:val="002044DD"/>
    <w:rsid w:val="002170E5"/>
    <w:rsid w:val="00220D57"/>
    <w:rsid w:val="00223B99"/>
    <w:rsid w:val="0022721A"/>
    <w:rsid w:val="00230BB9"/>
    <w:rsid w:val="00241CEF"/>
    <w:rsid w:val="0024664C"/>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379DD"/>
    <w:rsid w:val="004431B4"/>
    <w:rsid w:val="0045537F"/>
    <w:rsid w:val="00457DC7"/>
    <w:rsid w:val="004640B3"/>
    <w:rsid w:val="00472BCC"/>
    <w:rsid w:val="00477699"/>
    <w:rsid w:val="004A25CD"/>
    <w:rsid w:val="004A26CC"/>
    <w:rsid w:val="004A34E2"/>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D68"/>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A51B3"/>
    <w:rsid w:val="006B0036"/>
    <w:rsid w:val="006B0DA6"/>
    <w:rsid w:val="006B3FA9"/>
    <w:rsid w:val="006C547E"/>
    <w:rsid w:val="006D2B51"/>
    <w:rsid w:val="006D5575"/>
    <w:rsid w:val="006D7191"/>
    <w:rsid w:val="006D73BD"/>
    <w:rsid w:val="006E21C4"/>
    <w:rsid w:val="006E42BE"/>
    <w:rsid w:val="006E5D4D"/>
    <w:rsid w:val="006E6D16"/>
    <w:rsid w:val="00703F2A"/>
    <w:rsid w:val="00704C5D"/>
    <w:rsid w:val="007072BC"/>
    <w:rsid w:val="00715275"/>
    <w:rsid w:val="00720ACC"/>
    <w:rsid w:val="00721B44"/>
    <w:rsid w:val="007232A2"/>
    <w:rsid w:val="00726366"/>
    <w:rsid w:val="00731AB6"/>
    <w:rsid w:val="00733B6B"/>
    <w:rsid w:val="00740808"/>
    <w:rsid w:val="007467C4"/>
    <w:rsid w:val="0076170F"/>
    <w:rsid w:val="0076669C"/>
    <w:rsid w:val="00766E46"/>
    <w:rsid w:val="00772BD4"/>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C6A90"/>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03"/>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2D4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518"/>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37925"/>
    <w:rsid w:val="00D46FAA"/>
    <w:rsid w:val="00D47A40"/>
    <w:rsid w:val="00D51D33"/>
    <w:rsid w:val="00D57BB2"/>
    <w:rsid w:val="00D57E57"/>
    <w:rsid w:val="00D70752"/>
    <w:rsid w:val="00D80E2D"/>
    <w:rsid w:val="00D84D5E"/>
    <w:rsid w:val="00D8560E"/>
    <w:rsid w:val="00D86DFD"/>
    <w:rsid w:val="00D8758F"/>
    <w:rsid w:val="00DA4EDD"/>
    <w:rsid w:val="00DA6B78"/>
    <w:rsid w:val="00DB122B"/>
    <w:rsid w:val="00DC1D94"/>
    <w:rsid w:val="00DC42CF"/>
    <w:rsid w:val="00DC738A"/>
    <w:rsid w:val="00DC7AD0"/>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4F4"/>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2A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85759"/>
    <w:pPr>
      <w:jc w:val="center"/>
    </w:pPr>
    <w:rPr>
      <w:rFonts w:ascii="Arial" w:hAnsi="Arial"/>
      <w:b/>
    </w:rPr>
  </w:style>
  <w:style w:type="character" w:styleId="CommentReference">
    <w:name w:val="annotation reference"/>
    <w:basedOn w:val="DefaultParagraphFont"/>
    <w:semiHidden/>
    <w:unhideWhenUsed/>
    <w:rsid w:val="00085759"/>
    <w:rPr>
      <w:sz w:val="16"/>
      <w:szCs w:val="16"/>
    </w:rPr>
  </w:style>
  <w:style w:type="paragraph" w:styleId="BalloonText">
    <w:name w:val="Balloon Text"/>
    <w:basedOn w:val="Normal"/>
    <w:link w:val="BalloonTextChar"/>
    <w:semiHidden/>
    <w:unhideWhenUsed/>
    <w:rsid w:val="00171C4E"/>
    <w:rPr>
      <w:rFonts w:ascii="Segoe UI" w:hAnsi="Segoe UI" w:cs="Segoe UI"/>
      <w:sz w:val="18"/>
      <w:szCs w:val="18"/>
    </w:rPr>
  </w:style>
  <w:style w:type="character" w:customStyle="1" w:styleId="BalloonTextChar">
    <w:name w:val="Balloon Text Char"/>
    <w:basedOn w:val="DefaultParagraphFont"/>
    <w:link w:val="BalloonText"/>
    <w:semiHidden/>
    <w:rsid w:val="00171C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2023-01-30T14:39:00Z</dcterms:created>
  <dcterms:modified xsi:type="dcterms:W3CDTF">2023-01-30T15:19:00Z</dcterms:modified>
</cp:coreProperties>
</file>