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128D5">
            <w:pPr>
              <w:pStyle w:val="MemoHeading"/>
            </w:pPr>
            <w:bookmarkStart w:id="1" w:name="FilingDate"/>
            <w:r>
              <w:t>April 20,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128D5" w:rsidRDefault="00D128D5">
            <w:pPr>
              <w:pStyle w:val="MemoHeading"/>
            </w:pPr>
            <w:bookmarkStart w:id="2" w:name="From"/>
            <w:r>
              <w:t>Division of Economics (Ward, Hampson)</w:t>
            </w:r>
          </w:p>
          <w:p w:rsidR="007C0528" w:rsidRDefault="00D128D5">
            <w:pPr>
              <w:pStyle w:val="MemoHeading"/>
            </w:pPr>
            <w:r>
              <w:t>Office of the General Counsel (Thompson)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128D5">
            <w:pPr>
              <w:pStyle w:val="MemoHeadingRe"/>
            </w:pPr>
            <w:bookmarkStart w:id="3" w:name="Re"/>
            <w:r>
              <w:t>Docket No. 20230045-EI – Petition for approval of revisions to underground residential tariff, underground commercial differential tariff, and overhead to underground conversion tariff,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128D5">
            <w:pPr>
              <w:pStyle w:val="MemoHeading"/>
            </w:pPr>
            <w:bookmarkStart w:id="4" w:name="AgendaDate"/>
            <w:r>
              <w:t>05/02/23</w:t>
            </w:r>
            <w:bookmarkEnd w:id="4"/>
            <w:r w:rsidR="007C0528">
              <w:t xml:space="preserve"> – </w:t>
            </w:r>
            <w:bookmarkStart w:id="5" w:name="PermittedStatus"/>
            <w:r>
              <w:t xml:space="preserve">Regular Agenda – Tariff Suspension – </w:t>
            </w:r>
            <w:bookmarkEnd w:id="5"/>
            <w:r>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128D5">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128D5">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B6DAA">
            <w:pPr>
              <w:pStyle w:val="MemoHeading"/>
            </w:pPr>
            <w:bookmarkStart w:id="8" w:name="CriticalDates"/>
            <w:r>
              <w:t>05/30</w:t>
            </w:r>
            <w:r w:rsidR="00D128D5">
              <w:t>/23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128D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B6DAA" w:rsidRDefault="00D128D5">
      <w:pPr>
        <w:pStyle w:val="BodyText"/>
      </w:pPr>
      <w:r>
        <w:t>On M</w:t>
      </w:r>
      <w:r w:rsidR="0080290A">
        <w:t>arch 31, 2023, Florida Power &amp;</w:t>
      </w:r>
      <w:r>
        <w:t xml:space="preserve"> Light Company (FPL) filed a petition for approval of </w:t>
      </w:r>
      <w:proofErr w:type="gramStart"/>
      <w:r w:rsidR="0059418A">
        <w:t>revisions</w:t>
      </w:r>
      <w:proofErr w:type="gramEnd"/>
      <w:r w:rsidR="0059418A">
        <w:t xml:space="preserve"> to its underground residential and commercial differential tariffs. These tariffs represent the additional costs, if any, FPL incurs to provide underground service in place o</w:t>
      </w:r>
      <w:r w:rsidR="005B6DAA">
        <w:t xml:space="preserve">f overhead service. The petition was filed pursuant to Rule 25-6.078(3), Florida Administrative Code (F.A.C.), which states, in part, “If the cost differential as calculated in Form PSC 1031 (08/20) varies from the Commission-approved differential by plus or minus 10 percent or more, the utility shall file a written policy and supporting data and analyses as prescribed in subsections (1), (4), and (5) of this rule on or before April 1 of the following year.” </w:t>
      </w:r>
      <w:r w:rsidR="00B27E9F">
        <w:t>FPL’s last URD tar</w:t>
      </w:r>
      <w:r w:rsidR="00DF34C3">
        <w:t>iff filing was required in 2022;</w:t>
      </w:r>
      <w:r w:rsidR="00B27E9F">
        <w:t xml:space="preserve"> however</w:t>
      </w:r>
      <w:r w:rsidR="00DF34C3">
        <w:t>,</w:t>
      </w:r>
      <w:r w:rsidR="00B27E9F">
        <w:t xml:space="preserve"> b</w:t>
      </w:r>
      <w:r w:rsidR="005B6DAA">
        <w:t>y Order No. PSC-2022-0191-FOF-EI</w:t>
      </w:r>
      <w:r w:rsidR="005A1BB9">
        <w:t xml:space="preserve"> issued in Docket </w:t>
      </w:r>
      <w:r w:rsidR="005A1BB9">
        <w:lastRenderedPageBreak/>
        <w:t>No. 20220012-EI, FPL was granted a temporary waiver to defer filing its next revised URD tariff until April 1, 2023.</w:t>
      </w:r>
      <w:r w:rsidR="008C25D4">
        <w:rPr>
          <w:rStyle w:val="FootnoteReference"/>
        </w:rPr>
        <w:footnoteReference w:id="1"/>
      </w:r>
      <w:r w:rsidR="005A1BB9">
        <w:t xml:space="preserve"> </w:t>
      </w:r>
    </w:p>
    <w:p w:rsidR="0068481F" w:rsidRDefault="005B6DAA">
      <w:pPr>
        <w:pStyle w:val="BodyText"/>
      </w:pPr>
      <w:r>
        <w:t>In its petition</w:t>
      </w:r>
      <w:r w:rsidR="0059418A">
        <w:t xml:space="preserve">, FPL is seeking approval to update the cost differential for residential and commercial underground service and their respective associated tariff sheets. Additionally, FPL is requesting </w:t>
      </w:r>
      <w:r w:rsidR="00037801">
        <w:t>approval of revisions to its overhead to underground conversion tariff and associated underground facilities conv</w:t>
      </w:r>
      <w:r w:rsidR="00671578">
        <w:t xml:space="preserve">ersion agreement. </w:t>
      </w:r>
      <w:r w:rsidR="0080290A">
        <w:t xml:space="preserve">Specifically, FPL is proposing to revise the conversion tariff to exclude </w:t>
      </w:r>
      <w:r w:rsidR="00037801">
        <w:t xml:space="preserve">the existing facilities cost </w:t>
      </w:r>
      <w:r>
        <w:t>for all non-hardened overhead distribution</w:t>
      </w:r>
      <w:r w:rsidR="00DF34C3">
        <w:t xml:space="preserve"> facilities</w:t>
      </w:r>
      <w:r w:rsidR="0080290A">
        <w:t xml:space="preserve"> (i.e., both feeders and laterals) </w:t>
      </w:r>
      <w:r>
        <w:t xml:space="preserve">from the </w:t>
      </w:r>
      <w:r w:rsidR="00037801">
        <w:t>contribution-in-aid-of-construction</w:t>
      </w:r>
      <w:r w:rsidR="0080290A">
        <w:t xml:space="preserve"> </w:t>
      </w:r>
      <w:r>
        <w:t>calculation</w:t>
      </w:r>
      <w:r w:rsidR="0080290A">
        <w:t xml:space="preserve">. </w:t>
      </w:r>
      <w:r w:rsidR="00037801">
        <w:t>This recommendation is to suspend the proposed tariffs. The Commission has jurisdiction over this matter pursuant to Sections 366.03, 366.04, 366.05, and 366.06, Florida Statutes (F.S.).</w:t>
      </w:r>
    </w:p>
    <w:bookmarkEnd w:id="11"/>
    <w:p w:rsidR="00EA2273" w:rsidRDefault="00EA2273" w:rsidP="00DF34C3">
      <w:pPr>
        <w:pStyle w:val="RecommendationMajorSectionHeading"/>
        <w:jc w:val="both"/>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D128D5" w:rsidRDefault="00D128D5">
      <w:pPr>
        <w:pStyle w:val="IssueHeading"/>
        <w:rPr>
          <w:vanish/>
          <w:specVanish/>
        </w:rPr>
      </w:pPr>
      <w:r w:rsidRPr="004C3641">
        <w:t xml:space="preserve">Issue </w:t>
      </w:r>
      <w:fldSimple w:instr=" SEQ Issue \* MERGEFORMAT ">
        <w:r w:rsidR="00AF3A4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F3A43">
        <w:rPr>
          <w:noProof/>
        </w:rPr>
        <w:instrText>1</w:instrText>
      </w:r>
      <w:r>
        <w:fldChar w:fldCharType="end"/>
      </w:r>
      <w:r>
        <w:tab/>
        <w:instrText xml:space="preserve">" \l 1 </w:instrText>
      </w:r>
      <w:r>
        <w:fldChar w:fldCharType="end"/>
      </w:r>
      <w:r>
        <w:t> </w:t>
      </w:r>
    </w:p>
    <w:p w:rsidR="00D128D5" w:rsidRDefault="00D128D5">
      <w:pPr>
        <w:pStyle w:val="BodyText"/>
      </w:pPr>
      <w:r>
        <w:t> Should FPL’s proposed underground differential tariffs be suspended?</w:t>
      </w:r>
    </w:p>
    <w:p w:rsidR="00D128D5" w:rsidRPr="004C3641" w:rsidRDefault="00D128D5">
      <w:pPr>
        <w:pStyle w:val="IssueSubsectionHeading"/>
        <w:rPr>
          <w:vanish/>
          <w:specVanish/>
        </w:rPr>
      </w:pPr>
      <w:r w:rsidRPr="004C3641">
        <w:t>Recommendation: </w:t>
      </w:r>
    </w:p>
    <w:p w:rsidR="00D128D5" w:rsidRDefault="00F53810">
      <w:pPr>
        <w:pStyle w:val="BodyText"/>
      </w:pPr>
      <w:r>
        <w:t> Yes. T</w:t>
      </w:r>
      <w:r w:rsidR="00D128D5">
        <w:t>he tariffs</w:t>
      </w:r>
      <w:r>
        <w:t xml:space="preserve"> should</w:t>
      </w:r>
      <w:r w:rsidR="00D128D5">
        <w:t xml:space="preserve"> be suspended to allow staff sufficient time to review the petition and gather all pertinent information in order to present the Commission with an informed recommendation on the tariff proposals. (Ward)</w:t>
      </w:r>
    </w:p>
    <w:p w:rsidR="00D128D5" w:rsidRPr="004C3641" w:rsidRDefault="00D128D5">
      <w:pPr>
        <w:pStyle w:val="IssueSubsectionHeading"/>
        <w:rPr>
          <w:vanish/>
          <w:specVanish/>
        </w:rPr>
      </w:pPr>
      <w:r w:rsidRPr="004C3641">
        <w:t>Staff Analysis: </w:t>
      </w:r>
    </w:p>
    <w:p w:rsidR="00D128D5" w:rsidRDefault="00D128D5">
      <w:pPr>
        <w:pStyle w:val="BodyText"/>
      </w:pPr>
      <w:r>
        <w:t> Staff recommends that the tariffs be suspended to allow staff sufficient time to review the petition and gather all pertinent information in order to present the Commission with an informed recommendation on the tariff proposals.</w:t>
      </w:r>
    </w:p>
    <w:p w:rsidR="00D128D5" w:rsidRDefault="00D128D5" w:rsidP="00D128D5">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D128D5" w:rsidRDefault="00D128D5">
      <w:pPr>
        <w:pStyle w:val="BodyText"/>
      </w:pPr>
    </w:p>
    <w:p w:rsidR="00D128D5" w:rsidRDefault="00D128D5">
      <w:pPr>
        <w:pStyle w:val="IssueHeading"/>
        <w:rPr>
          <w:vanish/>
          <w:specVanish/>
        </w:rPr>
      </w:pPr>
      <w:r w:rsidRPr="004C3641">
        <w:rPr>
          <w:b w:val="0"/>
          <w:i w:val="0"/>
        </w:rPr>
        <w:br w:type="page"/>
      </w:r>
      <w:r w:rsidRPr="004C3641">
        <w:lastRenderedPageBreak/>
        <w:t xml:space="preserve">Issue </w:t>
      </w:r>
      <w:fldSimple w:instr=" SEQ Issue \* MERGEFORMAT ">
        <w:r w:rsidR="00AF3A4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F3A43">
        <w:rPr>
          <w:noProof/>
        </w:rPr>
        <w:instrText>2</w:instrText>
      </w:r>
      <w:r>
        <w:fldChar w:fldCharType="end"/>
      </w:r>
      <w:r>
        <w:tab/>
        <w:instrText xml:space="preserve">" \l 1 </w:instrText>
      </w:r>
      <w:r>
        <w:fldChar w:fldCharType="end"/>
      </w:r>
      <w:r>
        <w:t> </w:t>
      </w:r>
    </w:p>
    <w:p w:rsidR="00D128D5" w:rsidRDefault="00D128D5">
      <w:pPr>
        <w:pStyle w:val="BodyText"/>
      </w:pPr>
      <w:r>
        <w:t> Should this docket be closed?</w:t>
      </w:r>
    </w:p>
    <w:p w:rsidR="00D128D5" w:rsidRPr="004C3641" w:rsidRDefault="00D128D5">
      <w:pPr>
        <w:pStyle w:val="IssueSubsectionHeading"/>
        <w:rPr>
          <w:vanish/>
          <w:specVanish/>
        </w:rPr>
      </w:pPr>
      <w:r w:rsidRPr="004C3641">
        <w:t>Recommendation: </w:t>
      </w:r>
    </w:p>
    <w:p w:rsidR="00D128D5" w:rsidRDefault="00D128D5">
      <w:pPr>
        <w:pStyle w:val="BodyText"/>
      </w:pPr>
      <w:r>
        <w:t xml:space="preserve"> This docket should remain open pending the Commission’s decision on the proposed tariffs. (Thompson) </w:t>
      </w:r>
    </w:p>
    <w:p w:rsidR="00D128D5" w:rsidRPr="004C3641" w:rsidRDefault="00D128D5">
      <w:pPr>
        <w:pStyle w:val="IssueSubsectionHeading"/>
        <w:rPr>
          <w:vanish/>
          <w:specVanish/>
        </w:rPr>
      </w:pPr>
      <w:r w:rsidRPr="004C3641">
        <w:t>Staff Analysis: </w:t>
      </w:r>
    </w:p>
    <w:p w:rsidR="00D128D5" w:rsidRDefault="00D128D5">
      <w:pPr>
        <w:pStyle w:val="BodyText"/>
      </w:pPr>
      <w:r>
        <w:t> This docket should remain open pending the Commission’s decision on the proposed tariffs.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72B" w:rsidRDefault="00B4572B">
      <w:r>
        <w:separator/>
      </w:r>
    </w:p>
  </w:endnote>
  <w:endnote w:type="continuationSeparator" w:id="0">
    <w:p w:rsidR="00B4572B" w:rsidRDefault="00B4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F6C9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72B" w:rsidRDefault="00B4572B">
      <w:r>
        <w:separator/>
      </w:r>
    </w:p>
  </w:footnote>
  <w:footnote w:type="continuationSeparator" w:id="0">
    <w:p w:rsidR="00B4572B" w:rsidRDefault="00B4572B">
      <w:r>
        <w:continuationSeparator/>
      </w:r>
    </w:p>
  </w:footnote>
  <w:footnote w:id="1">
    <w:p w:rsidR="008C25D4" w:rsidRPr="008C25D4" w:rsidRDefault="008C25D4" w:rsidP="00DF34C3">
      <w:pPr>
        <w:pStyle w:val="FootnoteText"/>
        <w:rPr>
          <w:i/>
        </w:rPr>
      </w:pPr>
      <w:r>
        <w:rPr>
          <w:rStyle w:val="FootnoteReference"/>
        </w:rPr>
        <w:footnoteRef/>
      </w:r>
      <w:r>
        <w:t xml:space="preserve"> </w:t>
      </w:r>
      <w:r w:rsidR="0080290A">
        <w:t>Order No. PSC-2022-0062-PAA-EI, issued Feb. 17</w:t>
      </w:r>
      <w:r>
        <w:t xml:space="preserve">, 2022, in Docket No. 20220012-EI, </w:t>
      </w:r>
      <w:r w:rsidRPr="008C25D4">
        <w:rPr>
          <w:i/>
        </w:rPr>
        <w:t>In re: Petition for</w:t>
      </w:r>
    </w:p>
    <w:p w:rsidR="008C25D4" w:rsidRDefault="008C25D4" w:rsidP="00DF34C3">
      <w:pPr>
        <w:pStyle w:val="FootnoteText"/>
      </w:pPr>
      <w:proofErr w:type="gramStart"/>
      <w:r w:rsidRPr="008C25D4">
        <w:rPr>
          <w:i/>
        </w:rPr>
        <w:t>temporary</w:t>
      </w:r>
      <w:proofErr w:type="gramEnd"/>
      <w:r w:rsidRPr="008C25D4">
        <w:rPr>
          <w:i/>
        </w:rPr>
        <w:t xml:space="preserve"> waiver of Rule 25-6.078(3), F.A.C.</w:t>
      </w:r>
      <w:r w:rsidR="00F53810">
        <w:rPr>
          <w:i/>
        </w:rPr>
        <w:t>,</w:t>
      </w:r>
      <w:r w:rsidRPr="008C25D4">
        <w:rPr>
          <w:i/>
        </w:rPr>
        <w:t xml:space="preserv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128D5"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20230045-EI</w:t>
    </w:r>
    <w:bookmarkEnd w:id="14"/>
  </w:p>
  <w:p w:rsidR="00BC402E" w:rsidRDefault="00BC402E">
    <w:pPr>
      <w:pStyle w:val="Header"/>
    </w:pPr>
    <w:r>
      <w:t xml:space="preserve">Date: </w:t>
    </w:r>
    <w:fldSimple w:instr=" REF FilingDate ">
      <w:r w:rsidR="00AF3A43">
        <w:t>April 20,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F3A43">
      <w:t>Docket No.</w:t>
    </w:r>
    <w:r>
      <w:fldChar w:fldCharType="end"/>
    </w:r>
    <w:r>
      <w:t xml:space="preserve"> </w:t>
    </w:r>
    <w:r>
      <w:fldChar w:fldCharType="begin"/>
    </w:r>
    <w:r>
      <w:instrText xml:space="preserve"> REF DocketList</w:instrText>
    </w:r>
    <w:r>
      <w:fldChar w:fldCharType="separate"/>
    </w:r>
    <w:r w:rsidR="00AF3A43">
      <w:t>20230045-EI</w:t>
    </w:r>
    <w:r>
      <w:fldChar w:fldCharType="end"/>
    </w:r>
    <w:r>
      <w:tab/>
      <w:t xml:space="preserve">Issue </w:t>
    </w:r>
    <w:r w:rsidR="003264EA">
      <w:fldChar w:fldCharType="begin"/>
    </w:r>
    <w:r w:rsidR="003264EA">
      <w:instrText xml:space="preserve"> Seq Issue \c \* Arabic </w:instrText>
    </w:r>
    <w:r w:rsidR="003264EA">
      <w:fldChar w:fldCharType="separate"/>
    </w:r>
    <w:r w:rsidR="000F6C97">
      <w:rPr>
        <w:noProof/>
      </w:rPr>
      <w:t>2</w:t>
    </w:r>
    <w:r w:rsidR="003264EA">
      <w:rPr>
        <w:noProof/>
      </w:rPr>
      <w:fldChar w:fldCharType="end"/>
    </w:r>
  </w:p>
  <w:p w:rsidR="00BC402E" w:rsidRDefault="00BC402E">
    <w:pPr>
      <w:pStyle w:val="Header"/>
    </w:pPr>
    <w:r>
      <w:t xml:space="preserve">Date: </w:t>
    </w:r>
    <w:fldSimple w:instr=" REF FilingDate ">
      <w:r w:rsidR="00AF3A43">
        <w:t>April 20,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128D5"/>
    <w:rsid w:val="000043D5"/>
    <w:rsid w:val="00006170"/>
    <w:rsid w:val="00010E37"/>
    <w:rsid w:val="000172DA"/>
    <w:rsid w:val="00022337"/>
    <w:rsid w:val="00023A0E"/>
    <w:rsid w:val="000247C5"/>
    <w:rsid w:val="000277C2"/>
    <w:rsid w:val="00035B48"/>
    <w:rsid w:val="00036CE2"/>
    <w:rsid w:val="00037801"/>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0F6C97"/>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96DFC"/>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418A"/>
    <w:rsid w:val="00597730"/>
    <w:rsid w:val="005977EC"/>
    <w:rsid w:val="00597DE7"/>
    <w:rsid w:val="005A1BB9"/>
    <w:rsid w:val="005A4AA2"/>
    <w:rsid w:val="005B34B6"/>
    <w:rsid w:val="005B606A"/>
    <w:rsid w:val="005B6C8F"/>
    <w:rsid w:val="005B6DAA"/>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1578"/>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4B5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6546D"/>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290A"/>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25D4"/>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00A8"/>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3A43"/>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27E9F"/>
    <w:rsid w:val="00B3109A"/>
    <w:rsid w:val="00B32D37"/>
    <w:rsid w:val="00B41AA8"/>
    <w:rsid w:val="00B42B45"/>
    <w:rsid w:val="00B4572B"/>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3BE1"/>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28D5"/>
    <w:rsid w:val="00D13549"/>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A6ECE"/>
    <w:rsid w:val="00DB0260"/>
    <w:rsid w:val="00DB1C78"/>
    <w:rsid w:val="00DB7D96"/>
    <w:rsid w:val="00DC23FE"/>
    <w:rsid w:val="00DC59E6"/>
    <w:rsid w:val="00DD150B"/>
    <w:rsid w:val="00DD3356"/>
    <w:rsid w:val="00DD5025"/>
    <w:rsid w:val="00DD5464"/>
    <w:rsid w:val="00DD6F85"/>
    <w:rsid w:val="00DE254E"/>
    <w:rsid w:val="00DE32C0"/>
    <w:rsid w:val="00DE76A7"/>
    <w:rsid w:val="00DF1510"/>
    <w:rsid w:val="00DF34C3"/>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36603"/>
    <w:rsid w:val="00F45CB2"/>
    <w:rsid w:val="00F511F3"/>
    <w:rsid w:val="00F53810"/>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0C56EA8-5D4C-4859-AA5F-9281384B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C2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87D4-2709-4525-A3DB-5C7E4EB6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542</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Andrea Mick</cp:lastModifiedBy>
  <cp:revision>2</cp:revision>
  <cp:lastPrinted>2023-04-07T13:56:00Z</cp:lastPrinted>
  <dcterms:created xsi:type="dcterms:W3CDTF">2023-04-20T12:43:00Z</dcterms:created>
  <dcterms:modified xsi:type="dcterms:W3CDTF">2023-04-20T12:43:00Z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20230045-EI</vt:lpwstr>
  </property>
  <property fmtid="{D5CDD505-2E9C-101B-9397-08002B2CF9AE}" pid="3" name="MasterDocument">
    <vt:bool>false</vt:bool>
  </property>
</Properties>
</file>