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1B38CC8"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2128D417" w14:textId="77777777" w:rsidR="007C0528" w:rsidRDefault="007C0528" w:rsidP="00532DFB">
            <w:pPr>
              <w:pStyle w:val="MastHeadState"/>
            </w:pPr>
            <w:bookmarkStart w:id="0" w:name="_GoBack"/>
            <w:bookmarkEnd w:id="0"/>
            <w:r>
              <w:t>State of Florida</w:t>
            </w:r>
          </w:p>
          <w:p w14:paraId="365D38BE" w14:textId="77777777" w:rsidR="007C0528" w:rsidRDefault="00072CCA">
            <w:pPr>
              <w:jc w:val="center"/>
            </w:pPr>
            <w:r>
              <w:rPr>
                <w:noProof/>
              </w:rPr>
              <w:drawing>
                <wp:inline distT="0" distB="0" distL="0" distR="0" wp14:anchorId="4187C02D" wp14:editId="0FE446BB">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156A851"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6483F65A" w14:textId="77777777" w:rsidR="007C0528" w:rsidRDefault="007C0528">
            <w:pPr>
              <w:pStyle w:val="MastHeadPSC"/>
            </w:pPr>
            <w:r>
              <w:t>Public Service Commission</w:t>
            </w:r>
          </w:p>
          <w:p w14:paraId="358ECD1D" w14:textId="77777777" w:rsidR="007C0528" w:rsidRDefault="007C0528">
            <w:pPr>
              <w:pStyle w:val="MastHeadAddress"/>
            </w:pPr>
            <w:r>
              <w:t>Capital Circle Office Center ● 2540 Shumard Oak Boulevard</w:t>
            </w:r>
            <w:r>
              <w:br/>
              <w:t>Tallahassee, Florida 32399-0850</w:t>
            </w:r>
          </w:p>
          <w:p w14:paraId="425F9306" w14:textId="77777777" w:rsidR="007C0528" w:rsidRDefault="007C0528">
            <w:pPr>
              <w:pStyle w:val="MastHeadMemorandum"/>
            </w:pPr>
            <w:r>
              <w:t>-M-E-M-O-R-A-N-D-U-M-</w:t>
            </w:r>
          </w:p>
          <w:p w14:paraId="67981D93" w14:textId="77777777" w:rsidR="007C0528" w:rsidRDefault="007C0528">
            <w:pPr>
              <w:pStyle w:val="MemoHeading"/>
            </w:pPr>
          </w:p>
        </w:tc>
      </w:tr>
      <w:tr w:rsidR="007C0528" w14:paraId="03352C71"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02CC293"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00316D27" w14:textId="58B1EFE4" w:rsidR="007C0528" w:rsidRDefault="00A71A35">
            <w:pPr>
              <w:pStyle w:val="MemoHeading"/>
            </w:pPr>
            <w:bookmarkStart w:id="1" w:name="FilingDate"/>
            <w:r>
              <w:t xml:space="preserve">June </w:t>
            </w:r>
            <w:r w:rsidR="00F61086">
              <w:t>1, 2023</w:t>
            </w:r>
            <w:bookmarkEnd w:id="1"/>
          </w:p>
        </w:tc>
      </w:tr>
      <w:tr w:rsidR="007C0528" w14:paraId="33FEE41B" w14:textId="77777777">
        <w:tc>
          <w:tcPr>
            <w:tcW w:w="1254" w:type="dxa"/>
            <w:tcBorders>
              <w:top w:val="nil"/>
              <w:left w:val="nil"/>
              <w:bottom w:val="nil"/>
              <w:right w:val="nil"/>
            </w:tcBorders>
            <w:shd w:val="clear" w:color="auto" w:fill="auto"/>
            <w:tcMar>
              <w:top w:w="288" w:type="dxa"/>
              <w:bottom w:w="0" w:type="dxa"/>
              <w:right w:w="0" w:type="dxa"/>
            </w:tcMar>
          </w:tcPr>
          <w:p w14:paraId="29F6922B"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7352366D" w14:textId="77777777" w:rsidR="007C0528" w:rsidRDefault="007C0528" w:rsidP="0093658B">
            <w:pPr>
              <w:pStyle w:val="MemoHeading"/>
            </w:pPr>
            <w:r>
              <w:t>Office of Commission Clerk (</w:t>
            </w:r>
            <w:proofErr w:type="spellStart"/>
            <w:r w:rsidR="004E69B5">
              <w:t>Teitzman</w:t>
            </w:r>
            <w:proofErr w:type="spellEnd"/>
            <w:r>
              <w:t>)</w:t>
            </w:r>
          </w:p>
        </w:tc>
      </w:tr>
      <w:tr w:rsidR="007C0528" w14:paraId="14B6BC5C" w14:textId="77777777">
        <w:tc>
          <w:tcPr>
            <w:tcW w:w="1254" w:type="dxa"/>
            <w:tcBorders>
              <w:top w:val="nil"/>
              <w:left w:val="nil"/>
              <w:bottom w:val="nil"/>
              <w:right w:val="nil"/>
            </w:tcBorders>
            <w:shd w:val="clear" w:color="auto" w:fill="auto"/>
            <w:tcMar>
              <w:top w:w="288" w:type="dxa"/>
              <w:right w:w="0" w:type="dxa"/>
            </w:tcMar>
          </w:tcPr>
          <w:p w14:paraId="54819C46"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0B5519AD" w14:textId="34664600" w:rsidR="00F61086" w:rsidRDefault="00F61086">
            <w:pPr>
              <w:pStyle w:val="MemoHeading"/>
            </w:pPr>
            <w:bookmarkStart w:id="2" w:name="From"/>
            <w:r>
              <w:t>Division of Economics (</w:t>
            </w:r>
            <w:r w:rsidR="00780A72">
              <w:t xml:space="preserve">P. </w:t>
            </w:r>
            <w:r>
              <w:t>Kelley, Hampson)</w:t>
            </w:r>
          </w:p>
          <w:p w14:paraId="5AC6B912" w14:textId="3453C89E" w:rsidR="007C0528" w:rsidRPr="00FE4E6C" w:rsidRDefault="00F61086">
            <w:pPr>
              <w:pStyle w:val="MemoHeading"/>
              <w:rPr>
                <w:rFonts w:ascii="Palace Script MT" w:hAnsi="Palace Script MT"/>
              </w:rPr>
            </w:pPr>
            <w:r>
              <w:t>Office of the General Counsel (Brownless)</w:t>
            </w:r>
            <w:bookmarkEnd w:id="2"/>
          </w:p>
        </w:tc>
      </w:tr>
      <w:tr w:rsidR="007C0528" w14:paraId="16CCCCEA" w14:textId="77777777">
        <w:tc>
          <w:tcPr>
            <w:tcW w:w="1254" w:type="dxa"/>
            <w:tcBorders>
              <w:top w:val="nil"/>
              <w:left w:val="nil"/>
              <w:bottom w:val="nil"/>
              <w:right w:val="nil"/>
            </w:tcBorders>
            <w:shd w:val="clear" w:color="auto" w:fill="auto"/>
            <w:tcMar>
              <w:top w:w="288" w:type="dxa"/>
              <w:right w:w="0" w:type="dxa"/>
            </w:tcMar>
          </w:tcPr>
          <w:p w14:paraId="4164E093"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5608485C" w14:textId="77777777" w:rsidR="007C0528" w:rsidRDefault="00F61086">
            <w:pPr>
              <w:pStyle w:val="MemoHeadingRe"/>
            </w:pPr>
            <w:bookmarkStart w:id="3" w:name="Re"/>
            <w:r>
              <w:t>Docket No. 20230035-EU – Joint petition for approval of temporary territorial variance, by Duke Energy Florida, LLC and Peace River Electric Cooperative, Inc.</w:t>
            </w:r>
            <w:bookmarkEnd w:id="3"/>
          </w:p>
        </w:tc>
      </w:tr>
      <w:tr w:rsidR="007C0528" w14:paraId="3BC1705F" w14:textId="77777777">
        <w:tc>
          <w:tcPr>
            <w:tcW w:w="1254" w:type="dxa"/>
            <w:tcBorders>
              <w:top w:val="nil"/>
              <w:left w:val="nil"/>
              <w:bottom w:val="nil"/>
              <w:right w:val="nil"/>
            </w:tcBorders>
            <w:shd w:val="clear" w:color="auto" w:fill="auto"/>
            <w:tcMar>
              <w:top w:w="288" w:type="dxa"/>
              <w:bottom w:w="0" w:type="dxa"/>
              <w:right w:w="0" w:type="dxa"/>
            </w:tcMar>
          </w:tcPr>
          <w:p w14:paraId="49DDD82B"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5EBAB513" w14:textId="39D877D6" w:rsidR="007C0528" w:rsidRDefault="00F61086">
            <w:pPr>
              <w:pStyle w:val="MemoHeading"/>
            </w:pPr>
            <w:bookmarkStart w:id="4" w:name="AgendaDate"/>
            <w:r>
              <w:t>0</w:t>
            </w:r>
            <w:r w:rsidR="00A71A35">
              <w:t>6</w:t>
            </w:r>
            <w:r>
              <w:t>/</w:t>
            </w:r>
            <w:r w:rsidR="00A71A35">
              <w:t>13</w:t>
            </w:r>
            <w:r>
              <w:t>/23</w:t>
            </w:r>
            <w:bookmarkEnd w:id="4"/>
            <w:r w:rsidR="007C0528">
              <w:t xml:space="preserve"> – </w:t>
            </w:r>
            <w:bookmarkStart w:id="5" w:name="PermittedStatus"/>
            <w:r>
              <w:t>Regular Agenda –</w:t>
            </w:r>
            <w:r w:rsidR="00A71A35">
              <w:t xml:space="preserve"> Proposed Agency Action</w:t>
            </w:r>
            <w:r>
              <w:t xml:space="preserve"> </w:t>
            </w:r>
            <w:r w:rsidR="009B7484">
              <w:t xml:space="preserve">– </w:t>
            </w:r>
            <w:r>
              <w:t>Interested Persons May Participate</w:t>
            </w:r>
            <w:bookmarkEnd w:id="5"/>
          </w:p>
        </w:tc>
      </w:tr>
      <w:tr w:rsidR="007C0528" w14:paraId="5C90D52F" w14:textId="77777777">
        <w:tc>
          <w:tcPr>
            <w:tcW w:w="3690" w:type="dxa"/>
            <w:gridSpan w:val="3"/>
            <w:tcBorders>
              <w:top w:val="nil"/>
              <w:left w:val="nil"/>
              <w:bottom w:val="nil"/>
              <w:right w:val="nil"/>
            </w:tcBorders>
            <w:shd w:val="clear" w:color="auto" w:fill="auto"/>
            <w:tcMar>
              <w:top w:w="288" w:type="dxa"/>
              <w:bottom w:w="0" w:type="dxa"/>
              <w:right w:w="0" w:type="dxa"/>
            </w:tcMar>
          </w:tcPr>
          <w:p w14:paraId="0700B78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418D15F9" w14:textId="77777777" w:rsidR="007C0528" w:rsidRDefault="00F61086">
            <w:pPr>
              <w:pStyle w:val="MemoHeading"/>
            </w:pPr>
            <w:bookmarkStart w:id="6" w:name="CommissionersAssigned"/>
            <w:r>
              <w:t>All Commissioners</w:t>
            </w:r>
            <w:bookmarkEnd w:id="6"/>
          </w:p>
        </w:tc>
      </w:tr>
      <w:tr w:rsidR="007C0528" w14:paraId="16D1EEDA" w14:textId="77777777">
        <w:tc>
          <w:tcPr>
            <w:tcW w:w="3690" w:type="dxa"/>
            <w:gridSpan w:val="3"/>
            <w:tcBorders>
              <w:top w:val="nil"/>
              <w:left w:val="nil"/>
              <w:bottom w:val="nil"/>
              <w:right w:val="nil"/>
            </w:tcBorders>
            <w:shd w:val="clear" w:color="auto" w:fill="auto"/>
            <w:tcMar>
              <w:top w:w="288" w:type="dxa"/>
              <w:bottom w:w="0" w:type="dxa"/>
              <w:right w:w="0" w:type="dxa"/>
            </w:tcMar>
          </w:tcPr>
          <w:p w14:paraId="3B4F6336"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6F9DE11C" w14:textId="77777777" w:rsidR="007C0528" w:rsidRDefault="00F61086">
            <w:pPr>
              <w:pStyle w:val="MemoHeading"/>
            </w:pPr>
            <w:bookmarkStart w:id="7" w:name="PrehearingOfficer"/>
            <w:r>
              <w:t>La Rosa</w:t>
            </w:r>
            <w:bookmarkEnd w:id="7"/>
          </w:p>
        </w:tc>
      </w:tr>
      <w:tr w:rsidR="007C0528" w14:paraId="0053B70F"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0EC4E875" w14:textId="314D53B6"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33167A04" w14:textId="3F9BBF10" w:rsidR="007C0528" w:rsidRDefault="00780A72">
            <w:pPr>
              <w:pStyle w:val="MemoHeading"/>
            </w:pPr>
            <w:r>
              <w:t>None</w:t>
            </w:r>
          </w:p>
        </w:tc>
      </w:tr>
      <w:tr w:rsidR="007C0528" w14:paraId="782035EC"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26A2787E"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1F53C89" w14:textId="77777777" w:rsidR="007C0528" w:rsidRDefault="00F61086">
            <w:pPr>
              <w:pStyle w:val="MemoHeading"/>
            </w:pPr>
            <w:bookmarkStart w:id="9" w:name="SpecialInstructions"/>
            <w:r>
              <w:t>None</w:t>
            </w:r>
            <w:bookmarkEnd w:id="9"/>
          </w:p>
        </w:tc>
      </w:tr>
    </w:tbl>
    <w:p w14:paraId="06C19CFE" w14:textId="77777777" w:rsidR="007C0528" w:rsidRDefault="007C0528">
      <w:pPr>
        <w:pStyle w:val="BodyText"/>
      </w:pPr>
    </w:p>
    <w:p w14:paraId="4CB0724C"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281DA607" w14:textId="230D9BB9" w:rsidR="0068481F" w:rsidRDefault="0040221A">
      <w:pPr>
        <w:pStyle w:val="BodyText"/>
      </w:pPr>
      <w:r>
        <w:t>On March 15, 2023</w:t>
      </w:r>
      <w:r w:rsidR="00780A72">
        <w:t>,</w:t>
      </w:r>
      <w:r w:rsidR="007408B4">
        <w:t xml:space="preserve"> Duke Energy Florida, LLC (Duke) and Peace River Electric Cooperative</w:t>
      </w:r>
      <w:r w:rsidR="001F3A90">
        <w:t>, Inc.</w:t>
      </w:r>
      <w:r w:rsidR="007408B4">
        <w:t xml:space="preserve"> (PRECO),</w:t>
      </w:r>
      <w:r w:rsidR="001F3A90">
        <w:t xml:space="preserve"> (jointly, the </w:t>
      </w:r>
      <w:r w:rsidR="00445F88">
        <w:t>Parties)</w:t>
      </w:r>
      <w:r w:rsidR="007408B4">
        <w:t xml:space="preserve"> filed a joint petition for a</w:t>
      </w:r>
      <w:r w:rsidR="00FA58CF">
        <w:t xml:space="preserve">pproval of </w:t>
      </w:r>
      <w:r w:rsidR="007878B1">
        <w:t xml:space="preserve">a </w:t>
      </w:r>
      <w:r w:rsidR="007408B4">
        <w:t xml:space="preserve">temporary territorial </w:t>
      </w:r>
      <w:r w:rsidR="003B658E">
        <w:t xml:space="preserve">agreement </w:t>
      </w:r>
      <w:r w:rsidR="007408B4">
        <w:t>variance</w:t>
      </w:r>
      <w:r w:rsidR="008A4A7D">
        <w:t xml:space="preserve"> </w:t>
      </w:r>
      <w:r w:rsidR="00FA58CF">
        <w:t>(</w:t>
      </w:r>
      <w:r w:rsidR="00975528">
        <w:t>2023 A</w:t>
      </w:r>
      <w:r w:rsidR="00780A72">
        <w:t>greement</w:t>
      </w:r>
      <w:r w:rsidR="00FA58CF">
        <w:t>).</w:t>
      </w:r>
      <w:r w:rsidR="00FA58CF" w:rsidRPr="00FA58CF">
        <w:t xml:space="preserve"> </w:t>
      </w:r>
      <w:r w:rsidR="00FA58CF">
        <w:t xml:space="preserve">The </w:t>
      </w:r>
      <w:r w:rsidR="00975528">
        <w:t>2023 A</w:t>
      </w:r>
      <w:r w:rsidR="00780A72">
        <w:t>greement</w:t>
      </w:r>
      <w:r w:rsidR="00FA58CF">
        <w:t xml:space="preserve"> </w:t>
      </w:r>
      <w:r w:rsidR="001F3A90">
        <w:t xml:space="preserve">would </w:t>
      </w:r>
      <w:r w:rsidR="00FA58CF">
        <w:t xml:space="preserve">enable Duke to provide temporary electric service to </w:t>
      </w:r>
      <w:r w:rsidR="001F3A90">
        <w:t>an</w:t>
      </w:r>
      <w:r w:rsidR="00FA58CF">
        <w:t xml:space="preserve"> industrial customer</w:t>
      </w:r>
      <w:r w:rsidR="003B3FA1">
        <w:t>’s</w:t>
      </w:r>
      <w:r w:rsidR="00FA58CF">
        <w:t xml:space="preserve"> </w:t>
      </w:r>
      <w:r w:rsidR="00780A72">
        <w:t>planned</w:t>
      </w:r>
      <w:r w:rsidR="003B3FA1">
        <w:t xml:space="preserve"> eastern </w:t>
      </w:r>
      <w:r w:rsidR="00780A72">
        <w:t xml:space="preserve">phosphate mining </w:t>
      </w:r>
      <w:r w:rsidR="003B3FA1">
        <w:t>expansion project</w:t>
      </w:r>
      <w:r w:rsidR="004C55DA">
        <w:t xml:space="preserve"> (</w:t>
      </w:r>
      <w:r w:rsidR="001F3A90">
        <w:t>project</w:t>
      </w:r>
      <w:r w:rsidR="004C55DA">
        <w:t>)</w:t>
      </w:r>
      <w:r w:rsidR="003B3FA1">
        <w:t xml:space="preserve"> south of </w:t>
      </w:r>
      <w:r w:rsidR="00A6020E">
        <w:t>State Road 64 (SR</w:t>
      </w:r>
      <w:r w:rsidR="00253A9A">
        <w:t xml:space="preserve"> </w:t>
      </w:r>
      <w:r w:rsidR="003B3FA1">
        <w:t>64</w:t>
      </w:r>
      <w:r w:rsidR="00A6020E">
        <w:t>)</w:t>
      </w:r>
      <w:r w:rsidR="00780A72">
        <w:t>.</w:t>
      </w:r>
      <w:r w:rsidR="006A5BAD">
        <w:t xml:space="preserve"> The area south of SR</w:t>
      </w:r>
      <w:r w:rsidR="00253A9A">
        <w:t xml:space="preserve"> </w:t>
      </w:r>
      <w:r w:rsidR="006A5BAD">
        <w:t>64 is</w:t>
      </w:r>
      <w:r w:rsidR="003B3FA1">
        <w:t xml:space="preserve"> located in PRECO’s service territory</w:t>
      </w:r>
      <w:r w:rsidR="006A5BAD">
        <w:t>; however, PRECO does not have the transmission facilities necessary to serve the planned mining load</w:t>
      </w:r>
      <w:r w:rsidR="003B3FA1">
        <w:t>.</w:t>
      </w:r>
      <w:r w:rsidR="00074AB6">
        <w:t xml:space="preserve"> The </w:t>
      </w:r>
      <w:r w:rsidR="00975528">
        <w:t>2023 A</w:t>
      </w:r>
      <w:r w:rsidR="003D7CA5">
        <w:t>greement also includes a provision to</w:t>
      </w:r>
      <w:r w:rsidR="00E8087F">
        <w:t xml:space="preserve"> </w:t>
      </w:r>
      <w:r w:rsidR="00074AB6">
        <w:t xml:space="preserve">transfer </w:t>
      </w:r>
      <w:r w:rsidR="00A6020E">
        <w:t>Duke’s</w:t>
      </w:r>
      <w:r w:rsidR="00074AB6">
        <w:t xml:space="preserve"> Lake Branch substation</w:t>
      </w:r>
      <w:r w:rsidR="004D41AB" w:rsidRPr="004D41AB">
        <w:t xml:space="preserve"> </w:t>
      </w:r>
      <w:r w:rsidR="004D41AB">
        <w:t>and 1.84 acres</w:t>
      </w:r>
      <w:r w:rsidR="00677D4C">
        <w:t xml:space="preserve"> </w:t>
      </w:r>
      <w:r w:rsidR="004D41AB">
        <w:t xml:space="preserve">of land </w:t>
      </w:r>
      <w:r w:rsidR="001F3A90">
        <w:t>on</w:t>
      </w:r>
      <w:r w:rsidR="00677D4C">
        <w:t xml:space="preserve"> which </w:t>
      </w:r>
      <w:r w:rsidR="004D41AB">
        <w:t>the substation resides</w:t>
      </w:r>
      <w:r w:rsidR="00074AB6">
        <w:t xml:space="preserve"> to PRECO.</w:t>
      </w:r>
      <w:r w:rsidR="00623599" w:rsidRPr="00623599">
        <w:t xml:space="preserve"> </w:t>
      </w:r>
    </w:p>
    <w:p w14:paraId="3C1F7415" w14:textId="009126CE" w:rsidR="007B16F6" w:rsidRDefault="00596274">
      <w:pPr>
        <w:pStyle w:val="BodyText"/>
      </w:pPr>
      <w:r>
        <w:lastRenderedPageBreak/>
        <w:t>In 1994, the Commission approved a territorial agreement that established service territory boundaries for the Parties in Hardee, Highlands, Polk, and Osceola counties</w:t>
      </w:r>
      <w:r w:rsidR="007B16F6">
        <w:t xml:space="preserve"> (1994 Agreement)</w:t>
      </w:r>
      <w:r>
        <w:t>.</w:t>
      </w:r>
      <w:r>
        <w:rPr>
          <w:rStyle w:val="FootnoteReference"/>
        </w:rPr>
        <w:footnoteReference w:id="1"/>
      </w:r>
      <w:r>
        <w:t xml:space="preserve"> </w:t>
      </w:r>
      <w:r w:rsidR="00A700A3">
        <w:t>Th</w:t>
      </w:r>
      <w:r w:rsidR="007B16F6">
        <w:t>e</w:t>
      </w:r>
      <w:r w:rsidR="00A700A3">
        <w:t xml:space="preserve"> 1994</w:t>
      </w:r>
      <w:r w:rsidR="001348ED">
        <w:t xml:space="preserve"> </w:t>
      </w:r>
      <w:r w:rsidR="007B16F6">
        <w:t>A</w:t>
      </w:r>
      <w:r w:rsidR="001348ED">
        <w:t xml:space="preserve">greement </w:t>
      </w:r>
      <w:r w:rsidR="007B16F6">
        <w:t xml:space="preserve">contained a provision permitting </w:t>
      </w:r>
      <w:r w:rsidR="001348ED">
        <w:t>Duke</w:t>
      </w:r>
      <w:r w:rsidR="003D7CA5">
        <w:t xml:space="preserve"> (</w:t>
      </w:r>
      <w:r w:rsidR="00F45079">
        <w:t xml:space="preserve">formerly </w:t>
      </w:r>
      <w:r w:rsidR="003D7CA5">
        <w:t>Flori</w:t>
      </w:r>
      <w:r w:rsidR="00F45079">
        <w:t>da Power Corporation</w:t>
      </w:r>
      <w:r w:rsidR="003D7CA5">
        <w:t>)</w:t>
      </w:r>
      <w:r w:rsidR="001348ED">
        <w:t xml:space="preserve"> to </w:t>
      </w:r>
      <w:r w:rsidR="007B16F6">
        <w:t>provide</w:t>
      </w:r>
      <w:r w:rsidR="001348ED">
        <w:t xml:space="preserve"> transmission level </w:t>
      </w:r>
      <w:r w:rsidR="007B16F6">
        <w:t>electric service to certain phosphate mining companies</w:t>
      </w:r>
      <w:r w:rsidR="001348ED">
        <w:t xml:space="preserve"> in PRECO</w:t>
      </w:r>
      <w:r w:rsidR="001F3A90">
        <w:t>’</w:t>
      </w:r>
      <w:r w:rsidR="001348ED">
        <w:t>s service territory</w:t>
      </w:r>
      <w:r w:rsidR="000D3489">
        <w:t>,</w:t>
      </w:r>
      <w:r w:rsidR="001348ED">
        <w:t xml:space="preserve"> because PRECO did not have the appropriate facilities to meet the </w:t>
      </w:r>
      <w:r w:rsidR="007B16F6">
        <w:t>industrial customers</w:t>
      </w:r>
      <w:r w:rsidR="000D3489">
        <w:t>’</w:t>
      </w:r>
      <w:r w:rsidR="001348ED">
        <w:t xml:space="preserve"> </w:t>
      </w:r>
      <w:r w:rsidR="007B16F6">
        <w:t xml:space="preserve">service </w:t>
      </w:r>
      <w:r w:rsidR="001348ED">
        <w:t>needs.</w:t>
      </w:r>
      <w:r w:rsidR="00FA692C">
        <w:t xml:space="preserve"> </w:t>
      </w:r>
      <w:r w:rsidR="007B16F6">
        <w:t>In 2006, the Commission approved an amendment to certain sections of the 1994 Agreement</w:t>
      </w:r>
      <w:r w:rsidR="001348ED">
        <w:t xml:space="preserve"> </w:t>
      </w:r>
      <w:r w:rsidR="007B16F6">
        <w:t xml:space="preserve">to clarify the Parties’ obligations with respect to the existing </w:t>
      </w:r>
      <w:r w:rsidR="00FA692C">
        <w:t>phosphate mining customers in PRECO’s service territory.</w:t>
      </w:r>
      <w:r w:rsidR="00FA692C">
        <w:rPr>
          <w:rStyle w:val="FootnoteReference"/>
        </w:rPr>
        <w:footnoteReference w:id="2"/>
      </w:r>
    </w:p>
    <w:p w14:paraId="05FAB90C" w14:textId="0D98BD91" w:rsidR="00C610BD" w:rsidRDefault="00C610BD">
      <w:pPr>
        <w:pStyle w:val="BodyText"/>
      </w:pPr>
      <w:r>
        <w:t>In 2019, the Commission approved a territorial agreement between the Parties which replaced the prior territorial agreement in its entirety</w:t>
      </w:r>
      <w:r w:rsidR="00406A3B">
        <w:t xml:space="preserve"> (2019 Agreement)</w:t>
      </w:r>
      <w:r>
        <w:t>.</w:t>
      </w:r>
      <w:r>
        <w:rPr>
          <w:rStyle w:val="FootnoteReference"/>
        </w:rPr>
        <w:footnoteReference w:id="3"/>
      </w:r>
      <w:r w:rsidR="00406A3B">
        <w:t xml:space="preserve"> The 2019 Agreement modified the territorial boundaries, transferring customers to better </w:t>
      </w:r>
      <w:r w:rsidR="00344D7D">
        <w:t>eliminate</w:t>
      </w:r>
      <w:r w:rsidR="00406A3B">
        <w:t xml:space="preserve"> duplication of service and </w:t>
      </w:r>
      <w:r w:rsidR="00F45079">
        <w:t>creating</w:t>
      </w:r>
      <w:r w:rsidR="00406A3B">
        <w:t xml:space="preserve"> operational efficiencies for both utilities.</w:t>
      </w:r>
      <w:r w:rsidR="00534040">
        <w:t xml:space="preserve"> Furthermore, the 2019 Agreement incorporated many provisions from the previous agreements, including Section 2.5, which allows Duke to provide electric service to a phosphate mining industrial customer in PRECO’s service territory</w:t>
      </w:r>
      <w:r w:rsidR="00FE5C8D">
        <w:t xml:space="preserve"> north of SR</w:t>
      </w:r>
      <w:r w:rsidR="00253A9A">
        <w:t xml:space="preserve"> </w:t>
      </w:r>
      <w:r w:rsidR="00FE5C8D">
        <w:t>64</w:t>
      </w:r>
      <w:r w:rsidR="00534040">
        <w:t>. The 2019 Agreement was negotiated for an initial term of 30 years</w:t>
      </w:r>
      <w:r w:rsidR="00B204F6">
        <w:t>, which would expire in 2049 and would remain in effect for succeeding periods of five years.</w:t>
      </w:r>
    </w:p>
    <w:p w14:paraId="2CC17FB4" w14:textId="6E521E0A" w:rsidR="00D41A9F" w:rsidRDefault="00A71A35">
      <w:pPr>
        <w:pStyle w:val="BodyText"/>
      </w:pPr>
      <w:r>
        <w:t xml:space="preserve">Order No. PSC-2023-0127-PCO-EU, </w:t>
      </w:r>
      <w:r w:rsidR="00975528">
        <w:t xml:space="preserve">acknowledges </w:t>
      </w:r>
      <w:r>
        <w:t>the Office of Public Counsel</w:t>
      </w:r>
      <w:r w:rsidR="00F508A8">
        <w:t>’s</w:t>
      </w:r>
      <w:r>
        <w:t xml:space="preserve"> </w:t>
      </w:r>
      <w:r w:rsidRPr="00301BFF">
        <w:t>(OPC)</w:t>
      </w:r>
      <w:r w:rsidR="00E13B4C">
        <w:t xml:space="preserve"> </w:t>
      </w:r>
      <w:r w:rsidR="00F508A8">
        <w:t>intervention in this</w:t>
      </w:r>
      <w:r w:rsidR="00E13B4C">
        <w:t xml:space="preserve"> docket</w:t>
      </w:r>
      <w:r>
        <w:t xml:space="preserve">. </w:t>
      </w:r>
      <w:r w:rsidR="00975528">
        <w:t>Duke and PRECO responded to Staff’s F</w:t>
      </w:r>
      <w:r w:rsidR="004C55DA">
        <w:t>i</w:t>
      </w:r>
      <w:r w:rsidR="001F3A90">
        <w:t>r</w:t>
      </w:r>
      <w:r w:rsidR="00975528">
        <w:t>st D</w:t>
      </w:r>
      <w:r w:rsidR="004C55DA">
        <w:t xml:space="preserve">ata </w:t>
      </w:r>
      <w:r w:rsidR="00975528">
        <w:t>R</w:t>
      </w:r>
      <w:r w:rsidR="001F3A90">
        <w:t xml:space="preserve">equest </w:t>
      </w:r>
      <w:r w:rsidR="00074AB6">
        <w:t>on April 21, 2023</w:t>
      </w:r>
      <w:r w:rsidR="00975528">
        <w:t xml:space="preserve"> and to Staff’s Second Data R</w:t>
      </w:r>
      <w:r w:rsidR="00F508A8">
        <w:t>equest on May 18, 2023</w:t>
      </w:r>
      <w:r w:rsidR="001F3A90">
        <w:t>.</w:t>
      </w:r>
      <w:r w:rsidR="00F508A8">
        <w:t xml:space="preserve"> On May 17, 2023, </w:t>
      </w:r>
      <w:r w:rsidR="00975528">
        <w:t>the Parties responded to OPC’s First Set of Interrogatories and First Request for Production of D</w:t>
      </w:r>
      <w:r w:rsidR="00F508A8">
        <w:t>ocuments.</w:t>
      </w:r>
      <w:r w:rsidR="00D24F27">
        <w:t xml:space="preserve"> </w:t>
      </w:r>
    </w:p>
    <w:p w14:paraId="72B264FE" w14:textId="646B3F9F" w:rsidR="004C55DA" w:rsidRDefault="00083950">
      <w:pPr>
        <w:pStyle w:val="BodyText"/>
      </w:pPr>
      <w:r>
        <w:t>This is s</w:t>
      </w:r>
      <w:r w:rsidR="00D41A9F">
        <w:t xml:space="preserve">taff’s recommendation regarding the joint petition for a temporary territorial variance agreement. </w:t>
      </w:r>
      <w:r w:rsidR="00A71A35">
        <w:t xml:space="preserve">The </w:t>
      </w:r>
      <w:r w:rsidR="00F61665">
        <w:t>2023 A</w:t>
      </w:r>
      <w:r w:rsidR="00D41A9F">
        <w:t>greement</w:t>
      </w:r>
      <w:r w:rsidR="00A71A35">
        <w:t xml:space="preserve"> and map providing the proposed territorial boundaries are included in the recommendation as Attachments A and B. </w:t>
      </w:r>
      <w:r w:rsidR="00D24F27">
        <w:t xml:space="preserve">The </w:t>
      </w:r>
      <w:r w:rsidR="001F3A90">
        <w:t>C</w:t>
      </w:r>
      <w:r w:rsidR="00D24F27">
        <w:t>ommission has jurisdiction pursuant to Section 366.04,</w:t>
      </w:r>
      <w:r w:rsidR="00CE58C2">
        <w:t xml:space="preserve"> Florida Statutes (</w:t>
      </w:r>
      <w:r w:rsidR="00D24F27">
        <w:t>F.S.</w:t>
      </w:r>
      <w:r w:rsidR="00CE58C2">
        <w:t>).</w:t>
      </w:r>
    </w:p>
    <w:p w14:paraId="40D94C93" w14:textId="77777777" w:rsidR="007C0528" w:rsidRDefault="007C0528" w:rsidP="0068481F"/>
    <w:bookmarkEnd w:id="11"/>
    <w:p w14:paraId="6B5B773F"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2EFA8F8B" w14:textId="77777777" w:rsidR="007C0528" w:rsidRDefault="007C0528">
      <w:pPr>
        <w:pStyle w:val="RecommendationMajorSectionHeading"/>
      </w:pPr>
      <w:bookmarkStart w:id="15" w:name="DiscussionOfIssues"/>
      <w:r>
        <w:lastRenderedPageBreak/>
        <w:t>Discussion of Issues</w:t>
      </w:r>
    </w:p>
    <w:bookmarkEnd w:id="15"/>
    <w:p w14:paraId="5D619173" w14:textId="2B7C7269" w:rsidR="00942DC6" w:rsidRDefault="00942DC6">
      <w:pPr>
        <w:pStyle w:val="IssueHeading"/>
        <w:rPr>
          <w:vanish/>
          <w:specVanish/>
        </w:rPr>
      </w:pPr>
      <w:r w:rsidRPr="004C3641">
        <w:t xml:space="preserve">Issue </w:t>
      </w:r>
      <w:fldSimple w:instr=" SEQ Issue \* MERGEFORMAT ">
        <w:r w:rsidR="00D21663">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D21663">
        <w:rPr>
          <w:noProof/>
        </w:rPr>
        <w:instrText>1</w:instrText>
      </w:r>
      <w:r>
        <w:fldChar w:fldCharType="end"/>
      </w:r>
      <w:r>
        <w:tab/>
        <w:instrText xml:space="preserve">(Kelley, Hampson)" \l 1 </w:instrText>
      </w:r>
      <w:r>
        <w:fldChar w:fldCharType="end"/>
      </w:r>
      <w:r>
        <w:t> </w:t>
      </w:r>
    </w:p>
    <w:p w14:paraId="0315CD56" w14:textId="48981601" w:rsidR="00942DC6" w:rsidRDefault="00942DC6">
      <w:pPr>
        <w:pStyle w:val="BodyText"/>
      </w:pPr>
      <w:r>
        <w:t> Should the Commission approve Duke</w:t>
      </w:r>
      <w:r w:rsidR="009B7484">
        <w:t xml:space="preserve"> </w:t>
      </w:r>
      <w:r>
        <w:t>and PRECO</w:t>
      </w:r>
      <w:r w:rsidR="001F3A90">
        <w:t>’</w:t>
      </w:r>
      <w:r>
        <w:t xml:space="preserve">s </w:t>
      </w:r>
      <w:r w:rsidR="001F3A90">
        <w:t xml:space="preserve">joint </w:t>
      </w:r>
      <w:r>
        <w:t>petition for a temporary territorial variance?</w:t>
      </w:r>
    </w:p>
    <w:p w14:paraId="76730693" w14:textId="77777777" w:rsidR="00942DC6" w:rsidRPr="004C3641" w:rsidRDefault="00942DC6">
      <w:pPr>
        <w:pStyle w:val="IssueSubsectionHeading"/>
        <w:rPr>
          <w:vanish/>
          <w:specVanish/>
        </w:rPr>
      </w:pPr>
      <w:r w:rsidRPr="004C3641">
        <w:t>Recommendation: </w:t>
      </w:r>
    </w:p>
    <w:p w14:paraId="107369A1" w14:textId="10B96F2D" w:rsidR="00D10474" w:rsidRPr="00755FF5" w:rsidRDefault="00942DC6">
      <w:pPr>
        <w:pStyle w:val="BodyText"/>
      </w:pPr>
      <w:r>
        <w:t> </w:t>
      </w:r>
      <w:r w:rsidR="000D18B9">
        <w:t>Yes. The</w:t>
      </w:r>
      <w:r w:rsidR="009B7484">
        <w:t xml:space="preserve"> Commission should approve Duke and PRECO’s joint</w:t>
      </w:r>
      <w:r w:rsidR="000D18B9">
        <w:t xml:space="preserve"> petition for a temporary territorial variance</w:t>
      </w:r>
      <w:r w:rsidR="009B7484">
        <w:t xml:space="preserve">, </w:t>
      </w:r>
      <w:r w:rsidR="00DA2482">
        <w:t>entered into by the P</w:t>
      </w:r>
      <w:r w:rsidR="003B6924">
        <w:t xml:space="preserve">arties on February 28, 2023, </w:t>
      </w:r>
      <w:r w:rsidR="009B7484">
        <w:t>because it</w:t>
      </w:r>
      <w:r w:rsidR="000D18B9">
        <w:t xml:space="preserve"> is in the public </w:t>
      </w:r>
      <w:r w:rsidR="009B7484">
        <w:t xml:space="preserve">interest and will avoid uneconomic duplication of facilities. </w:t>
      </w:r>
      <w:r w:rsidR="003B6924">
        <w:t>For the term of the variance</w:t>
      </w:r>
      <w:r w:rsidR="00DA2482">
        <w:t xml:space="preserve"> agreement</w:t>
      </w:r>
      <w:r w:rsidR="003B6924">
        <w:t>, Duke will temporarily serve the mining load south of SR 64 in the eastern expansion project area</w:t>
      </w:r>
      <w:r w:rsidR="00F508A8">
        <w:t xml:space="preserve"> until the mining project is completed. The mining project south of SR 64 is</w:t>
      </w:r>
      <w:r w:rsidR="003B6924">
        <w:t xml:space="preserve"> estimated to begin in 2024 a</w:t>
      </w:r>
      <w:r w:rsidR="001529D7">
        <w:t xml:space="preserve">nd continue until 2028. The </w:t>
      </w:r>
      <w:r w:rsidR="00F508A8">
        <w:t>P</w:t>
      </w:r>
      <w:r w:rsidR="001529D7">
        <w:t>ar</w:t>
      </w:r>
      <w:r w:rsidR="003B6924">
        <w:t xml:space="preserve">ties should notify the Commission once the mining operations subject to the variance are concluded. </w:t>
      </w:r>
      <w:r>
        <w:t>(</w:t>
      </w:r>
      <w:r w:rsidR="00F1751B">
        <w:t xml:space="preserve">P. </w:t>
      </w:r>
      <w:r>
        <w:t>Kelley, Hampson)</w:t>
      </w:r>
      <w:r w:rsidRPr="004C3641">
        <w:t> </w:t>
      </w:r>
    </w:p>
    <w:p w14:paraId="2476E0E6" w14:textId="5A408518" w:rsidR="007878B1" w:rsidRPr="007878B1" w:rsidRDefault="00F45079" w:rsidP="007878B1">
      <w:pPr>
        <w:pStyle w:val="BodyText"/>
      </w:pPr>
      <w:r w:rsidRPr="007878B1">
        <w:rPr>
          <w:rFonts w:ascii="Arial" w:hAnsi="Arial" w:cs="Arial"/>
          <w:b/>
          <w:bCs/>
          <w:i/>
          <w:iCs/>
          <w:szCs w:val="28"/>
        </w:rPr>
        <w:t>Staff Analysis</w:t>
      </w:r>
      <w:r w:rsidR="00755FF5" w:rsidRPr="007878B1">
        <w:rPr>
          <w:rFonts w:ascii="Arial" w:hAnsi="Arial" w:cs="Arial"/>
          <w:b/>
          <w:bCs/>
          <w:i/>
          <w:iCs/>
          <w:szCs w:val="28"/>
        </w:rPr>
        <w:t>:</w:t>
      </w:r>
      <w:r w:rsidR="007878B1">
        <w:rPr>
          <w:i/>
        </w:rPr>
        <w:t xml:space="preserve"> </w:t>
      </w:r>
      <w:r w:rsidR="005E544C" w:rsidRPr="007878B1">
        <w:t>Pursuant</w:t>
      </w:r>
      <w:r w:rsidR="00007DD0" w:rsidRPr="007878B1">
        <w:t xml:space="preserve"> to </w:t>
      </w:r>
      <w:r w:rsidRPr="007878B1">
        <w:t>S</w:t>
      </w:r>
      <w:r w:rsidR="005E544C" w:rsidRPr="007878B1">
        <w:t>ection 2.5</w:t>
      </w:r>
      <w:r w:rsidRPr="007878B1">
        <w:t xml:space="preserve"> of the 2019 </w:t>
      </w:r>
      <w:r w:rsidR="007878B1" w:rsidRPr="007878B1">
        <w:t>A</w:t>
      </w:r>
      <w:r w:rsidRPr="007878B1">
        <w:t>greement</w:t>
      </w:r>
      <w:r w:rsidR="0086303F" w:rsidRPr="007878B1">
        <w:t>,</w:t>
      </w:r>
      <w:r w:rsidR="003F7A7D" w:rsidRPr="007878B1">
        <w:t xml:space="preserve"> Duke </w:t>
      </w:r>
      <w:r w:rsidRPr="007878B1">
        <w:t>provides service to</w:t>
      </w:r>
      <w:r w:rsidR="00FE3407" w:rsidRPr="007878B1">
        <w:t xml:space="preserve"> the </w:t>
      </w:r>
      <w:r w:rsidRPr="007878B1">
        <w:t>industrial customer in PRECO’s service territory</w:t>
      </w:r>
      <w:r w:rsidR="003F7A7D" w:rsidRPr="007878B1">
        <w:t xml:space="preserve"> north of SR</w:t>
      </w:r>
      <w:r w:rsidR="00253A9A">
        <w:t xml:space="preserve"> </w:t>
      </w:r>
      <w:r w:rsidR="00F47C44" w:rsidRPr="007878B1">
        <w:t>64. T</w:t>
      </w:r>
      <w:r w:rsidR="00FE3407" w:rsidRPr="007878B1">
        <w:t xml:space="preserve">he </w:t>
      </w:r>
      <w:r w:rsidR="005E544C" w:rsidRPr="007878B1">
        <w:t xml:space="preserve">eastern expansion </w:t>
      </w:r>
      <w:r w:rsidR="00E56346" w:rsidRPr="007878B1">
        <w:t xml:space="preserve">project’s site </w:t>
      </w:r>
      <w:r w:rsidR="00D76CFC">
        <w:t>includes areas located both north and south of SR</w:t>
      </w:r>
      <w:r w:rsidR="00253A9A">
        <w:t xml:space="preserve"> </w:t>
      </w:r>
      <w:r w:rsidR="00D76CFC">
        <w:t>64</w:t>
      </w:r>
      <w:r w:rsidR="00A1326B">
        <w:t>.</w:t>
      </w:r>
      <w:r w:rsidR="00D76CFC">
        <w:t xml:space="preserve"> </w:t>
      </w:r>
      <w:r w:rsidR="00A1326B">
        <w:t>T</w:t>
      </w:r>
      <w:r w:rsidR="00D76CFC">
        <w:t xml:space="preserve">he part of </w:t>
      </w:r>
      <w:r w:rsidR="00253A9A">
        <w:t xml:space="preserve">the </w:t>
      </w:r>
      <w:r w:rsidR="00D76CFC">
        <w:t>project located south of SR</w:t>
      </w:r>
      <w:r w:rsidR="00253A9A">
        <w:t xml:space="preserve"> </w:t>
      </w:r>
      <w:r w:rsidR="00D76CFC">
        <w:t xml:space="preserve">64 </w:t>
      </w:r>
      <w:r w:rsidR="00A1326B">
        <w:t>is</w:t>
      </w:r>
      <w:r w:rsidR="00D76CFC">
        <w:t xml:space="preserve"> currently within PRECO’s service territory. </w:t>
      </w:r>
      <w:r w:rsidR="005375D2" w:rsidRPr="007878B1">
        <w:t xml:space="preserve">The project is </w:t>
      </w:r>
      <w:r w:rsidR="005375D2" w:rsidRPr="006919F0">
        <w:t xml:space="preserve">an </w:t>
      </w:r>
      <w:r w:rsidR="005375D2" w:rsidRPr="007878B1">
        <w:t>industrial phosphate mining operation and associated pump operation.</w:t>
      </w:r>
      <w:r w:rsidR="006919F0">
        <w:t xml:space="preserve"> Phosphate mining companies operate dragline</w:t>
      </w:r>
      <w:r w:rsidR="00253A9A">
        <w:t>s</w:t>
      </w:r>
      <w:r w:rsidR="00D76CFC">
        <w:t xml:space="preserve"> that excavate phosphate used to produce fertilizer and other commercial products. Once a specific mining area has been depleted, the companies move to another location. </w:t>
      </w:r>
    </w:p>
    <w:p w14:paraId="4CC196DC" w14:textId="024C2EBC" w:rsidR="00A30775" w:rsidRDefault="00D76CFC" w:rsidP="000567B2">
      <w:pPr>
        <w:pStyle w:val="BodyText"/>
      </w:pPr>
      <w:r>
        <w:t>T</w:t>
      </w:r>
      <w:r w:rsidR="003302B8">
        <w:t xml:space="preserve">he Parties request that Duke, instead of PRECO, temporarily serve the industrial customer’s </w:t>
      </w:r>
      <w:r w:rsidR="00253A9A">
        <w:t xml:space="preserve">entire </w:t>
      </w:r>
      <w:r w:rsidR="003302B8">
        <w:t>project</w:t>
      </w:r>
      <w:r w:rsidR="00253A9A">
        <w:t xml:space="preserve"> area including the area south of SR 64</w:t>
      </w:r>
      <w:r w:rsidR="001529D7">
        <w:t>.</w:t>
      </w:r>
      <w:r w:rsidR="003302B8">
        <w:t xml:space="preserve"> </w:t>
      </w:r>
      <w:r w:rsidR="001529D7">
        <w:t>T</w:t>
      </w:r>
      <w:r w:rsidR="003302B8">
        <w:t xml:space="preserve">he Parties </w:t>
      </w:r>
      <w:r w:rsidR="001529D7">
        <w:t xml:space="preserve">estimate the customer will conclude its mining operations </w:t>
      </w:r>
      <w:r w:rsidR="003F5AC8">
        <w:t xml:space="preserve">in the project south of SR 64 </w:t>
      </w:r>
      <w:r w:rsidR="001529D7">
        <w:t>by December 31, 2028.</w:t>
      </w:r>
      <w:r w:rsidR="005375D2">
        <w:t xml:space="preserve"> The Parties stated</w:t>
      </w:r>
      <w:r w:rsidR="0090783F">
        <w:t xml:space="preserve"> in response to S</w:t>
      </w:r>
      <w:r w:rsidR="001529D7">
        <w:t xml:space="preserve">taff’s </w:t>
      </w:r>
      <w:r w:rsidR="00F61665">
        <w:t>S</w:t>
      </w:r>
      <w:r w:rsidR="001529D7">
        <w:t xml:space="preserve">econd </w:t>
      </w:r>
      <w:r w:rsidR="00F61665">
        <w:t>Data Re</w:t>
      </w:r>
      <w:r w:rsidR="001529D7">
        <w:t>quest</w:t>
      </w:r>
      <w:r w:rsidR="005375D2">
        <w:t xml:space="preserve"> </w:t>
      </w:r>
      <w:r w:rsidR="001529D7">
        <w:t>that they will notify the Commission once the mining operations are concluded</w:t>
      </w:r>
      <w:r w:rsidR="005375D2">
        <w:t xml:space="preserve">. </w:t>
      </w:r>
    </w:p>
    <w:p w14:paraId="560C9C05" w14:textId="1CCFB457" w:rsidR="00DA50C8" w:rsidRDefault="00DA50C8" w:rsidP="000567B2">
      <w:pPr>
        <w:pStyle w:val="Heading7"/>
        <w:jc w:val="both"/>
      </w:pPr>
      <w:r>
        <w:t>Duke</w:t>
      </w:r>
      <w:r w:rsidR="00C90600">
        <w:t xml:space="preserve"> assert</w:t>
      </w:r>
      <w:r w:rsidR="0090783F">
        <w:t>s in the petition that it has</w:t>
      </w:r>
      <w:r w:rsidR="00C90600">
        <w:t xml:space="preserve"> sufficient capacity</w:t>
      </w:r>
      <w:r>
        <w:t xml:space="preserve"> </w:t>
      </w:r>
      <w:r w:rsidR="00C90600">
        <w:t>to serve the</w:t>
      </w:r>
      <w:r w:rsidR="00DA2482">
        <w:t xml:space="preserve"> industrial customer’s</w:t>
      </w:r>
      <w:r w:rsidR="00C90600">
        <w:t xml:space="preserve"> load </w:t>
      </w:r>
      <w:r w:rsidR="00253A9A">
        <w:t xml:space="preserve">south of SR 64 </w:t>
      </w:r>
      <w:r w:rsidR="00C90600">
        <w:t xml:space="preserve">and </w:t>
      </w:r>
      <w:r>
        <w:t>can provide immed</w:t>
      </w:r>
      <w:r w:rsidR="005375D2">
        <w:t xml:space="preserve">iate electric service to the </w:t>
      </w:r>
      <w:r w:rsidR="000567B2">
        <w:t>p</w:t>
      </w:r>
      <w:r w:rsidR="005375D2">
        <w:t>roject</w:t>
      </w:r>
      <w:r>
        <w:t xml:space="preserve"> </w:t>
      </w:r>
      <w:r w:rsidR="00BC362B">
        <w:t xml:space="preserve">from an existing </w:t>
      </w:r>
      <w:r w:rsidR="009B7484">
        <w:t xml:space="preserve">substation </w:t>
      </w:r>
      <w:r w:rsidR="00BC362B">
        <w:t>located within Duke’s electric service territory</w:t>
      </w:r>
      <w:r w:rsidR="00F723AE">
        <w:t xml:space="preserve"> located in Hardee County.</w:t>
      </w:r>
      <w:r w:rsidR="002C0183" w:rsidRPr="002C0183">
        <w:t xml:space="preserve"> </w:t>
      </w:r>
      <w:r w:rsidR="002C0183">
        <w:t>PRECO a</w:t>
      </w:r>
      <w:r w:rsidR="0090783F">
        <w:t>sserts in the petition that it</w:t>
      </w:r>
      <w:r w:rsidR="002C0183">
        <w:t xml:space="preserve"> do</w:t>
      </w:r>
      <w:r w:rsidR="0090783F">
        <w:t>es</w:t>
      </w:r>
      <w:r w:rsidR="002C0183">
        <w:t xml:space="preserve"> not have sufficient capacity </w:t>
      </w:r>
      <w:r w:rsidR="000E760A">
        <w:t xml:space="preserve">to serve the load and will need Duke’s assistance to provide immediate electric service to the </w:t>
      </w:r>
      <w:r w:rsidR="000567B2">
        <w:t>p</w:t>
      </w:r>
      <w:r w:rsidR="000E760A">
        <w:t>roject</w:t>
      </w:r>
      <w:r w:rsidR="002C0183">
        <w:t>.</w:t>
      </w:r>
      <w:r w:rsidR="005375D2" w:rsidRPr="005375D2">
        <w:t xml:space="preserve"> </w:t>
      </w:r>
      <w:r w:rsidR="00DA2482">
        <w:t xml:space="preserve">To serve the new load south of SR 64, PRECO would need to construct a new substation, estimated to cost approximately $4 million. </w:t>
      </w:r>
      <w:r w:rsidR="005375D2">
        <w:t xml:space="preserve">Due to these circumstances, the Parties agree Duke should serve the </w:t>
      </w:r>
      <w:r w:rsidR="005375D2" w:rsidRPr="00E25199">
        <w:t>load as the industrial customer estimates that the project would add ap</w:t>
      </w:r>
      <w:r w:rsidR="002C0183">
        <w:t xml:space="preserve">proximately 20 megawatts </w:t>
      </w:r>
      <w:r w:rsidR="00DA2482">
        <w:t xml:space="preserve">(MW) </w:t>
      </w:r>
      <w:r w:rsidR="002C0183">
        <w:t>of load</w:t>
      </w:r>
      <w:r w:rsidR="00253A9A">
        <w:t xml:space="preserve"> south of SR 64</w:t>
      </w:r>
      <w:r w:rsidR="002C0183">
        <w:t>.</w:t>
      </w:r>
    </w:p>
    <w:p w14:paraId="67463D7A" w14:textId="4A143DD6" w:rsidR="00C12307" w:rsidRDefault="00C12307" w:rsidP="007A3F9B">
      <w:pPr>
        <w:jc w:val="both"/>
      </w:pPr>
    </w:p>
    <w:p w14:paraId="05950D8B" w14:textId="31FDFAE1" w:rsidR="00C12307" w:rsidRPr="00C12307" w:rsidRDefault="00C12307" w:rsidP="007A3F9B">
      <w:pPr>
        <w:jc w:val="both"/>
      </w:pPr>
      <w:r>
        <w:t xml:space="preserve">No customers are being transferred as a result of the proposed variance. Therefore, Rule 25-6.0440 (1) (d), Florida Administrative Code, regarding customer notification of transferred </w:t>
      </w:r>
      <w:r w:rsidR="00391FCB">
        <w:t>customers,</w:t>
      </w:r>
      <w:r>
        <w:t xml:space="preserve"> does not apply.</w:t>
      </w:r>
    </w:p>
    <w:p w14:paraId="3240E2F9" w14:textId="77777777" w:rsidR="00461F31" w:rsidRPr="00461F31" w:rsidRDefault="00461F31" w:rsidP="00461F31"/>
    <w:p w14:paraId="4B7B687A" w14:textId="2D0313A6" w:rsidR="00180A40" w:rsidRPr="002C0183" w:rsidRDefault="00180A40" w:rsidP="00180A40">
      <w:pPr>
        <w:pStyle w:val="First-LevelSubheading"/>
      </w:pPr>
      <w:r w:rsidRPr="002C0183">
        <w:t>Lake Branch Substation Transfer</w:t>
      </w:r>
    </w:p>
    <w:p w14:paraId="1EDB6D53" w14:textId="6E1D9E68" w:rsidR="00747DE1" w:rsidRDefault="00F508A8" w:rsidP="000E760A">
      <w:pPr>
        <w:pStyle w:val="BodyText"/>
      </w:pPr>
      <w:r>
        <w:t xml:space="preserve">The proposed variance includes a provision that PRECO will acquire Duke’s Lake Branch substation (substation) by December 31, 2025. </w:t>
      </w:r>
      <w:r w:rsidR="00DD7EFF">
        <w:t xml:space="preserve">The </w:t>
      </w:r>
      <w:r w:rsidR="005528F6">
        <w:t xml:space="preserve">substation </w:t>
      </w:r>
      <w:r w:rsidR="00DD7EFF">
        <w:t>is located in PRECO’s service territory north of SR 64</w:t>
      </w:r>
      <w:r w:rsidR="003F3CA0">
        <w:t xml:space="preserve"> by the intersection of Lake Branch Road and Platt Road (</w:t>
      </w:r>
      <w:r w:rsidR="00CC3D0C">
        <w:t>County Road</w:t>
      </w:r>
      <w:r w:rsidR="003F3CA0">
        <w:t xml:space="preserve"> 664A) in</w:t>
      </w:r>
      <w:r w:rsidR="00DD7EFF">
        <w:t xml:space="preserve"> Hardee County. </w:t>
      </w:r>
      <w:r w:rsidR="00747DE1">
        <w:t xml:space="preserve">Pursuant to </w:t>
      </w:r>
      <w:r w:rsidR="00CC3D0C">
        <w:t xml:space="preserve">Section 2.5 of </w:t>
      </w:r>
      <w:r w:rsidR="00747DE1">
        <w:t xml:space="preserve">the 2019 Agreement, Duke serves the </w:t>
      </w:r>
      <w:r w:rsidR="00747DE1">
        <w:lastRenderedPageBreak/>
        <w:t xml:space="preserve">phosphate mining load in </w:t>
      </w:r>
      <w:r w:rsidR="003F3CA0">
        <w:t xml:space="preserve">certain </w:t>
      </w:r>
      <w:r w:rsidR="00747DE1">
        <w:t xml:space="preserve">areas north of SR 64. Specifically, the industrial customer receives electric service for its South Meade mining operations from Duke at multiple delivery points, </w:t>
      </w:r>
      <w:r w:rsidR="00DA2482">
        <w:t>including</w:t>
      </w:r>
      <w:r w:rsidR="00747DE1">
        <w:t xml:space="preserve"> Duke’s Lake Branch substation. </w:t>
      </w:r>
      <w:r w:rsidR="00B06B7E">
        <w:t xml:space="preserve">Pursuant to the 2019 Agreement, </w:t>
      </w:r>
      <w:r w:rsidR="00D736E2">
        <w:t xml:space="preserve">Duke only has the right to serve the industrial customer’s load in the particular area served by the Lake Branch substation; PRECO has the right to serve any other load. </w:t>
      </w:r>
    </w:p>
    <w:p w14:paraId="73916E27" w14:textId="7686511F" w:rsidR="00CC3D0C" w:rsidRDefault="00DA2482" w:rsidP="000E760A">
      <w:pPr>
        <w:pStyle w:val="BodyText"/>
      </w:pPr>
      <w:r>
        <w:t>S</w:t>
      </w:r>
      <w:r w:rsidR="00CC3D0C">
        <w:t xml:space="preserve">ection 4 </w:t>
      </w:r>
      <w:r w:rsidR="00F61665">
        <w:t>of the 2023 Agreement</w:t>
      </w:r>
      <w:r>
        <w:t xml:space="preserve"> </w:t>
      </w:r>
      <w:r w:rsidR="00CC3D0C">
        <w:t>includes a provision that the Lake Branch substation</w:t>
      </w:r>
      <w:r w:rsidR="00BD5B8B" w:rsidRPr="00BD5B8B">
        <w:t xml:space="preserve"> would be transferred to PRECO on or before December 31, 2025</w:t>
      </w:r>
      <w:r>
        <w:t>,</w:t>
      </w:r>
      <w:r w:rsidR="00BD5B8B" w:rsidRPr="00BD5B8B">
        <w:t xml:space="preserve"> dependent on if the substation’s pumping load ceases before</w:t>
      </w:r>
      <w:r w:rsidR="000E760A">
        <w:t xml:space="preserve"> the</w:t>
      </w:r>
      <w:r w:rsidR="00BD5B8B" w:rsidRPr="00BD5B8B">
        <w:t xml:space="preserve"> stated date. </w:t>
      </w:r>
      <w:r w:rsidR="00267A07">
        <w:t>The Parties have agreed upon a transfer of the Lake Branch substation</w:t>
      </w:r>
      <w:r w:rsidR="00267A07" w:rsidRPr="00F12D78">
        <w:t xml:space="preserve"> </w:t>
      </w:r>
      <w:r w:rsidR="00267A07">
        <w:t xml:space="preserve">and the 1.84 acres of land </w:t>
      </w:r>
      <w:r w:rsidR="00CC3D0C">
        <w:t>on which the substation resides</w:t>
      </w:r>
      <w:r w:rsidR="00267A07">
        <w:t xml:space="preserve"> f</w:t>
      </w:r>
      <w:r w:rsidR="00CC3D0C">
        <w:t>or the nominal consideration of $10. The Parties explained that nominal consideration is a legal formality commonly employed to ensure that a contract is enforceable. The details of the substation</w:t>
      </w:r>
      <w:r w:rsidR="00F61665">
        <w:t xml:space="preserve"> transfer are contained in the Asset Purchase A</w:t>
      </w:r>
      <w:r w:rsidR="00CC3D0C">
        <w:t xml:space="preserve">greement that </w:t>
      </w:r>
      <w:r>
        <w:t>was</w:t>
      </w:r>
      <w:r w:rsidR="0090783F">
        <w:t xml:space="preserve"> included with</w:t>
      </w:r>
      <w:r w:rsidR="00CC3D0C">
        <w:t xml:space="preserve"> the petition.</w:t>
      </w:r>
      <w:r w:rsidR="000E760A">
        <w:t xml:space="preserve"> The Parties</w:t>
      </w:r>
      <w:r w:rsidR="00267A07">
        <w:t xml:space="preserve"> stated that they are not seeking Commission </w:t>
      </w:r>
      <w:r w:rsidR="00051166">
        <w:t xml:space="preserve">approval </w:t>
      </w:r>
      <w:r w:rsidR="00B06B7E">
        <w:t>of</w:t>
      </w:r>
      <w:r w:rsidR="00F61665">
        <w:t xml:space="preserve"> the Asset P</w:t>
      </w:r>
      <w:r w:rsidR="00051166">
        <w:t xml:space="preserve">urchase </w:t>
      </w:r>
      <w:r w:rsidR="00F61665">
        <w:t>A</w:t>
      </w:r>
      <w:r w:rsidR="00267A07">
        <w:t>greement</w:t>
      </w:r>
      <w:r w:rsidR="00C42A29">
        <w:t xml:space="preserve">. </w:t>
      </w:r>
    </w:p>
    <w:p w14:paraId="482BB732" w14:textId="1C92B9BC" w:rsidR="000E760A" w:rsidRDefault="00C42A29" w:rsidP="000E760A">
      <w:pPr>
        <w:pStyle w:val="BodyText"/>
      </w:pPr>
      <w:r>
        <w:t>The Parties</w:t>
      </w:r>
      <w:r w:rsidR="00DA2482">
        <w:t xml:space="preserve"> </w:t>
      </w:r>
      <w:r w:rsidR="003C5BAA">
        <w:t xml:space="preserve">assert that </w:t>
      </w:r>
      <w:r w:rsidR="00CC3D0C">
        <w:t>the nominal consideration was determined by considering the exchange of benefits between the Parties</w:t>
      </w:r>
      <w:r w:rsidR="00DA2482">
        <w:t>.</w:t>
      </w:r>
      <w:r w:rsidR="003C5BAA">
        <w:t xml:space="preserve"> Duke would</w:t>
      </w:r>
      <w:r w:rsidR="00267A07">
        <w:t xml:space="preserve"> have the benefit of serving the industrial customer</w:t>
      </w:r>
      <w:r w:rsidR="00D736E2">
        <w:t xml:space="preserve"> and associated additional 20 MW of load, south of SR 64,</w:t>
      </w:r>
      <w:r w:rsidR="00267A07">
        <w:t xml:space="preserve"> </w:t>
      </w:r>
      <w:r w:rsidR="00D736E2">
        <w:t xml:space="preserve">for </w:t>
      </w:r>
      <w:r w:rsidR="00CD067D">
        <w:t>approximately</w:t>
      </w:r>
      <w:r w:rsidR="00D736E2">
        <w:t xml:space="preserve"> five years (2024-2028) </w:t>
      </w:r>
      <w:r w:rsidR="00267A07">
        <w:t xml:space="preserve">in </w:t>
      </w:r>
      <w:r w:rsidR="00DA2482">
        <w:t xml:space="preserve">PRECO’s territory. In exchange, </w:t>
      </w:r>
      <w:r w:rsidR="003C5BAA">
        <w:t>PRECO would</w:t>
      </w:r>
      <w:r w:rsidR="00267A07">
        <w:t xml:space="preserve"> acquire the substat</w:t>
      </w:r>
      <w:r w:rsidR="003C5BAA">
        <w:t xml:space="preserve">ion to serve </w:t>
      </w:r>
      <w:r w:rsidR="00D736E2">
        <w:t>its</w:t>
      </w:r>
      <w:r w:rsidR="003C5BAA">
        <w:t xml:space="preserve"> customer</w:t>
      </w:r>
      <w:r w:rsidR="00DD4FF6">
        <w:t xml:space="preserve">s. </w:t>
      </w:r>
      <w:r w:rsidR="00E770CF" w:rsidRPr="00BD5B8B">
        <w:t>Duke stated that t</w:t>
      </w:r>
      <w:r w:rsidR="00180690" w:rsidRPr="00BD5B8B">
        <w:t xml:space="preserve">he substation only serves the </w:t>
      </w:r>
      <w:r w:rsidR="00E770CF" w:rsidRPr="00BD5B8B">
        <w:t>industrial customer</w:t>
      </w:r>
      <w:r w:rsidR="00180690" w:rsidRPr="00BD5B8B">
        <w:t xml:space="preserve"> and will have no other benefit </w:t>
      </w:r>
      <w:r w:rsidR="00DD4FF6">
        <w:t>to</w:t>
      </w:r>
      <w:r w:rsidR="00180690" w:rsidRPr="00BD5B8B">
        <w:t xml:space="preserve"> Duke once </w:t>
      </w:r>
      <w:r w:rsidR="00DD4FF6">
        <w:t xml:space="preserve">the mining </w:t>
      </w:r>
      <w:r w:rsidR="00CD067D">
        <w:t>operations</w:t>
      </w:r>
      <w:r w:rsidR="00DD4FF6">
        <w:t xml:space="preserve"> </w:t>
      </w:r>
      <w:r w:rsidR="005528F6">
        <w:t xml:space="preserve">served by the substation </w:t>
      </w:r>
      <w:r w:rsidR="00DD4FF6">
        <w:t>cease</w:t>
      </w:r>
      <w:r w:rsidR="00180690" w:rsidRPr="00BD5B8B">
        <w:t>.</w:t>
      </w:r>
      <w:r w:rsidR="00DA2482">
        <w:t xml:space="preserve"> PRECO stated that it </w:t>
      </w:r>
      <w:r w:rsidR="00AF15CF">
        <w:t>would</w:t>
      </w:r>
      <w:r w:rsidR="00DA2482">
        <w:t xml:space="preserve"> be able to tie the substation into its distribution system with minimal additional construction, because the utility has feeder lines adjacent to the Lake Branch substation.</w:t>
      </w:r>
    </w:p>
    <w:p w14:paraId="20895E33" w14:textId="6B26527E" w:rsidR="00BF7431" w:rsidRDefault="00DD4FF6" w:rsidP="000E760A">
      <w:pPr>
        <w:pStyle w:val="BodyText"/>
      </w:pPr>
      <w:r>
        <w:t xml:space="preserve">To support the transfer of the Lake </w:t>
      </w:r>
      <w:r w:rsidR="00C233A9">
        <w:t>Branch substation,</w:t>
      </w:r>
      <w:r w:rsidR="005528F6">
        <w:t xml:space="preserve"> the Parties</w:t>
      </w:r>
      <w:r>
        <w:t xml:space="preserve"> assert </w:t>
      </w:r>
      <w:r w:rsidR="00DA2482">
        <w:t xml:space="preserve">that </w:t>
      </w:r>
      <w:r>
        <w:t>by agreeing to</w:t>
      </w:r>
      <w:r w:rsidR="00DE01A2">
        <w:t xml:space="preserve"> convey the substation to PRECO,</w:t>
      </w:r>
      <w:r>
        <w:t xml:space="preserve"> Duke’s customers </w:t>
      </w:r>
      <w:r w:rsidR="00DA2482">
        <w:t xml:space="preserve">would </w:t>
      </w:r>
      <w:r>
        <w:t>no longer have the obliga</w:t>
      </w:r>
      <w:r w:rsidR="00ED5056">
        <w:t xml:space="preserve">tion for the cost of removal of the substation. </w:t>
      </w:r>
      <w:r w:rsidR="009907B9">
        <w:t>Further, t</w:t>
      </w:r>
      <w:r>
        <w:t>he revenues</w:t>
      </w:r>
      <w:r w:rsidR="00ED5056">
        <w:t xml:space="preserve"> Duke</w:t>
      </w:r>
      <w:r w:rsidR="002260E3">
        <w:t xml:space="preserve"> is projected to receive</w:t>
      </w:r>
      <w:r>
        <w:t xml:space="preserve"> from the additional 20 MW of load</w:t>
      </w:r>
      <w:r w:rsidR="00DE01A2">
        <w:t xml:space="preserve"> </w:t>
      </w:r>
      <w:r w:rsidR="0090783F">
        <w:t xml:space="preserve">will </w:t>
      </w:r>
      <w:r w:rsidR="00DE01A2">
        <w:t>more than offset the estimated</w:t>
      </w:r>
      <w:r w:rsidR="00D21663">
        <w:t xml:space="preserve"> </w:t>
      </w:r>
      <w:r w:rsidR="00DE01A2">
        <w:t xml:space="preserve">$1.9 million </w:t>
      </w:r>
      <w:r>
        <w:t>net book value</w:t>
      </w:r>
      <w:r w:rsidR="00D21663">
        <w:t xml:space="preserve"> of the substation as of December 31, 2025</w:t>
      </w:r>
      <w:r>
        <w:t>.</w:t>
      </w:r>
      <w:r w:rsidR="00B06B7E" w:rsidRPr="00B06B7E">
        <w:t xml:space="preserve"> </w:t>
      </w:r>
      <w:r w:rsidR="00B06B7E">
        <w:t>Duke provided an analysis showing that the future expected non-fuel revenues from the additional 20 MW of load total $6.4 million on a nominal basis, or $4.3 million on a net present value basis. Based on Duke’s analysis, the expected revenues offset the net book value of the substation.</w:t>
      </w:r>
      <w:r w:rsidR="00A1326B">
        <w:t xml:space="preserve"> Therefore, Duke’s general body of ratepayers is not being harmed by the transfer of the substation</w:t>
      </w:r>
      <w:r w:rsidR="00C942AE">
        <w:t xml:space="preserve"> to PRECO</w:t>
      </w:r>
      <w:r w:rsidR="00A1326B">
        <w:t xml:space="preserve"> for nominal consideration.</w:t>
      </w:r>
      <w:r w:rsidR="00B06B7E">
        <w:t xml:space="preserve"> </w:t>
      </w:r>
      <w:r>
        <w:t xml:space="preserve"> </w:t>
      </w:r>
    </w:p>
    <w:p w14:paraId="36315225" w14:textId="688EEDA3" w:rsidR="007A4B39" w:rsidRPr="00DF2F8A" w:rsidRDefault="000E760A" w:rsidP="000E760A">
      <w:pPr>
        <w:pStyle w:val="BodyText"/>
      </w:pPr>
      <w:r w:rsidRPr="000E760A">
        <w:rPr>
          <w:rFonts w:ascii="Arial" w:hAnsi="Arial" w:cs="Arial"/>
          <w:b/>
        </w:rPr>
        <w:t>Conclusion</w:t>
      </w:r>
      <w:r>
        <w:rPr>
          <w:rFonts w:ascii="Arial" w:hAnsi="Arial" w:cs="Arial"/>
          <w:b/>
        </w:rPr>
        <w:br/>
      </w:r>
      <w:r w:rsidR="00DF2F8A">
        <w:t xml:space="preserve">Based on the assertions made in the petition and the </w:t>
      </w:r>
      <w:r w:rsidR="00ED5056">
        <w:t>Parties’</w:t>
      </w:r>
      <w:r w:rsidR="00083950">
        <w:t xml:space="preserve"> responses to s</w:t>
      </w:r>
      <w:r w:rsidR="00DF2F8A">
        <w:t xml:space="preserve">taff’s </w:t>
      </w:r>
      <w:r w:rsidR="00A1326B">
        <w:t xml:space="preserve">and OPC’s </w:t>
      </w:r>
      <w:r w:rsidR="00F61665">
        <w:t>Data R</w:t>
      </w:r>
      <w:r w:rsidR="00DF2F8A">
        <w:t>equest</w:t>
      </w:r>
      <w:r w:rsidR="00A1326B">
        <w:t>s</w:t>
      </w:r>
      <w:r w:rsidR="00083950">
        <w:t>, s</w:t>
      </w:r>
      <w:r w:rsidR="00DF2F8A">
        <w:t xml:space="preserve">taff believes </w:t>
      </w:r>
      <w:r w:rsidR="00A1326B">
        <w:t>the Commission should approve Duke and PRECO’s joint petition for a temporary territorial variance, entered into by the Parties on February 28, 2023, because it is in the public interest and will avoid uneconomic duplication of facilitie</w:t>
      </w:r>
      <w:r w:rsidR="0090783F">
        <w:t>s. For the term of the 2023 A</w:t>
      </w:r>
      <w:r w:rsidR="00A1326B">
        <w:t>greement, Duke will temporarily serve the mining load south of SR 64 in the eastern expansion project area until the mining project is completed. The mining project south of SR 64 is estimated to begin in 2024 and continue until 2028. The Parties should notify the Commission once the mining op</w:t>
      </w:r>
      <w:r w:rsidR="0090783F">
        <w:t>erations subject to the 2023 Agreement</w:t>
      </w:r>
      <w:r w:rsidR="00A1326B">
        <w:t xml:space="preserve"> are concluded.</w:t>
      </w:r>
    </w:p>
    <w:p w14:paraId="3C96615D" w14:textId="63794466" w:rsidR="00EE44BE" w:rsidRDefault="000D18B9" w:rsidP="00EE44BE">
      <w:pPr>
        <w:pStyle w:val="IssueHeading"/>
        <w:rPr>
          <w:vanish/>
          <w:specVanish/>
        </w:rPr>
      </w:pPr>
      <w:r w:rsidRPr="004C3641">
        <w:br w:type="page"/>
      </w:r>
      <w:r w:rsidR="00755FF5" w:rsidRPr="00755FF5">
        <w:t>Issue</w:t>
      </w:r>
      <w:r w:rsidRPr="00755FF5">
        <w:t xml:space="preserve"> </w:t>
      </w:r>
      <w:r w:rsidR="008C1DC0">
        <w:fldChar w:fldCharType="begin"/>
      </w:r>
      <w:r w:rsidR="008C1DC0">
        <w:instrText xml:space="preserve"> SEQ Issue \* MERGEF</w:instrText>
      </w:r>
      <w:r w:rsidR="008C1DC0">
        <w:instrText xml:space="preserve">ORMAT </w:instrText>
      </w:r>
      <w:r w:rsidR="008C1DC0">
        <w:fldChar w:fldCharType="separate"/>
      </w:r>
      <w:r w:rsidR="00D21663">
        <w:rPr>
          <w:noProof/>
        </w:rPr>
        <w:t>2</w:t>
      </w:r>
      <w:r w:rsidR="008C1DC0">
        <w:rPr>
          <w:noProof/>
        </w:rPr>
        <w:fldChar w:fldCharType="end"/>
      </w:r>
      <w:r w:rsidRPr="00755FF5">
        <w:t>:</w:t>
      </w:r>
      <w:r w:rsidR="00EE44BE" w:rsidRPr="00EE44BE">
        <w:t xml:space="preserve"> </w:t>
      </w:r>
      <w:r w:rsidR="00EE44BE">
        <w:fldChar w:fldCharType="begin"/>
      </w:r>
      <w:r w:rsidR="00EE44BE">
        <w:instrText xml:space="preserve"> TC "</w:instrText>
      </w:r>
      <w:r w:rsidR="00EE44BE">
        <w:fldChar w:fldCharType="begin"/>
      </w:r>
      <w:r w:rsidR="00EE44BE">
        <w:instrText xml:space="preserve"> SEQ issue \c </w:instrText>
      </w:r>
      <w:r w:rsidR="00EE44BE">
        <w:fldChar w:fldCharType="separate"/>
      </w:r>
      <w:r w:rsidR="00EE44BE">
        <w:rPr>
          <w:noProof/>
        </w:rPr>
        <w:instrText>2</w:instrText>
      </w:r>
      <w:r w:rsidR="00EE44BE">
        <w:fldChar w:fldCharType="end"/>
      </w:r>
      <w:r w:rsidR="00EE44BE">
        <w:tab/>
        <w:instrText xml:space="preserve">" \l 1 </w:instrText>
      </w:r>
      <w:r w:rsidR="00EE44BE">
        <w:fldChar w:fldCharType="end"/>
      </w:r>
      <w:r w:rsidR="00EE44BE">
        <w:t> </w:t>
      </w:r>
    </w:p>
    <w:p w14:paraId="284C744A" w14:textId="35C23CDA" w:rsidR="000D18B9" w:rsidRDefault="000D18B9" w:rsidP="00EE44BE">
      <w:pPr>
        <w:pStyle w:val="BodyText"/>
      </w:pPr>
      <w:r>
        <w:t xml:space="preserve">Should this docket be closed? </w:t>
      </w:r>
    </w:p>
    <w:p w14:paraId="181602BE" w14:textId="77777777" w:rsidR="000D18B9" w:rsidRPr="004C3641" w:rsidRDefault="000D18B9">
      <w:pPr>
        <w:pStyle w:val="IssueSubsectionHeading"/>
        <w:rPr>
          <w:vanish/>
          <w:specVanish/>
        </w:rPr>
      </w:pPr>
      <w:r w:rsidRPr="004C3641">
        <w:t>Recommendation: </w:t>
      </w:r>
    </w:p>
    <w:p w14:paraId="1F73EDEB" w14:textId="77777777" w:rsidR="000D18B9" w:rsidRDefault="000D18B9">
      <w:pPr>
        <w:pStyle w:val="BodyText"/>
      </w:pPr>
      <w:r>
        <w:t> If no protest is filed by a person whose substantial interests are affected within 21 days of the issuance of the Order, this docket should be closed upon the issuance of a Consummating Order. (Brownless)</w:t>
      </w:r>
    </w:p>
    <w:p w14:paraId="3D7B215E" w14:textId="77777777" w:rsidR="000D18B9" w:rsidRPr="004C3641" w:rsidRDefault="000D18B9">
      <w:pPr>
        <w:pStyle w:val="IssueSubsectionHeading"/>
        <w:rPr>
          <w:vanish/>
          <w:specVanish/>
        </w:rPr>
      </w:pPr>
      <w:r w:rsidRPr="004C3641">
        <w:t>Staff Analysis: </w:t>
      </w:r>
    </w:p>
    <w:p w14:paraId="62090E32" w14:textId="77777777" w:rsidR="006E529B" w:rsidRDefault="000D18B9" w:rsidP="00E275D8">
      <w:pPr>
        <w:pStyle w:val="BodyText"/>
        <w:sectPr w:rsidR="006E529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xml:space="preserve"> If no protest is filed by a person whose substantial interests are affected within 21 days of the issuance of the Order, </w:t>
      </w:r>
      <w:r w:rsidR="00ED5056">
        <w:t>this docket should be closed up</w:t>
      </w:r>
      <w:r>
        <w:t>on the i</w:t>
      </w:r>
      <w:r w:rsidR="004662F8">
        <w:t>ssuance of a Consummating Order.</w:t>
      </w:r>
    </w:p>
    <w:p w14:paraId="298513DC" w14:textId="77777777" w:rsidR="00A70769" w:rsidRDefault="00A70769" w:rsidP="00E275D8">
      <w:pPr>
        <w:pStyle w:val="BodyText"/>
        <w:sectPr w:rsidR="00A70769" w:rsidSect="0068481F">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14:anchorId="5B712F2E" wp14:editId="5E652A8C">
            <wp:extent cx="5943600" cy="7689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2252-2023_Page_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r>
        <w:rPr>
          <w:noProof/>
        </w:rPr>
        <w:drawing>
          <wp:inline distT="0" distB="0" distL="0" distR="0" wp14:anchorId="0DB8DC06" wp14:editId="1FF7BB97">
            <wp:extent cx="5943600" cy="7689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2252-2023_Page_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r>
        <w:rPr>
          <w:noProof/>
        </w:rPr>
        <w:drawing>
          <wp:inline distT="0" distB="0" distL="0" distR="0" wp14:anchorId="34D7618B" wp14:editId="396DC04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2252-2023_Page_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1BDFC2A" wp14:editId="2287AC7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2252-2023_Page_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BBFA8D" w14:textId="2C72CA6B" w:rsidR="00E06484" w:rsidRDefault="00A70769" w:rsidP="00E275D8">
      <w:pPr>
        <w:pStyle w:val="BodyText"/>
      </w:pPr>
      <w:r>
        <w:rPr>
          <w:noProof/>
        </w:rPr>
        <w:drawing>
          <wp:inline distT="0" distB="0" distL="0" distR="0" wp14:anchorId="4ACC2D8F" wp14:editId="5F1DBECF">
            <wp:extent cx="6028660" cy="6857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cialIndustrialCustomerVariance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576" cy="6880019"/>
                    </a:xfrm>
                    <a:prstGeom prst="rect">
                      <a:avLst/>
                    </a:prstGeom>
                  </pic:spPr>
                </pic:pic>
              </a:graphicData>
            </a:graphic>
          </wp:inline>
        </w:drawing>
      </w:r>
    </w:p>
    <w:sectPr w:rsidR="00E06484" w:rsidSect="0068481F">
      <w:headerReference w:type="default" r:id="rId2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140B1" w14:textId="77777777" w:rsidR="00613C94" w:rsidRDefault="00613C94">
      <w:r>
        <w:separator/>
      </w:r>
    </w:p>
  </w:endnote>
  <w:endnote w:type="continuationSeparator" w:id="0">
    <w:p w14:paraId="05D023E3" w14:textId="77777777" w:rsidR="00613C94" w:rsidRDefault="00613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E61FE" w14:textId="4723E00C"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72970">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95056"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29F9C" w14:textId="77777777" w:rsidR="00613C94" w:rsidRDefault="00613C94">
      <w:r>
        <w:separator/>
      </w:r>
    </w:p>
  </w:footnote>
  <w:footnote w:type="continuationSeparator" w:id="0">
    <w:p w14:paraId="098E7630" w14:textId="77777777" w:rsidR="00613C94" w:rsidRDefault="00613C94">
      <w:r>
        <w:continuationSeparator/>
      </w:r>
    </w:p>
  </w:footnote>
  <w:footnote w:id="1">
    <w:p w14:paraId="598A8B83" w14:textId="435D5A97" w:rsidR="00596274" w:rsidRPr="001F3A90" w:rsidRDefault="00596274" w:rsidP="00596274">
      <w:pPr>
        <w:pStyle w:val="FootnoteText"/>
      </w:pPr>
      <w:r>
        <w:rPr>
          <w:rStyle w:val="FootnoteReference"/>
        </w:rPr>
        <w:footnoteRef/>
      </w:r>
      <w:r>
        <w:t xml:space="preserve"> Order No. </w:t>
      </w:r>
      <w:r w:rsidR="00FA692C">
        <w:t xml:space="preserve">PSC-94-1522-FOF-EU, issued December 12, 1994, in Docket No. 940376-EU, </w:t>
      </w:r>
      <w:r w:rsidR="00FA692C">
        <w:rPr>
          <w:i/>
        </w:rPr>
        <w:t>In re: Joint petition for approval of territorial agreement between Florida Power Corporation and Peace River Electric Cooperative, Inc</w:t>
      </w:r>
      <w:r>
        <w:rPr>
          <w:i/>
        </w:rPr>
        <w:t>.</w:t>
      </w:r>
    </w:p>
  </w:footnote>
  <w:footnote w:id="2">
    <w:p w14:paraId="5D318980" w14:textId="4F5BB913" w:rsidR="00FA692C" w:rsidRPr="00FA692C" w:rsidRDefault="00FA692C">
      <w:pPr>
        <w:pStyle w:val="FootnoteText"/>
      </w:pPr>
      <w:r>
        <w:rPr>
          <w:rStyle w:val="FootnoteReference"/>
        </w:rPr>
        <w:footnoteRef/>
      </w:r>
      <w:r>
        <w:t xml:space="preserve"> Order No. PSC-06-0673-PAA-EU, issued August 7, 2006, in Docket No. 060277-EU, </w:t>
      </w:r>
      <w:r>
        <w:rPr>
          <w:i/>
        </w:rPr>
        <w:t>In re: Joint petition for approval of territorial amendment in Polk, Hardee, Highlands, Manatee, and Osceola Counties by Progress Energy Florida, Inc. and Peace River Electric Cooperative, Inc.</w:t>
      </w:r>
    </w:p>
  </w:footnote>
  <w:footnote w:id="3">
    <w:p w14:paraId="0C2C2FB5" w14:textId="63DD63DC" w:rsidR="00C610BD" w:rsidRPr="00406A3B" w:rsidRDefault="00C610BD">
      <w:pPr>
        <w:pStyle w:val="FootnoteText"/>
      </w:pPr>
      <w:r>
        <w:rPr>
          <w:rStyle w:val="FootnoteReference"/>
        </w:rPr>
        <w:footnoteRef/>
      </w:r>
      <w:r>
        <w:t xml:space="preserve"> Order No. PSC-2019-0048-PAA-EU, issued January 28, 2019, in Docket No. 20180159-EU, </w:t>
      </w:r>
      <w:r>
        <w:rPr>
          <w:i/>
        </w:rPr>
        <w:t xml:space="preserve">In re: Joint petition for approval of amendment to </w:t>
      </w:r>
      <w:r w:rsidR="00406A3B">
        <w:rPr>
          <w:i/>
        </w:rPr>
        <w:t>territorial</w:t>
      </w:r>
      <w:r>
        <w:rPr>
          <w:i/>
        </w:rPr>
        <w:t xml:space="preserve"> agreement in Hardee, Highlands, Polk, and Osceola Counties</w:t>
      </w:r>
      <w:r w:rsidR="00406A3B">
        <w:rPr>
          <w:i/>
        </w:rPr>
        <w:t>, by Peace River Electric Cooperative and Duke Energy Florida, LLC.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6541E" w14:textId="77777777" w:rsidR="00BC402E" w:rsidRDefault="00F61086"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20230035-EU</w:t>
    </w:r>
    <w:bookmarkEnd w:id="14"/>
  </w:p>
  <w:p w14:paraId="77960B7D" w14:textId="7329BF23" w:rsidR="00BC402E" w:rsidRDefault="00BC402E">
    <w:pPr>
      <w:pStyle w:val="Header"/>
    </w:pPr>
    <w:r>
      <w:t xml:space="preserve">Date: </w:t>
    </w:r>
    <w:fldSimple w:instr=" REF FilingDate ">
      <w:r w:rsidR="00D21663">
        <w:t>June 1,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D4058" w14:textId="4272249D"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21663">
      <w:t>Docket No.</w:t>
    </w:r>
    <w:r>
      <w:fldChar w:fldCharType="end"/>
    </w:r>
    <w:r>
      <w:t xml:space="preserve"> </w:t>
    </w:r>
    <w:r>
      <w:fldChar w:fldCharType="begin"/>
    </w:r>
    <w:r>
      <w:instrText xml:space="preserve"> REF DocketList</w:instrText>
    </w:r>
    <w:r>
      <w:fldChar w:fldCharType="separate"/>
    </w:r>
    <w:r w:rsidR="00D21663">
      <w:t>20230035-EU</w:t>
    </w:r>
    <w:r>
      <w:fldChar w:fldCharType="end"/>
    </w:r>
    <w:r>
      <w:tab/>
      <w:t xml:space="preserve">Issue </w:t>
    </w:r>
    <w:fldSimple w:instr=" Seq Issue \c \* Arabic ">
      <w:r w:rsidR="00872970">
        <w:rPr>
          <w:noProof/>
        </w:rPr>
        <w:t>2</w:t>
      </w:r>
    </w:fldSimple>
  </w:p>
  <w:p w14:paraId="29DA592B" w14:textId="767DDB4F" w:rsidR="00BC402E" w:rsidRDefault="00BC402E">
    <w:pPr>
      <w:pStyle w:val="Header"/>
    </w:pPr>
    <w:r>
      <w:t xml:space="preserve">Date: </w:t>
    </w:r>
    <w:fldSimple w:instr=" REF FilingDate ">
      <w:r w:rsidR="00D21663">
        <w:t>June 1,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A1EFD"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368F6" w14:textId="71BB9AA8" w:rsidR="006E529B" w:rsidRDefault="006E529B"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20230035-EU</w:t>
    </w:r>
    <w:r>
      <w:fldChar w:fldCharType="end"/>
    </w:r>
    <w:r>
      <w:tab/>
      <w:t>Attachment A</w:t>
    </w:r>
  </w:p>
  <w:p w14:paraId="54AE48F5" w14:textId="5D515304" w:rsidR="006E529B" w:rsidRDefault="006E529B" w:rsidP="002260E3">
    <w:pPr>
      <w:pStyle w:val="Header"/>
      <w:tabs>
        <w:tab w:val="clear" w:pos="4320"/>
        <w:tab w:val="clear" w:pos="8640"/>
        <w:tab w:val="left" w:pos="1440"/>
        <w:tab w:val="left" w:pos="8010"/>
        <w:tab w:val="left" w:pos="8607"/>
      </w:tabs>
      <w:ind w:right="1350"/>
    </w:pPr>
    <w:r>
      <w:t xml:space="preserve">Date: </w:t>
    </w:r>
    <w:fldSimple w:instr=" REF FilingDate ">
      <w:r>
        <w:t>June 1, 2023</w:t>
      </w:r>
    </w:fldSimple>
    <w:r w:rsidR="002260E3">
      <w:tab/>
      <w:t xml:space="preserve">Page </w:t>
    </w:r>
    <w:r w:rsidR="002260E3">
      <w:fldChar w:fldCharType="begin"/>
    </w:r>
    <w:r w:rsidR="002260E3">
      <w:instrText xml:space="preserve">= </w:instrText>
    </w:r>
    <w:r w:rsidR="002260E3">
      <w:fldChar w:fldCharType="begin"/>
    </w:r>
    <w:r w:rsidR="002260E3">
      <w:instrText xml:space="preserve">Page </w:instrText>
    </w:r>
    <w:r w:rsidR="002260E3">
      <w:fldChar w:fldCharType="separate"/>
    </w:r>
    <w:r w:rsidR="00872970">
      <w:rPr>
        <w:noProof/>
      </w:rPr>
      <w:instrText>9</w:instrText>
    </w:r>
    <w:r w:rsidR="002260E3">
      <w:fldChar w:fldCharType="end"/>
    </w:r>
    <w:r w:rsidR="002260E3">
      <w:instrText xml:space="preserve">- 5 </w:instrText>
    </w:r>
    <w:r w:rsidR="002260E3">
      <w:fldChar w:fldCharType="separate"/>
    </w:r>
    <w:r w:rsidR="00872970">
      <w:rPr>
        <w:noProof/>
      </w:rPr>
      <w:t>4</w:t>
    </w:r>
    <w:r w:rsidR="002260E3">
      <w:fldChar w:fldCharType="end"/>
    </w:r>
    <w:r w:rsidR="002260E3">
      <w:t xml:space="preserve"> of </w:t>
    </w:r>
    <w:r w:rsidR="00A70769">
      <w:t>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1356F" w14:textId="0F63C22D" w:rsidR="00A70769" w:rsidRDefault="00A7076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20230035-EU</w:t>
    </w:r>
    <w:r>
      <w:fldChar w:fldCharType="end"/>
    </w:r>
    <w:r>
      <w:tab/>
      <w:t>Attachment B</w:t>
    </w:r>
  </w:p>
  <w:p w14:paraId="5BEBBC90" w14:textId="693FDF21" w:rsidR="00A70769" w:rsidRDefault="00A70769" w:rsidP="002260E3">
    <w:pPr>
      <w:pStyle w:val="Header"/>
      <w:tabs>
        <w:tab w:val="clear" w:pos="4320"/>
        <w:tab w:val="clear" w:pos="8640"/>
        <w:tab w:val="left" w:pos="1440"/>
        <w:tab w:val="left" w:pos="8010"/>
        <w:tab w:val="left" w:pos="8607"/>
      </w:tabs>
      <w:ind w:right="1350"/>
    </w:pPr>
    <w:r>
      <w:t xml:space="preserve">Date: </w:t>
    </w:r>
    <w:fldSimple w:instr=" REF FilingDate ">
      <w:r>
        <w:t>June 1, 2023</w:t>
      </w:r>
    </w:fldSimple>
    <w:r>
      <w:tab/>
      <w:t>Page 1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61086"/>
    <w:rsid w:val="000043D5"/>
    <w:rsid w:val="00006170"/>
    <w:rsid w:val="00007DD0"/>
    <w:rsid w:val="00010E37"/>
    <w:rsid w:val="000172DA"/>
    <w:rsid w:val="00022337"/>
    <w:rsid w:val="00023A0E"/>
    <w:rsid w:val="000247C5"/>
    <w:rsid w:val="00025F7C"/>
    <w:rsid w:val="000277C2"/>
    <w:rsid w:val="00035B48"/>
    <w:rsid w:val="00036CE2"/>
    <w:rsid w:val="00037404"/>
    <w:rsid w:val="000437FE"/>
    <w:rsid w:val="00043AFE"/>
    <w:rsid w:val="00051166"/>
    <w:rsid w:val="000513BE"/>
    <w:rsid w:val="00051573"/>
    <w:rsid w:val="00052A14"/>
    <w:rsid w:val="0005451B"/>
    <w:rsid w:val="000567B2"/>
    <w:rsid w:val="00065A06"/>
    <w:rsid w:val="000666F3"/>
    <w:rsid w:val="00070DCB"/>
    <w:rsid w:val="00072CCA"/>
    <w:rsid w:val="00073120"/>
    <w:rsid w:val="00074AB6"/>
    <w:rsid w:val="000764D0"/>
    <w:rsid w:val="000828D3"/>
    <w:rsid w:val="00083950"/>
    <w:rsid w:val="000A2B57"/>
    <w:rsid w:val="000A418B"/>
    <w:rsid w:val="000B0ACE"/>
    <w:rsid w:val="000C4431"/>
    <w:rsid w:val="000C6607"/>
    <w:rsid w:val="000D18B9"/>
    <w:rsid w:val="000D1C06"/>
    <w:rsid w:val="000D3043"/>
    <w:rsid w:val="000D3489"/>
    <w:rsid w:val="000D4319"/>
    <w:rsid w:val="000E24FA"/>
    <w:rsid w:val="000E338A"/>
    <w:rsid w:val="000E4392"/>
    <w:rsid w:val="000E760A"/>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48ED"/>
    <w:rsid w:val="00135687"/>
    <w:rsid w:val="00136BD1"/>
    <w:rsid w:val="00146B5D"/>
    <w:rsid w:val="001507CF"/>
    <w:rsid w:val="00150ECE"/>
    <w:rsid w:val="001529D7"/>
    <w:rsid w:val="0015506E"/>
    <w:rsid w:val="00163031"/>
    <w:rsid w:val="00164360"/>
    <w:rsid w:val="001654C4"/>
    <w:rsid w:val="00171A90"/>
    <w:rsid w:val="00180254"/>
    <w:rsid w:val="00180690"/>
    <w:rsid w:val="00180A40"/>
    <w:rsid w:val="00184EB9"/>
    <w:rsid w:val="00190BB0"/>
    <w:rsid w:val="00191E1F"/>
    <w:rsid w:val="00191EE8"/>
    <w:rsid w:val="00192943"/>
    <w:rsid w:val="00193BAF"/>
    <w:rsid w:val="00194791"/>
    <w:rsid w:val="001A6CC4"/>
    <w:rsid w:val="001A7406"/>
    <w:rsid w:val="001A7AE4"/>
    <w:rsid w:val="001B1EDC"/>
    <w:rsid w:val="001B4053"/>
    <w:rsid w:val="001B4FEE"/>
    <w:rsid w:val="001B51C5"/>
    <w:rsid w:val="001B672A"/>
    <w:rsid w:val="001B6F3F"/>
    <w:rsid w:val="001C52B5"/>
    <w:rsid w:val="001D0D3E"/>
    <w:rsid w:val="001D2817"/>
    <w:rsid w:val="001D2899"/>
    <w:rsid w:val="001E14A3"/>
    <w:rsid w:val="001E7FF4"/>
    <w:rsid w:val="001F2245"/>
    <w:rsid w:val="001F2C63"/>
    <w:rsid w:val="001F3A90"/>
    <w:rsid w:val="001F48C7"/>
    <w:rsid w:val="001F6DA1"/>
    <w:rsid w:val="00200178"/>
    <w:rsid w:val="002018A9"/>
    <w:rsid w:val="00204200"/>
    <w:rsid w:val="002044E6"/>
    <w:rsid w:val="00205C82"/>
    <w:rsid w:val="00205DC2"/>
    <w:rsid w:val="0021298C"/>
    <w:rsid w:val="00212B17"/>
    <w:rsid w:val="002163B6"/>
    <w:rsid w:val="00217215"/>
    <w:rsid w:val="00220732"/>
    <w:rsid w:val="0022121F"/>
    <w:rsid w:val="00221D32"/>
    <w:rsid w:val="00222AC1"/>
    <w:rsid w:val="00225C3F"/>
    <w:rsid w:val="002260E3"/>
    <w:rsid w:val="00253A9A"/>
    <w:rsid w:val="00263D44"/>
    <w:rsid w:val="00267A07"/>
    <w:rsid w:val="002702AD"/>
    <w:rsid w:val="0027680F"/>
    <w:rsid w:val="00281EB4"/>
    <w:rsid w:val="00292D82"/>
    <w:rsid w:val="00293EE7"/>
    <w:rsid w:val="002963CB"/>
    <w:rsid w:val="002B0FD5"/>
    <w:rsid w:val="002B2DAC"/>
    <w:rsid w:val="002B4A01"/>
    <w:rsid w:val="002C0183"/>
    <w:rsid w:val="002C093B"/>
    <w:rsid w:val="002C291B"/>
    <w:rsid w:val="002C3148"/>
    <w:rsid w:val="002C746A"/>
    <w:rsid w:val="002C7E4E"/>
    <w:rsid w:val="002D226D"/>
    <w:rsid w:val="002D74E3"/>
    <w:rsid w:val="002F6030"/>
    <w:rsid w:val="003001AC"/>
    <w:rsid w:val="00301BFF"/>
    <w:rsid w:val="003037E1"/>
    <w:rsid w:val="00307E51"/>
    <w:rsid w:val="003103EC"/>
    <w:rsid w:val="00312132"/>
    <w:rsid w:val="003130BA"/>
    <w:rsid w:val="003144EF"/>
    <w:rsid w:val="0031480E"/>
    <w:rsid w:val="00316877"/>
    <w:rsid w:val="00322F74"/>
    <w:rsid w:val="00325A2D"/>
    <w:rsid w:val="00325E15"/>
    <w:rsid w:val="003302B8"/>
    <w:rsid w:val="00340073"/>
    <w:rsid w:val="003411D8"/>
    <w:rsid w:val="003445B0"/>
    <w:rsid w:val="0034460B"/>
    <w:rsid w:val="00344D7D"/>
    <w:rsid w:val="0035342D"/>
    <w:rsid w:val="00353B66"/>
    <w:rsid w:val="0035532B"/>
    <w:rsid w:val="00355934"/>
    <w:rsid w:val="00357928"/>
    <w:rsid w:val="003632FD"/>
    <w:rsid w:val="00370F78"/>
    <w:rsid w:val="00372805"/>
    <w:rsid w:val="00373180"/>
    <w:rsid w:val="00375AB9"/>
    <w:rsid w:val="0037691E"/>
    <w:rsid w:val="003821A0"/>
    <w:rsid w:val="00385B04"/>
    <w:rsid w:val="003864CF"/>
    <w:rsid w:val="00391FCB"/>
    <w:rsid w:val="003948AE"/>
    <w:rsid w:val="003A08C0"/>
    <w:rsid w:val="003A22A6"/>
    <w:rsid w:val="003A32EB"/>
    <w:rsid w:val="003A5494"/>
    <w:rsid w:val="003B2510"/>
    <w:rsid w:val="003B3FA1"/>
    <w:rsid w:val="003B4355"/>
    <w:rsid w:val="003B658E"/>
    <w:rsid w:val="003B6924"/>
    <w:rsid w:val="003C2CC4"/>
    <w:rsid w:val="003C3710"/>
    <w:rsid w:val="003C42A3"/>
    <w:rsid w:val="003C48F7"/>
    <w:rsid w:val="003C5BAA"/>
    <w:rsid w:val="003D59F3"/>
    <w:rsid w:val="003D78D3"/>
    <w:rsid w:val="003D7CA5"/>
    <w:rsid w:val="003E0463"/>
    <w:rsid w:val="003E0EFC"/>
    <w:rsid w:val="003E1110"/>
    <w:rsid w:val="003E3A43"/>
    <w:rsid w:val="003E4A2B"/>
    <w:rsid w:val="003E6FE9"/>
    <w:rsid w:val="003E76C2"/>
    <w:rsid w:val="003F1367"/>
    <w:rsid w:val="003F1679"/>
    <w:rsid w:val="003F21EB"/>
    <w:rsid w:val="003F3CA0"/>
    <w:rsid w:val="003F4A35"/>
    <w:rsid w:val="003F5AC8"/>
    <w:rsid w:val="003F5F03"/>
    <w:rsid w:val="003F7A7D"/>
    <w:rsid w:val="003F7FDD"/>
    <w:rsid w:val="00402101"/>
    <w:rsid w:val="0040221A"/>
    <w:rsid w:val="00402481"/>
    <w:rsid w:val="004042B4"/>
    <w:rsid w:val="00406A3B"/>
    <w:rsid w:val="00410DC4"/>
    <w:rsid w:val="00412DAE"/>
    <w:rsid w:val="0041302D"/>
    <w:rsid w:val="004178E8"/>
    <w:rsid w:val="004242E6"/>
    <w:rsid w:val="00427B35"/>
    <w:rsid w:val="00431598"/>
    <w:rsid w:val="004319AD"/>
    <w:rsid w:val="004426B8"/>
    <w:rsid w:val="00444432"/>
    <w:rsid w:val="00445F88"/>
    <w:rsid w:val="00447D5C"/>
    <w:rsid w:val="00450202"/>
    <w:rsid w:val="004502B2"/>
    <w:rsid w:val="00455499"/>
    <w:rsid w:val="00461F31"/>
    <w:rsid w:val="004649A7"/>
    <w:rsid w:val="004662F8"/>
    <w:rsid w:val="00471860"/>
    <w:rsid w:val="00477026"/>
    <w:rsid w:val="00477730"/>
    <w:rsid w:val="004A099A"/>
    <w:rsid w:val="004A744D"/>
    <w:rsid w:val="004B60BD"/>
    <w:rsid w:val="004C1457"/>
    <w:rsid w:val="004C3150"/>
    <w:rsid w:val="004C3641"/>
    <w:rsid w:val="004C3873"/>
    <w:rsid w:val="004C4390"/>
    <w:rsid w:val="004C4AF7"/>
    <w:rsid w:val="004C55DA"/>
    <w:rsid w:val="004C7501"/>
    <w:rsid w:val="004D020C"/>
    <w:rsid w:val="004D0C00"/>
    <w:rsid w:val="004D2881"/>
    <w:rsid w:val="004D2D7D"/>
    <w:rsid w:val="004D385F"/>
    <w:rsid w:val="004D41AB"/>
    <w:rsid w:val="004D5B39"/>
    <w:rsid w:val="004D7976"/>
    <w:rsid w:val="004E0CEA"/>
    <w:rsid w:val="004E330D"/>
    <w:rsid w:val="004E4985"/>
    <w:rsid w:val="004E5147"/>
    <w:rsid w:val="004E69B5"/>
    <w:rsid w:val="004F50D1"/>
    <w:rsid w:val="004F5C43"/>
    <w:rsid w:val="005028DB"/>
    <w:rsid w:val="005050A2"/>
    <w:rsid w:val="00506030"/>
    <w:rsid w:val="0050652D"/>
    <w:rsid w:val="00506C03"/>
    <w:rsid w:val="00511A11"/>
    <w:rsid w:val="00516496"/>
    <w:rsid w:val="00522E7D"/>
    <w:rsid w:val="00523B11"/>
    <w:rsid w:val="0052455B"/>
    <w:rsid w:val="0052572A"/>
    <w:rsid w:val="00532DFB"/>
    <w:rsid w:val="00534040"/>
    <w:rsid w:val="005375D2"/>
    <w:rsid w:val="00543CB3"/>
    <w:rsid w:val="005442E4"/>
    <w:rsid w:val="00544BB6"/>
    <w:rsid w:val="00547652"/>
    <w:rsid w:val="0055042E"/>
    <w:rsid w:val="005528F6"/>
    <w:rsid w:val="0055529B"/>
    <w:rsid w:val="00560FF0"/>
    <w:rsid w:val="005614BD"/>
    <w:rsid w:val="005706E7"/>
    <w:rsid w:val="0057154F"/>
    <w:rsid w:val="00580F69"/>
    <w:rsid w:val="00581CA3"/>
    <w:rsid w:val="00585031"/>
    <w:rsid w:val="00586E8B"/>
    <w:rsid w:val="00587A44"/>
    <w:rsid w:val="00592DCA"/>
    <w:rsid w:val="00596274"/>
    <w:rsid w:val="00597730"/>
    <w:rsid w:val="005977EC"/>
    <w:rsid w:val="00597DE7"/>
    <w:rsid w:val="005A4AA2"/>
    <w:rsid w:val="005B34B6"/>
    <w:rsid w:val="005B606A"/>
    <w:rsid w:val="005B6C8F"/>
    <w:rsid w:val="005B6EC3"/>
    <w:rsid w:val="005C17D7"/>
    <w:rsid w:val="005C33CE"/>
    <w:rsid w:val="005D0F74"/>
    <w:rsid w:val="005D1562"/>
    <w:rsid w:val="005D2E7D"/>
    <w:rsid w:val="005D4A8F"/>
    <w:rsid w:val="005D561B"/>
    <w:rsid w:val="005D578F"/>
    <w:rsid w:val="005D5ECF"/>
    <w:rsid w:val="005E544C"/>
    <w:rsid w:val="005F0AAE"/>
    <w:rsid w:val="005F468D"/>
    <w:rsid w:val="005F5499"/>
    <w:rsid w:val="005F69A3"/>
    <w:rsid w:val="00604CC7"/>
    <w:rsid w:val="00613441"/>
    <w:rsid w:val="00613C94"/>
    <w:rsid w:val="00615423"/>
    <w:rsid w:val="006165B2"/>
    <w:rsid w:val="00617276"/>
    <w:rsid w:val="00623599"/>
    <w:rsid w:val="0062527B"/>
    <w:rsid w:val="00625D97"/>
    <w:rsid w:val="00625F1C"/>
    <w:rsid w:val="0062658E"/>
    <w:rsid w:val="006279E1"/>
    <w:rsid w:val="00630CEB"/>
    <w:rsid w:val="00632264"/>
    <w:rsid w:val="006355F2"/>
    <w:rsid w:val="00643D12"/>
    <w:rsid w:val="006470BC"/>
    <w:rsid w:val="006554D3"/>
    <w:rsid w:val="006603F4"/>
    <w:rsid w:val="00661708"/>
    <w:rsid w:val="00662D63"/>
    <w:rsid w:val="00666522"/>
    <w:rsid w:val="00667036"/>
    <w:rsid w:val="00667B89"/>
    <w:rsid w:val="00673BDB"/>
    <w:rsid w:val="00674341"/>
    <w:rsid w:val="006771B8"/>
    <w:rsid w:val="00677D4C"/>
    <w:rsid w:val="00682631"/>
    <w:rsid w:val="00683A89"/>
    <w:rsid w:val="006843B6"/>
    <w:rsid w:val="0068481F"/>
    <w:rsid w:val="006919F0"/>
    <w:rsid w:val="00693EA1"/>
    <w:rsid w:val="0069636F"/>
    <w:rsid w:val="00696F5D"/>
    <w:rsid w:val="00697249"/>
    <w:rsid w:val="006A06F3"/>
    <w:rsid w:val="006A1A67"/>
    <w:rsid w:val="006A5BAD"/>
    <w:rsid w:val="006B09C4"/>
    <w:rsid w:val="006B3947"/>
    <w:rsid w:val="006B4293"/>
    <w:rsid w:val="006B624F"/>
    <w:rsid w:val="006C0C95"/>
    <w:rsid w:val="006C31E3"/>
    <w:rsid w:val="006C3FA7"/>
    <w:rsid w:val="006C6E8B"/>
    <w:rsid w:val="006D18D3"/>
    <w:rsid w:val="006D1EE9"/>
    <w:rsid w:val="006D3BD1"/>
    <w:rsid w:val="006E010E"/>
    <w:rsid w:val="006E08CB"/>
    <w:rsid w:val="006E2730"/>
    <w:rsid w:val="006E529B"/>
    <w:rsid w:val="006E598D"/>
    <w:rsid w:val="0070437D"/>
    <w:rsid w:val="00704CF1"/>
    <w:rsid w:val="00705B04"/>
    <w:rsid w:val="0071040E"/>
    <w:rsid w:val="00717EE9"/>
    <w:rsid w:val="00724992"/>
    <w:rsid w:val="00724F64"/>
    <w:rsid w:val="007252D3"/>
    <w:rsid w:val="00727F90"/>
    <w:rsid w:val="00730105"/>
    <w:rsid w:val="00734820"/>
    <w:rsid w:val="007349DC"/>
    <w:rsid w:val="007408B4"/>
    <w:rsid w:val="0074365E"/>
    <w:rsid w:val="00744B55"/>
    <w:rsid w:val="00747DE1"/>
    <w:rsid w:val="007515FD"/>
    <w:rsid w:val="00755FF5"/>
    <w:rsid w:val="00760D80"/>
    <w:rsid w:val="00761CB4"/>
    <w:rsid w:val="0077019C"/>
    <w:rsid w:val="00780A72"/>
    <w:rsid w:val="00780C09"/>
    <w:rsid w:val="00780DDF"/>
    <w:rsid w:val="007834E9"/>
    <w:rsid w:val="00786EA0"/>
    <w:rsid w:val="007878B1"/>
    <w:rsid w:val="00787DBC"/>
    <w:rsid w:val="0079019A"/>
    <w:rsid w:val="00792935"/>
    <w:rsid w:val="007A04A1"/>
    <w:rsid w:val="007A1840"/>
    <w:rsid w:val="007A3F9B"/>
    <w:rsid w:val="007A4B39"/>
    <w:rsid w:val="007B16F6"/>
    <w:rsid w:val="007B405B"/>
    <w:rsid w:val="007B730C"/>
    <w:rsid w:val="007C0528"/>
    <w:rsid w:val="007C08EA"/>
    <w:rsid w:val="007C3D38"/>
    <w:rsid w:val="007D01FB"/>
    <w:rsid w:val="007D0F35"/>
    <w:rsid w:val="007D4546"/>
    <w:rsid w:val="007D4FEB"/>
    <w:rsid w:val="007D6146"/>
    <w:rsid w:val="007E0CE7"/>
    <w:rsid w:val="007F0842"/>
    <w:rsid w:val="007F1193"/>
    <w:rsid w:val="007F417F"/>
    <w:rsid w:val="007F554D"/>
    <w:rsid w:val="007F7644"/>
    <w:rsid w:val="008042BD"/>
    <w:rsid w:val="008050B3"/>
    <w:rsid w:val="00816624"/>
    <w:rsid w:val="00822427"/>
    <w:rsid w:val="00822562"/>
    <w:rsid w:val="00823663"/>
    <w:rsid w:val="00823664"/>
    <w:rsid w:val="008305B7"/>
    <w:rsid w:val="00832DDC"/>
    <w:rsid w:val="008426B0"/>
    <w:rsid w:val="008431BB"/>
    <w:rsid w:val="00845E34"/>
    <w:rsid w:val="0084754A"/>
    <w:rsid w:val="00850BAC"/>
    <w:rsid w:val="00854A3E"/>
    <w:rsid w:val="00855D08"/>
    <w:rsid w:val="008613B7"/>
    <w:rsid w:val="008618A4"/>
    <w:rsid w:val="0086303F"/>
    <w:rsid w:val="0087005B"/>
    <w:rsid w:val="00872970"/>
    <w:rsid w:val="008731AB"/>
    <w:rsid w:val="00874344"/>
    <w:rsid w:val="0087505D"/>
    <w:rsid w:val="00877703"/>
    <w:rsid w:val="0088086D"/>
    <w:rsid w:val="00882155"/>
    <w:rsid w:val="0088233B"/>
    <w:rsid w:val="0088599E"/>
    <w:rsid w:val="00886C37"/>
    <w:rsid w:val="00890D74"/>
    <w:rsid w:val="008915FC"/>
    <w:rsid w:val="00892D99"/>
    <w:rsid w:val="00893315"/>
    <w:rsid w:val="00894C09"/>
    <w:rsid w:val="008A4A7D"/>
    <w:rsid w:val="008B5C68"/>
    <w:rsid w:val="008B62AE"/>
    <w:rsid w:val="008B6464"/>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0783F"/>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2DC6"/>
    <w:rsid w:val="009444D1"/>
    <w:rsid w:val="00945BD6"/>
    <w:rsid w:val="009479FB"/>
    <w:rsid w:val="00951C45"/>
    <w:rsid w:val="00951DD8"/>
    <w:rsid w:val="009537BA"/>
    <w:rsid w:val="0095632C"/>
    <w:rsid w:val="00962FEE"/>
    <w:rsid w:val="00964239"/>
    <w:rsid w:val="009656F2"/>
    <w:rsid w:val="00966A08"/>
    <w:rsid w:val="009701B7"/>
    <w:rsid w:val="00971207"/>
    <w:rsid w:val="00975528"/>
    <w:rsid w:val="00975CB4"/>
    <w:rsid w:val="009806BA"/>
    <w:rsid w:val="009863B0"/>
    <w:rsid w:val="00987DE1"/>
    <w:rsid w:val="00990571"/>
    <w:rsid w:val="009907B9"/>
    <w:rsid w:val="00991905"/>
    <w:rsid w:val="009926B2"/>
    <w:rsid w:val="0099673A"/>
    <w:rsid w:val="009A3291"/>
    <w:rsid w:val="009A3330"/>
    <w:rsid w:val="009A548F"/>
    <w:rsid w:val="009A7C96"/>
    <w:rsid w:val="009B61BF"/>
    <w:rsid w:val="009B7484"/>
    <w:rsid w:val="009B7EE5"/>
    <w:rsid w:val="009C3253"/>
    <w:rsid w:val="009C3DB9"/>
    <w:rsid w:val="009C5968"/>
    <w:rsid w:val="009D0436"/>
    <w:rsid w:val="009D46E5"/>
    <w:rsid w:val="009D568A"/>
    <w:rsid w:val="009F04EC"/>
    <w:rsid w:val="009F2A7C"/>
    <w:rsid w:val="009F3B36"/>
    <w:rsid w:val="00A00A83"/>
    <w:rsid w:val="00A019B9"/>
    <w:rsid w:val="00A03157"/>
    <w:rsid w:val="00A06757"/>
    <w:rsid w:val="00A11756"/>
    <w:rsid w:val="00A12497"/>
    <w:rsid w:val="00A12508"/>
    <w:rsid w:val="00A1282B"/>
    <w:rsid w:val="00A1326B"/>
    <w:rsid w:val="00A13A27"/>
    <w:rsid w:val="00A15B7C"/>
    <w:rsid w:val="00A175B6"/>
    <w:rsid w:val="00A21835"/>
    <w:rsid w:val="00A2374B"/>
    <w:rsid w:val="00A23AAB"/>
    <w:rsid w:val="00A27D6E"/>
    <w:rsid w:val="00A30775"/>
    <w:rsid w:val="00A328EC"/>
    <w:rsid w:val="00A33A51"/>
    <w:rsid w:val="00A41CA6"/>
    <w:rsid w:val="00A431ED"/>
    <w:rsid w:val="00A47927"/>
    <w:rsid w:val="00A47FFC"/>
    <w:rsid w:val="00A5442F"/>
    <w:rsid w:val="00A54FF9"/>
    <w:rsid w:val="00A56765"/>
    <w:rsid w:val="00A6020E"/>
    <w:rsid w:val="00A675AC"/>
    <w:rsid w:val="00A700A3"/>
    <w:rsid w:val="00A70769"/>
    <w:rsid w:val="00A7097D"/>
    <w:rsid w:val="00A71A35"/>
    <w:rsid w:val="00A7259B"/>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0BD0"/>
    <w:rsid w:val="00AE2EAB"/>
    <w:rsid w:val="00AF13D0"/>
    <w:rsid w:val="00AF15CF"/>
    <w:rsid w:val="00AF5E0E"/>
    <w:rsid w:val="00AF5F89"/>
    <w:rsid w:val="00AF6FB4"/>
    <w:rsid w:val="00AF73CB"/>
    <w:rsid w:val="00B002D6"/>
    <w:rsid w:val="00B02EF0"/>
    <w:rsid w:val="00B03379"/>
    <w:rsid w:val="00B03FA5"/>
    <w:rsid w:val="00B04110"/>
    <w:rsid w:val="00B05B51"/>
    <w:rsid w:val="00B06B7E"/>
    <w:rsid w:val="00B108E8"/>
    <w:rsid w:val="00B14E5A"/>
    <w:rsid w:val="00B15370"/>
    <w:rsid w:val="00B16DA4"/>
    <w:rsid w:val="00B17BEB"/>
    <w:rsid w:val="00B204F6"/>
    <w:rsid w:val="00B21A3C"/>
    <w:rsid w:val="00B223C0"/>
    <w:rsid w:val="00B234ED"/>
    <w:rsid w:val="00B249B2"/>
    <w:rsid w:val="00B25CA3"/>
    <w:rsid w:val="00B2765A"/>
    <w:rsid w:val="00B3109A"/>
    <w:rsid w:val="00B32D37"/>
    <w:rsid w:val="00B41AA8"/>
    <w:rsid w:val="00B42B45"/>
    <w:rsid w:val="00B516ED"/>
    <w:rsid w:val="00B565DA"/>
    <w:rsid w:val="00B57A6A"/>
    <w:rsid w:val="00B60A73"/>
    <w:rsid w:val="00B62D0D"/>
    <w:rsid w:val="00B760F1"/>
    <w:rsid w:val="00B7669E"/>
    <w:rsid w:val="00B76EBB"/>
    <w:rsid w:val="00B77DA1"/>
    <w:rsid w:val="00B77DD2"/>
    <w:rsid w:val="00B822A0"/>
    <w:rsid w:val="00B82F85"/>
    <w:rsid w:val="00B858AE"/>
    <w:rsid w:val="00B85964"/>
    <w:rsid w:val="00B96250"/>
    <w:rsid w:val="00B97388"/>
    <w:rsid w:val="00BA0D55"/>
    <w:rsid w:val="00BA37B3"/>
    <w:rsid w:val="00BA4CC6"/>
    <w:rsid w:val="00BA7F46"/>
    <w:rsid w:val="00BB0305"/>
    <w:rsid w:val="00BB0F1D"/>
    <w:rsid w:val="00BB3493"/>
    <w:rsid w:val="00BB6E4C"/>
    <w:rsid w:val="00BB7468"/>
    <w:rsid w:val="00BC0514"/>
    <w:rsid w:val="00BC188A"/>
    <w:rsid w:val="00BC362B"/>
    <w:rsid w:val="00BC402E"/>
    <w:rsid w:val="00BC70C6"/>
    <w:rsid w:val="00BD063E"/>
    <w:rsid w:val="00BD0F48"/>
    <w:rsid w:val="00BD14E5"/>
    <w:rsid w:val="00BD5B8B"/>
    <w:rsid w:val="00BE0E50"/>
    <w:rsid w:val="00BE6DDB"/>
    <w:rsid w:val="00BF03E0"/>
    <w:rsid w:val="00BF48E4"/>
    <w:rsid w:val="00BF5010"/>
    <w:rsid w:val="00BF5316"/>
    <w:rsid w:val="00BF7431"/>
    <w:rsid w:val="00C03009"/>
    <w:rsid w:val="00C03D5F"/>
    <w:rsid w:val="00C04E64"/>
    <w:rsid w:val="00C12307"/>
    <w:rsid w:val="00C13791"/>
    <w:rsid w:val="00C210BD"/>
    <w:rsid w:val="00C233A9"/>
    <w:rsid w:val="00C2548C"/>
    <w:rsid w:val="00C2575A"/>
    <w:rsid w:val="00C31BB3"/>
    <w:rsid w:val="00C36977"/>
    <w:rsid w:val="00C42A29"/>
    <w:rsid w:val="00C46628"/>
    <w:rsid w:val="00C467DA"/>
    <w:rsid w:val="00C477D9"/>
    <w:rsid w:val="00C57869"/>
    <w:rsid w:val="00C60BA3"/>
    <w:rsid w:val="00C610BD"/>
    <w:rsid w:val="00C623F7"/>
    <w:rsid w:val="00C62A81"/>
    <w:rsid w:val="00C67CD7"/>
    <w:rsid w:val="00C71E00"/>
    <w:rsid w:val="00C75BC5"/>
    <w:rsid w:val="00C81670"/>
    <w:rsid w:val="00C81773"/>
    <w:rsid w:val="00C82861"/>
    <w:rsid w:val="00C846DD"/>
    <w:rsid w:val="00C86896"/>
    <w:rsid w:val="00C90600"/>
    <w:rsid w:val="00C907A8"/>
    <w:rsid w:val="00C91670"/>
    <w:rsid w:val="00C93211"/>
    <w:rsid w:val="00C93DB8"/>
    <w:rsid w:val="00C942AE"/>
    <w:rsid w:val="00C942EC"/>
    <w:rsid w:val="00C96047"/>
    <w:rsid w:val="00C9688F"/>
    <w:rsid w:val="00C979D0"/>
    <w:rsid w:val="00CA0818"/>
    <w:rsid w:val="00CA15C8"/>
    <w:rsid w:val="00CA2C8F"/>
    <w:rsid w:val="00CA30DA"/>
    <w:rsid w:val="00CA3A24"/>
    <w:rsid w:val="00CB1777"/>
    <w:rsid w:val="00CB33E9"/>
    <w:rsid w:val="00CC05CF"/>
    <w:rsid w:val="00CC10A9"/>
    <w:rsid w:val="00CC3D0C"/>
    <w:rsid w:val="00CD0655"/>
    <w:rsid w:val="00CD067D"/>
    <w:rsid w:val="00CE2BF8"/>
    <w:rsid w:val="00CE484E"/>
    <w:rsid w:val="00CE4D20"/>
    <w:rsid w:val="00CE58C2"/>
    <w:rsid w:val="00CE656F"/>
    <w:rsid w:val="00CF0DA8"/>
    <w:rsid w:val="00CF2E25"/>
    <w:rsid w:val="00CF3FDD"/>
    <w:rsid w:val="00CF4453"/>
    <w:rsid w:val="00CF5589"/>
    <w:rsid w:val="00CF5D94"/>
    <w:rsid w:val="00CF7E0F"/>
    <w:rsid w:val="00D00893"/>
    <w:rsid w:val="00D034D7"/>
    <w:rsid w:val="00D038CF"/>
    <w:rsid w:val="00D04BE4"/>
    <w:rsid w:val="00D06FC7"/>
    <w:rsid w:val="00D10474"/>
    <w:rsid w:val="00D12565"/>
    <w:rsid w:val="00D140C1"/>
    <w:rsid w:val="00D14127"/>
    <w:rsid w:val="00D21663"/>
    <w:rsid w:val="00D22182"/>
    <w:rsid w:val="00D24F27"/>
    <w:rsid w:val="00D41A9F"/>
    <w:rsid w:val="00D44D40"/>
    <w:rsid w:val="00D479AE"/>
    <w:rsid w:val="00D50FCD"/>
    <w:rsid w:val="00D533E3"/>
    <w:rsid w:val="00D60B16"/>
    <w:rsid w:val="00D60F02"/>
    <w:rsid w:val="00D66E49"/>
    <w:rsid w:val="00D70D71"/>
    <w:rsid w:val="00D72F74"/>
    <w:rsid w:val="00D736E2"/>
    <w:rsid w:val="00D76CFC"/>
    <w:rsid w:val="00D779AD"/>
    <w:rsid w:val="00D81563"/>
    <w:rsid w:val="00D837C1"/>
    <w:rsid w:val="00D85907"/>
    <w:rsid w:val="00D860AC"/>
    <w:rsid w:val="00D9073E"/>
    <w:rsid w:val="00D9221D"/>
    <w:rsid w:val="00D9253C"/>
    <w:rsid w:val="00D958DF"/>
    <w:rsid w:val="00D96DA1"/>
    <w:rsid w:val="00DA2482"/>
    <w:rsid w:val="00DA49A5"/>
    <w:rsid w:val="00DA50C8"/>
    <w:rsid w:val="00DA51E7"/>
    <w:rsid w:val="00DB0260"/>
    <w:rsid w:val="00DB1C78"/>
    <w:rsid w:val="00DB7D96"/>
    <w:rsid w:val="00DC0F7F"/>
    <w:rsid w:val="00DC23FE"/>
    <w:rsid w:val="00DC59E6"/>
    <w:rsid w:val="00DD150B"/>
    <w:rsid w:val="00DD3356"/>
    <w:rsid w:val="00DD4FF6"/>
    <w:rsid w:val="00DD5025"/>
    <w:rsid w:val="00DD5464"/>
    <w:rsid w:val="00DD6F85"/>
    <w:rsid w:val="00DD7EFF"/>
    <w:rsid w:val="00DE01A2"/>
    <w:rsid w:val="00DE254E"/>
    <w:rsid w:val="00DE32C0"/>
    <w:rsid w:val="00DE76A7"/>
    <w:rsid w:val="00DF1510"/>
    <w:rsid w:val="00DF2F8A"/>
    <w:rsid w:val="00E02F1F"/>
    <w:rsid w:val="00E05454"/>
    <w:rsid w:val="00E060B5"/>
    <w:rsid w:val="00E06484"/>
    <w:rsid w:val="00E06B24"/>
    <w:rsid w:val="00E13B4C"/>
    <w:rsid w:val="00E20A7D"/>
    <w:rsid w:val="00E23FE4"/>
    <w:rsid w:val="00E25199"/>
    <w:rsid w:val="00E275D8"/>
    <w:rsid w:val="00E30F6A"/>
    <w:rsid w:val="00E3117C"/>
    <w:rsid w:val="00E31288"/>
    <w:rsid w:val="00E34307"/>
    <w:rsid w:val="00E34511"/>
    <w:rsid w:val="00E3635B"/>
    <w:rsid w:val="00E375C3"/>
    <w:rsid w:val="00E375CA"/>
    <w:rsid w:val="00E5364F"/>
    <w:rsid w:val="00E53CDE"/>
    <w:rsid w:val="00E56346"/>
    <w:rsid w:val="00E567E8"/>
    <w:rsid w:val="00E6079D"/>
    <w:rsid w:val="00E63766"/>
    <w:rsid w:val="00E64679"/>
    <w:rsid w:val="00E65EBC"/>
    <w:rsid w:val="00E6602E"/>
    <w:rsid w:val="00E677FE"/>
    <w:rsid w:val="00E73432"/>
    <w:rsid w:val="00E770CF"/>
    <w:rsid w:val="00E77B0C"/>
    <w:rsid w:val="00E77FB8"/>
    <w:rsid w:val="00E8087F"/>
    <w:rsid w:val="00E838B0"/>
    <w:rsid w:val="00E86A7C"/>
    <w:rsid w:val="00E878E1"/>
    <w:rsid w:val="00E87F2C"/>
    <w:rsid w:val="00E95278"/>
    <w:rsid w:val="00E96A42"/>
    <w:rsid w:val="00E96B2B"/>
    <w:rsid w:val="00EA2273"/>
    <w:rsid w:val="00EA7C3C"/>
    <w:rsid w:val="00EB2DB3"/>
    <w:rsid w:val="00EC3FBB"/>
    <w:rsid w:val="00EC6B7A"/>
    <w:rsid w:val="00ED3A87"/>
    <w:rsid w:val="00ED5056"/>
    <w:rsid w:val="00ED5B67"/>
    <w:rsid w:val="00ED5E7D"/>
    <w:rsid w:val="00EE1A5C"/>
    <w:rsid w:val="00EE44BE"/>
    <w:rsid w:val="00EE5F5A"/>
    <w:rsid w:val="00EF264C"/>
    <w:rsid w:val="00EF3FEE"/>
    <w:rsid w:val="00EF41BC"/>
    <w:rsid w:val="00EF6B41"/>
    <w:rsid w:val="00F04B59"/>
    <w:rsid w:val="00F07B69"/>
    <w:rsid w:val="00F11741"/>
    <w:rsid w:val="00F117B0"/>
    <w:rsid w:val="00F12B1C"/>
    <w:rsid w:val="00F12D78"/>
    <w:rsid w:val="00F13CF8"/>
    <w:rsid w:val="00F15855"/>
    <w:rsid w:val="00F1751B"/>
    <w:rsid w:val="00F200B2"/>
    <w:rsid w:val="00F227DC"/>
    <w:rsid w:val="00F26C9A"/>
    <w:rsid w:val="00F30701"/>
    <w:rsid w:val="00F32978"/>
    <w:rsid w:val="00F4300A"/>
    <w:rsid w:val="00F45079"/>
    <w:rsid w:val="00F45CB2"/>
    <w:rsid w:val="00F47C44"/>
    <w:rsid w:val="00F508A8"/>
    <w:rsid w:val="00F511F3"/>
    <w:rsid w:val="00F544C0"/>
    <w:rsid w:val="00F55332"/>
    <w:rsid w:val="00F61086"/>
    <w:rsid w:val="00F6156E"/>
    <w:rsid w:val="00F61665"/>
    <w:rsid w:val="00F6504A"/>
    <w:rsid w:val="00F65519"/>
    <w:rsid w:val="00F66D9F"/>
    <w:rsid w:val="00F713C0"/>
    <w:rsid w:val="00F723AE"/>
    <w:rsid w:val="00F729F5"/>
    <w:rsid w:val="00F75DDC"/>
    <w:rsid w:val="00F7792F"/>
    <w:rsid w:val="00F842AA"/>
    <w:rsid w:val="00F8476F"/>
    <w:rsid w:val="00F853E1"/>
    <w:rsid w:val="00F85604"/>
    <w:rsid w:val="00F91722"/>
    <w:rsid w:val="00F93809"/>
    <w:rsid w:val="00F94B7A"/>
    <w:rsid w:val="00FA0D3A"/>
    <w:rsid w:val="00FA17AC"/>
    <w:rsid w:val="00FA32DE"/>
    <w:rsid w:val="00FA3382"/>
    <w:rsid w:val="00FA58CF"/>
    <w:rsid w:val="00FA59CD"/>
    <w:rsid w:val="00FA692C"/>
    <w:rsid w:val="00FB0CDC"/>
    <w:rsid w:val="00FB1740"/>
    <w:rsid w:val="00FB4235"/>
    <w:rsid w:val="00FC4446"/>
    <w:rsid w:val="00FC5469"/>
    <w:rsid w:val="00FC6D7D"/>
    <w:rsid w:val="00FD16B0"/>
    <w:rsid w:val="00FD4FED"/>
    <w:rsid w:val="00FE00C8"/>
    <w:rsid w:val="00FE0577"/>
    <w:rsid w:val="00FE2FF8"/>
    <w:rsid w:val="00FE3407"/>
    <w:rsid w:val="00FE4E6C"/>
    <w:rsid w:val="00FE59EC"/>
    <w:rsid w:val="00FE5B67"/>
    <w:rsid w:val="00FE5C8D"/>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7CC977F"/>
  <w15:docId w15:val="{BFA42F27-848F-45FE-8976-EBE60A34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1F3A90"/>
    <w:rPr>
      <w:vertAlign w:val="superscript"/>
    </w:rPr>
  </w:style>
  <w:style w:type="character" w:styleId="CommentReference">
    <w:name w:val="annotation reference"/>
    <w:basedOn w:val="DefaultParagraphFont"/>
    <w:semiHidden/>
    <w:unhideWhenUsed/>
    <w:rsid w:val="009B7484"/>
    <w:rPr>
      <w:sz w:val="16"/>
      <w:szCs w:val="16"/>
    </w:rPr>
  </w:style>
  <w:style w:type="character" w:customStyle="1" w:styleId="HeaderChar">
    <w:name w:val="Header Char"/>
    <w:basedOn w:val="DefaultParagraphFont"/>
    <w:link w:val="Header"/>
    <w:uiPriority w:val="99"/>
    <w:rsid w:val="006E52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843AD-1C63-4CCC-B3C0-8E988224F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10</Pages>
  <Words>1665</Words>
  <Characters>9332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Patrick Kelley</dc:creator>
  <cp:lastModifiedBy>Patrick Kelley</cp:lastModifiedBy>
  <cp:revision>2</cp:revision>
  <cp:lastPrinted>2023-05-23T19:08:00Z</cp:lastPrinted>
  <dcterms:created xsi:type="dcterms:W3CDTF">2023-06-01T16:07:00Z</dcterms:created>
  <dcterms:modified xsi:type="dcterms:W3CDTF">2023-06-01T16:07:00Z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20230035-EU</vt:lpwstr>
  </property>
  <property fmtid="{D5CDD505-2E9C-101B-9397-08002B2CF9AE}" pid="3" name="MasterDocument">
    <vt:bool>false</vt:bool>
  </property>
</Properties>
</file>