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4A02" w14:textId="77777777" w:rsidR="00CB5276" w:rsidRDefault="0029161C" w:rsidP="0029161C">
      <w:pPr>
        <w:pStyle w:val="OrderHeading"/>
      </w:pPr>
      <w:r>
        <w:t>BEFORE THE FLORIDA PUBLIC SERVICE COMMISSION</w:t>
      </w:r>
    </w:p>
    <w:p w14:paraId="44B924BD" w14:textId="77777777" w:rsidR="0029161C" w:rsidRDefault="0029161C" w:rsidP="0029161C">
      <w:pPr>
        <w:pStyle w:val="OrderBody"/>
      </w:pPr>
    </w:p>
    <w:p w14:paraId="0DC343B9" w14:textId="77777777" w:rsidR="0029161C" w:rsidRDefault="0029161C" w:rsidP="002916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161C" w:rsidRPr="00C63FCF" w14:paraId="58B3A423" w14:textId="77777777" w:rsidTr="008B07F9">
        <w:trPr>
          <w:trHeight w:val="828"/>
        </w:trPr>
        <w:tc>
          <w:tcPr>
            <w:tcW w:w="4788" w:type="dxa"/>
            <w:tcBorders>
              <w:bottom w:val="nil"/>
              <w:right w:val="double" w:sz="6" w:space="0" w:color="auto"/>
            </w:tcBorders>
            <w:shd w:val="clear" w:color="auto" w:fill="auto"/>
          </w:tcPr>
          <w:p w14:paraId="1709DA9D" w14:textId="77777777" w:rsidR="0029161C" w:rsidRDefault="0029161C" w:rsidP="008B07F9">
            <w:pPr>
              <w:pStyle w:val="OrderBody"/>
              <w:tabs>
                <w:tab w:val="center" w:pos="4320"/>
                <w:tab w:val="right" w:pos="8640"/>
              </w:tabs>
              <w:jc w:val="left"/>
            </w:pPr>
            <w:r>
              <w:t xml:space="preserve">In re: </w:t>
            </w:r>
            <w:bookmarkStart w:id="0" w:name="SMInRe"/>
            <w:bookmarkEnd w:id="0"/>
            <w:r>
              <w:t>Petition for rate increase by Peoples Gas System, Inc.</w:t>
            </w:r>
          </w:p>
          <w:p w14:paraId="70147AAB" w14:textId="77777777" w:rsidR="0029161C" w:rsidRDefault="0029161C" w:rsidP="008B07F9">
            <w:pPr>
              <w:pStyle w:val="OrderBody"/>
              <w:tabs>
                <w:tab w:val="center" w:pos="4320"/>
                <w:tab w:val="right" w:pos="8640"/>
              </w:tabs>
              <w:jc w:val="left"/>
            </w:pPr>
          </w:p>
        </w:tc>
        <w:tc>
          <w:tcPr>
            <w:tcW w:w="4788" w:type="dxa"/>
            <w:tcBorders>
              <w:left w:val="double" w:sz="6" w:space="0" w:color="auto"/>
              <w:bottom w:val="nil"/>
            </w:tcBorders>
            <w:shd w:val="clear" w:color="auto" w:fill="auto"/>
          </w:tcPr>
          <w:p w14:paraId="5CB2F6D1" w14:textId="77777777" w:rsidR="0029161C" w:rsidRDefault="0029161C" w:rsidP="008B07F9">
            <w:pPr>
              <w:pStyle w:val="OrderBody"/>
              <w:tabs>
                <w:tab w:val="center" w:pos="4320"/>
                <w:tab w:val="right" w:pos="8640"/>
              </w:tabs>
              <w:jc w:val="left"/>
            </w:pPr>
            <w:r>
              <w:t xml:space="preserve">DOCKET NO. </w:t>
            </w:r>
            <w:bookmarkStart w:id="1" w:name="SMDocketNo"/>
            <w:bookmarkEnd w:id="1"/>
            <w:r>
              <w:t>20230023-GU</w:t>
            </w:r>
          </w:p>
        </w:tc>
      </w:tr>
      <w:tr w:rsidR="0029161C" w:rsidRPr="00C63FCF" w14:paraId="36D8D86B" w14:textId="77777777" w:rsidTr="008B07F9">
        <w:trPr>
          <w:trHeight w:val="828"/>
        </w:trPr>
        <w:tc>
          <w:tcPr>
            <w:tcW w:w="4788" w:type="dxa"/>
            <w:tcBorders>
              <w:bottom w:val="nil"/>
              <w:right w:val="double" w:sz="6" w:space="0" w:color="auto"/>
            </w:tcBorders>
            <w:shd w:val="clear" w:color="auto" w:fill="auto"/>
          </w:tcPr>
          <w:p w14:paraId="7EACC859" w14:textId="77777777" w:rsidR="0029161C" w:rsidRDefault="0029161C" w:rsidP="008B07F9">
            <w:pPr>
              <w:pStyle w:val="OrderBody"/>
              <w:tabs>
                <w:tab w:val="center" w:pos="4320"/>
                <w:tab w:val="right" w:pos="8640"/>
              </w:tabs>
              <w:jc w:val="left"/>
            </w:pPr>
            <w:r>
              <w:t>In re: Petition for approval of 2022 depreciation study, by Peoples Gas System, Inc.</w:t>
            </w:r>
          </w:p>
          <w:p w14:paraId="458F0547" w14:textId="77777777" w:rsidR="0029161C" w:rsidRDefault="0029161C" w:rsidP="008B07F9">
            <w:pPr>
              <w:pStyle w:val="OrderBody"/>
              <w:tabs>
                <w:tab w:val="center" w:pos="4320"/>
                <w:tab w:val="right" w:pos="8640"/>
              </w:tabs>
              <w:jc w:val="left"/>
            </w:pPr>
          </w:p>
        </w:tc>
        <w:tc>
          <w:tcPr>
            <w:tcW w:w="4788" w:type="dxa"/>
            <w:tcBorders>
              <w:left w:val="double" w:sz="6" w:space="0" w:color="auto"/>
              <w:bottom w:val="nil"/>
            </w:tcBorders>
            <w:shd w:val="clear" w:color="auto" w:fill="auto"/>
          </w:tcPr>
          <w:p w14:paraId="1ACA53E1" w14:textId="77777777" w:rsidR="0029161C" w:rsidRDefault="0029161C" w:rsidP="008B07F9">
            <w:pPr>
              <w:pStyle w:val="OrderBody"/>
              <w:tabs>
                <w:tab w:val="center" w:pos="4320"/>
                <w:tab w:val="right" w:pos="8640"/>
              </w:tabs>
              <w:jc w:val="left"/>
            </w:pPr>
            <w:r>
              <w:t>DOCKET NO. 20220219-GU</w:t>
            </w:r>
          </w:p>
          <w:p w14:paraId="5F00A578" w14:textId="77777777" w:rsidR="0029161C" w:rsidRDefault="0029161C" w:rsidP="008B07F9">
            <w:pPr>
              <w:pStyle w:val="OrderBody"/>
              <w:tabs>
                <w:tab w:val="center" w:pos="4320"/>
                <w:tab w:val="right" w:pos="8640"/>
              </w:tabs>
              <w:jc w:val="left"/>
            </w:pPr>
          </w:p>
        </w:tc>
      </w:tr>
      <w:tr w:rsidR="0029161C" w:rsidRPr="00C63FCF" w14:paraId="1757BE28" w14:textId="77777777" w:rsidTr="008B07F9">
        <w:trPr>
          <w:trHeight w:val="828"/>
        </w:trPr>
        <w:tc>
          <w:tcPr>
            <w:tcW w:w="4788" w:type="dxa"/>
            <w:tcBorders>
              <w:top w:val="nil"/>
              <w:bottom w:val="single" w:sz="8" w:space="0" w:color="auto"/>
              <w:right w:val="double" w:sz="6" w:space="0" w:color="auto"/>
            </w:tcBorders>
            <w:shd w:val="clear" w:color="auto" w:fill="auto"/>
          </w:tcPr>
          <w:p w14:paraId="37F342F5" w14:textId="77777777" w:rsidR="0029161C" w:rsidRDefault="0029161C" w:rsidP="008B07F9">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0A5C92CA" w14:textId="77777777" w:rsidR="0029161C" w:rsidRDefault="0029161C" w:rsidP="0029161C">
            <w:pPr>
              <w:pStyle w:val="OrderBody"/>
            </w:pPr>
            <w:r>
              <w:t xml:space="preserve">DOCKET NO. </w:t>
            </w:r>
            <w:bookmarkStart w:id="2" w:name="SMDocketNo2"/>
            <w:bookmarkEnd w:id="2"/>
            <w:r>
              <w:t>20220212-GU</w:t>
            </w:r>
          </w:p>
          <w:p w14:paraId="1C78046F" w14:textId="77777777" w:rsidR="00955609" w:rsidRDefault="00955609" w:rsidP="0029161C">
            <w:pPr>
              <w:pStyle w:val="OrderBody"/>
            </w:pPr>
          </w:p>
          <w:p w14:paraId="434EE0E1" w14:textId="0D6AF44D" w:rsidR="0029161C" w:rsidRDefault="0029161C" w:rsidP="008B07F9">
            <w:pPr>
              <w:pStyle w:val="OrderBody"/>
              <w:tabs>
                <w:tab w:val="center" w:pos="4320"/>
                <w:tab w:val="right" w:pos="8640"/>
              </w:tabs>
              <w:jc w:val="left"/>
            </w:pPr>
            <w:r>
              <w:t xml:space="preserve">ORDER NO. </w:t>
            </w:r>
            <w:bookmarkStart w:id="3" w:name="OrderNo0273"/>
            <w:r w:rsidR="0097231F">
              <w:t>PSC-2023-0273-PHO-GU</w:t>
            </w:r>
            <w:bookmarkEnd w:id="3"/>
          </w:p>
          <w:p w14:paraId="4415E750" w14:textId="5B2AF1B5" w:rsidR="0029161C" w:rsidRDefault="0029161C" w:rsidP="00955609">
            <w:pPr>
              <w:pStyle w:val="OrderBody"/>
              <w:tabs>
                <w:tab w:val="center" w:pos="4320"/>
                <w:tab w:val="right" w:pos="8640"/>
              </w:tabs>
              <w:jc w:val="left"/>
            </w:pPr>
            <w:r>
              <w:t xml:space="preserve">ISSUED: </w:t>
            </w:r>
            <w:r w:rsidR="0097231F">
              <w:t>August 28, 2023</w:t>
            </w:r>
          </w:p>
        </w:tc>
      </w:tr>
    </w:tbl>
    <w:p w14:paraId="1C26D30F" w14:textId="77777777" w:rsidR="0029161C" w:rsidRDefault="0029161C" w:rsidP="0029161C"/>
    <w:p w14:paraId="187BA7B7" w14:textId="77777777" w:rsidR="00CB5276" w:rsidRDefault="0029161C" w:rsidP="0029161C">
      <w:pPr>
        <w:pStyle w:val="CenterUnderline"/>
      </w:pPr>
      <w:bookmarkStart w:id="4" w:name="Commissioners"/>
      <w:bookmarkEnd w:id="4"/>
      <w:r>
        <w:t>PREHEARING ORDER</w:t>
      </w:r>
      <w:bookmarkStart w:id="5" w:name="OrderTitle"/>
      <w:r>
        <w:t xml:space="preserve"> </w:t>
      </w:r>
      <w:bookmarkEnd w:id="5"/>
    </w:p>
    <w:p w14:paraId="5ADDD2F9" w14:textId="77777777" w:rsidR="0029161C" w:rsidRDefault="0029161C" w:rsidP="0029161C">
      <w:pPr>
        <w:pStyle w:val="OrderBody"/>
      </w:pPr>
    </w:p>
    <w:p w14:paraId="0AF37CD7" w14:textId="77777777" w:rsidR="0029161C" w:rsidRPr="0029161C" w:rsidRDefault="0029161C" w:rsidP="0029161C">
      <w:pPr>
        <w:ind w:firstLine="720"/>
        <w:jc w:val="both"/>
      </w:pPr>
      <w:bookmarkStart w:id="6" w:name="OrderText"/>
      <w:bookmarkEnd w:id="6"/>
      <w:r w:rsidRPr="0029161C">
        <w:t>Pursuant to Notice and in accordance with Rule 28-106.209, Florida Administrative Code (F.A.C.), a Pr</w:t>
      </w:r>
      <w:r w:rsidR="00DC79D7">
        <w:t>ehearing Conference was held on August 21, 202</w:t>
      </w:r>
      <w:r w:rsidR="00C84324">
        <w:t>3</w:t>
      </w:r>
      <w:r w:rsidRPr="0029161C">
        <w:t xml:space="preserve">, in </w:t>
      </w:r>
      <w:smartTag w:uri="urn:schemas-microsoft-com:office:smarttags" w:element="place">
        <w:smartTag w:uri="urn:schemas-microsoft-com:office:smarttags" w:element="City">
          <w:r w:rsidRPr="0029161C">
            <w:t>Tallahassee</w:t>
          </w:r>
        </w:smartTag>
        <w:r w:rsidRPr="0029161C">
          <w:t xml:space="preserve">, </w:t>
        </w:r>
        <w:smartTag w:uri="urn:schemas-microsoft-com:office:smarttags" w:element="State">
          <w:r w:rsidRPr="0029161C">
            <w:t>Florida</w:t>
          </w:r>
        </w:smartTag>
      </w:smartTag>
      <w:r w:rsidRPr="0029161C">
        <w:t xml:space="preserve">, before Commissioner </w:t>
      </w:r>
      <w:r w:rsidR="00E049AA">
        <w:t>Gabriella Passidomo</w:t>
      </w:r>
      <w:r w:rsidRPr="0029161C">
        <w:t>, as Prehearing Officer.</w:t>
      </w:r>
    </w:p>
    <w:p w14:paraId="3A090A8A" w14:textId="77777777" w:rsidR="0029161C" w:rsidRPr="0029161C" w:rsidRDefault="0029161C" w:rsidP="0029161C">
      <w:pPr>
        <w:jc w:val="both"/>
      </w:pPr>
    </w:p>
    <w:p w14:paraId="07E62016" w14:textId="77777777" w:rsidR="0029161C" w:rsidRPr="0029161C" w:rsidRDefault="0029161C" w:rsidP="0029161C">
      <w:pPr>
        <w:jc w:val="both"/>
      </w:pPr>
      <w:r w:rsidRPr="0029161C">
        <w:t>APPEARANCES:</w:t>
      </w:r>
    </w:p>
    <w:p w14:paraId="22699834" w14:textId="77777777" w:rsidR="0029161C" w:rsidRPr="0029161C" w:rsidRDefault="0029161C" w:rsidP="0029161C">
      <w:pPr>
        <w:jc w:val="both"/>
      </w:pPr>
    </w:p>
    <w:p w14:paraId="4800BCCF" w14:textId="77777777" w:rsidR="0029161C" w:rsidRPr="0029161C" w:rsidRDefault="00045F27" w:rsidP="0029161C">
      <w:pPr>
        <w:ind w:left="1440"/>
        <w:jc w:val="both"/>
      </w:pPr>
      <w:r>
        <w:t>J. JEFFRY WAHLEN, MALCOLM MEANS and VIRGINIA PONDER</w:t>
      </w:r>
      <w:r w:rsidR="0029161C" w:rsidRPr="0029161C">
        <w:t>, ESQUIRE</w:t>
      </w:r>
      <w:r>
        <w:t>S</w:t>
      </w:r>
      <w:r w:rsidR="0029161C" w:rsidRPr="0029161C">
        <w:t xml:space="preserve">, </w:t>
      </w:r>
      <w:r>
        <w:t xml:space="preserve">Ausley Law Firm, </w:t>
      </w:r>
      <w:r w:rsidR="00B550F7">
        <w:t>Post Office Box 391, Tallahassee, Florida  32302</w:t>
      </w:r>
    </w:p>
    <w:p w14:paraId="5F583AB2" w14:textId="77777777" w:rsidR="0029161C" w:rsidRPr="0029161C" w:rsidRDefault="0029161C" w:rsidP="0029161C">
      <w:pPr>
        <w:ind w:left="720" w:firstLine="720"/>
        <w:jc w:val="both"/>
      </w:pPr>
      <w:r w:rsidRPr="0029161C">
        <w:rPr>
          <w:u w:val="single"/>
        </w:rPr>
        <w:t xml:space="preserve">On behalf of </w:t>
      </w:r>
      <w:r w:rsidR="00045F27">
        <w:rPr>
          <w:u w:val="single"/>
        </w:rPr>
        <w:t>Peoples Gas System, Inc. (PGS)</w:t>
      </w:r>
      <w:r w:rsidRPr="0029161C">
        <w:t>.</w:t>
      </w:r>
    </w:p>
    <w:p w14:paraId="56D0B546" w14:textId="77777777" w:rsidR="0029161C" w:rsidRPr="0029161C" w:rsidRDefault="0029161C" w:rsidP="0029161C">
      <w:pPr>
        <w:jc w:val="both"/>
      </w:pPr>
    </w:p>
    <w:p w14:paraId="1FC72CE0" w14:textId="77777777" w:rsidR="0029161C" w:rsidRPr="0029161C" w:rsidRDefault="006B7ADA" w:rsidP="0029161C">
      <w:pPr>
        <w:ind w:left="1440"/>
        <w:jc w:val="both"/>
      </w:pPr>
      <w:r>
        <w:t>WALT TR</w:t>
      </w:r>
      <w:r w:rsidR="00AD5640">
        <w:t>IERWEILER,</w:t>
      </w:r>
      <w:r w:rsidR="00B8224A">
        <w:t xml:space="preserve"> Public Counsel,</w:t>
      </w:r>
      <w:r w:rsidR="00AD5640">
        <w:t xml:space="preserve"> CHARLES REHWINKEL, PATRICIA CHRISTENSEN, and MARY</w:t>
      </w:r>
      <w:r w:rsidR="00C45C8C">
        <w:t xml:space="preserve"> A.</w:t>
      </w:r>
      <w:r w:rsidR="00AD5640">
        <w:t xml:space="preserve"> WESSLING</w:t>
      </w:r>
      <w:r w:rsidR="0029161C" w:rsidRPr="0029161C">
        <w:t>, ESQUIRE</w:t>
      </w:r>
      <w:r w:rsidR="00AD5640">
        <w:t>S</w:t>
      </w:r>
      <w:r w:rsidR="0029161C" w:rsidRPr="0029161C">
        <w:t>,</w:t>
      </w:r>
      <w:r w:rsidR="00C45C8C">
        <w:t xml:space="preserve"> Office of Public Counsel,</w:t>
      </w:r>
      <w:r w:rsidR="0029161C" w:rsidRPr="0029161C">
        <w:t xml:space="preserve"> </w:t>
      </w:r>
      <w:r w:rsidR="00AD5640">
        <w:t>c/o The Florida Legislature, 111 West Madison Street, Room 812, Tallahassee, Florida  32399</w:t>
      </w:r>
    </w:p>
    <w:p w14:paraId="37115D2D" w14:textId="77777777" w:rsidR="0029161C" w:rsidRPr="0029161C" w:rsidRDefault="0029161C" w:rsidP="0029161C">
      <w:pPr>
        <w:ind w:left="720" w:firstLine="720"/>
        <w:jc w:val="both"/>
      </w:pPr>
      <w:r w:rsidRPr="0029161C">
        <w:rPr>
          <w:u w:val="single"/>
        </w:rPr>
        <w:t xml:space="preserve">On behalf of </w:t>
      </w:r>
      <w:r w:rsidR="00AD5640">
        <w:rPr>
          <w:u w:val="single"/>
        </w:rPr>
        <w:t>Office of Public Counsel (OPC)</w:t>
      </w:r>
      <w:r w:rsidRPr="0029161C">
        <w:t xml:space="preserve">. </w:t>
      </w:r>
    </w:p>
    <w:p w14:paraId="30304BFC" w14:textId="77777777" w:rsidR="0029161C" w:rsidRPr="0029161C" w:rsidRDefault="0029161C" w:rsidP="0029161C">
      <w:pPr>
        <w:jc w:val="both"/>
      </w:pPr>
    </w:p>
    <w:p w14:paraId="47DFC4B5" w14:textId="77777777" w:rsidR="00200CA7" w:rsidRPr="0029161C" w:rsidRDefault="00200CA7" w:rsidP="00200CA7">
      <w:pPr>
        <w:ind w:left="1440"/>
        <w:jc w:val="both"/>
      </w:pPr>
      <w:r>
        <w:t>JON C. MOYLE, JR. and KAREN A</w:t>
      </w:r>
      <w:r w:rsidR="006B7ADA">
        <w:t>.</w:t>
      </w:r>
      <w:r>
        <w:t xml:space="preserve"> PUTNAL</w:t>
      </w:r>
      <w:r w:rsidRPr="0029161C">
        <w:t>, ESQUIRE</w:t>
      </w:r>
      <w:r>
        <w:t>S</w:t>
      </w:r>
      <w:r w:rsidRPr="0029161C">
        <w:t xml:space="preserve">, </w:t>
      </w:r>
      <w:r>
        <w:t>Moyle Law Firm, 118 North Gadsden Street, Tallahassee, Florida  32301</w:t>
      </w:r>
    </w:p>
    <w:p w14:paraId="6E8A3C80" w14:textId="77777777" w:rsidR="00200CA7" w:rsidRPr="0029161C" w:rsidRDefault="00200CA7" w:rsidP="00200CA7">
      <w:pPr>
        <w:ind w:left="720" w:firstLine="720"/>
        <w:jc w:val="both"/>
      </w:pPr>
      <w:r w:rsidRPr="0029161C">
        <w:rPr>
          <w:u w:val="single"/>
        </w:rPr>
        <w:t xml:space="preserve">On behalf of </w:t>
      </w:r>
      <w:r w:rsidR="00796A1C">
        <w:rPr>
          <w:u w:val="single"/>
        </w:rPr>
        <w:t>Florida Industrial Power Users Group (FIPUG)</w:t>
      </w:r>
      <w:r w:rsidRPr="0029161C">
        <w:t xml:space="preserve">. </w:t>
      </w:r>
    </w:p>
    <w:p w14:paraId="483FF828" w14:textId="77777777" w:rsidR="00200CA7" w:rsidRDefault="00200CA7" w:rsidP="00200CA7">
      <w:pPr>
        <w:jc w:val="both"/>
      </w:pPr>
    </w:p>
    <w:p w14:paraId="591FE189" w14:textId="77777777" w:rsidR="0029161C" w:rsidRPr="0029161C" w:rsidRDefault="001326DD" w:rsidP="0029161C">
      <w:pPr>
        <w:ind w:left="1440"/>
        <w:jc w:val="both"/>
      </w:pPr>
      <w:r>
        <w:t xml:space="preserve">MAJOR R. THOMPSON, RYAN </w:t>
      </w:r>
      <w:r w:rsidR="00F952F5">
        <w:t>P</w:t>
      </w:r>
      <w:r>
        <w:t>. SANDY, AUSTIN WATROUS, and DANIEL DOSE</w:t>
      </w:r>
      <w:r w:rsidR="0029161C" w:rsidRPr="0029161C">
        <w:t>, ESQUIRE</w:t>
      </w:r>
      <w:r>
        <w:t>S</w:t>
      </w:r>
      <w:r w:rsidR="0029161C" w:rsidRPr="0029161C">
        <w:t xml:space="preserve">, </w:t>
      </w:r>
      <w:smartTag w:uri="urn:schemas-microsoft-com:office:smarttags" w:element="State">
        <w:smartTag w:uri="urn:schemas-microsoft-com:office:smarttags" w:element="place">
          <w:r w:rsidR="0029161C" w:rsidRPr="0029161C">
            <w:t>Florida</w:t>
          </w:r>
        </w:smartTag>
      </w:smartTag>
      <w:r w:rsidR="0029161C" w:rsidRPr="0029161C">
        <w:t xml:space="preserve"> Public Service Commission, </w:t>
      </w:r>
      <w:smartTag w:uri="urn:schemas-microsoft-com:office:smarttags" w:element="address">
        <w:smartTag w:uri="urn:schemas-microsoft-com:office:smarttags" w:element="Street">
          <w:r w:rsidR="0029161C" w:rsidRPr="0029161C">
            <w:t>2540 Shumard Oak Boulevard</w:t>
          </w:r>
        </w:smartTag>
        <w:r w:rsidR="0029161C" w:rsidRPr="0029161C">
          <w:t xml:space="preserve">, </w:t>
        </w:r>
        <w:smartTag w:uri="urn:schemas-microsoft-com:office:smarttags" w:element="City">
          <w:r w:rsidR="0029161C" w:rsidRPr="0029161C">
            <w:t>Tallahassee</w:t>
          </w:r>
        </w:smartTag>
        <w:r w:rsidR="0029161C" w:rsidRPr="0029161C">
          <w:t xml:space="preserve">, </w:t>
        </w:r>
        <w:smartTag w:uri="urn:schemas-microsoft-com:office:smarttags" w:element="State">
          <w:r w:rsidR="0029161C" w:rsidRPr="0029161C">
            <w:t>Florida</w:t>
          </w:r>
        </w:smartTag>
        <w:r w:rsidR="0029161C" w:rsidRPr="0029161C">
          <w:t xml:space="preserve"> </w:t>
        </w:r>
        <w:smartTag w:uri="urn:schemas-microsoft-com:office:smarttags" w:element="PostalCode">
          <w:r w:rsidR="0029161C" w:rsidRPr="0029161C">
            <w:t>32399-0850</w:t>
          </w:r>
        </w:smartTag>
      </w:smartTag>
    </w:p>
    <w:p w14:paraId="371C17CA" w14:textId="77777777" w:rsidR="0029161C" w:rsidRPr="0029161C" w:rsidRDefault="0029161C" w:rsidP="0029161C">
      <w:pPr>
        <w:ind w:left="720" w:firstLine="720"/>
        <w:jc w:val="both"/>
      </w:pPr>
      <w:r w:rsidRPr="0029161C">
        <w:rPr>
          <w:u w:val="single"/>
        </w:rPr>
        <w:t xml:space="preserve">On behalf of the </w:t>
      </w:r>
      <w:smartTag w:uri="urn:schemas-microsoft-com:office:smarttags" w:element="place">
        <w:smartTag w:uri="urn:schemas-microsoft-com:office:smarttags" w:element="State">
          <w:r w:rsidRPr="0029161C">
            <w:rPr>
              <w:u w:val="single"/>
            </w:rPr>
            <w:t>Florida</w:t>
          </w:r>
        </w:smartTag>
      </w:smartTag>
      <w:r w:rsidRPr="0029161C">
        <w:rPr>
          <w:u w:val="single"/>
        </w:rPr>
        <w:t xml:space="preserve"> Public Service Commission (Staff)</w:t>
      </w:r>
      <w:r w:rsidRPr="0029161C">
        <w:t>.</w:t>
      </w:r>
    </w:p>
    <w:p w14:paraId="4BC9841D" w14:textId="77777777" w:rsidR="0029161C" w:rsidRPr="0029161C" w:rsidRDefault="0029161C" w:rsidP="0029161C">
      <w:pPr>
        <w:jc w:val="both"/>
      </w:pPr>
    </w:p>
    <w:p w14:paraId="0CDE1D50" w14:textId="77777777" w:rsidR="0029161C" w:rsidRPr="0029161C" w:rsidRDefault="0029161C" w:rsidP="0029161C">
      <w:pPr>
        <w:ind w:left="1440"/>
        <w:jc w:val="both"/>
      </w:pPr>
      <w:r w:rsidRPr="0029161C">
        <w:t xml:space="preserve">MARY ANNE HELTON, ESQUIRE, </w:t>
      </w:r>
      <w:smartTag w:uri="urn:schemas-microsoft-com:office:smarttags" w:element="place">
        <w:smartTag w:uri="urn:schemas-microsoft-com:office:smarttags" w:element="City">
          <w:r w:rsidRPr="0029161C">
            <w:t>Deputy General</w:t>
          </w:r>
        </w:smartTag>
        <w:r w:rsidRPr="0029161C">
          <w:t xml:space="preserve"> </w:t>
        </w:r>
        <w:smartTag w:uri="urn:schemas-microsoft-com:office:smarttags" w:element="State">
          <w:r w:rsidRPr="0029161C">
            <w:t>Counsel</w:t>
          </w:r>
        </w:smartTag>
        <w:r w:rsidRPr="0029161C">
          <w:t xml:space="preserve">, </w:t>
        </w:r>
        <w:smartTag w:uri="urn:schemas-microsoft-com:office:smarttags" w:element="State">
          <w:r w:rsidRPr="0029161C">
            <w:t>Florida</w:t>
          </w:r>
        </w:smartTag>
      </w:smartTag>
      <w:r w:rsidRPr="0029161C">
        <w:t xml:space="preserve"> Public Service Commission, </w:t>
      </w:r>
      <w:smartTag w:uri="urn:schemas-microsoft-com:office:smarttags" w:element="address">
        <w:smartTag w:uri="urn:schemas-microsoft-com:office:smarttags" w:element="Street">
          <w:r w:rsidRPr="0029161C">
            <w:t>2540 Shumard Oak Boulevard</w:t>
          </w:r>
        </w:smartTag>
        <w:r w:rsidRPr="0029161C">
          <w:t xml:space="preserve">, </w:t>
        </w:r>
        <w:smartTag w:uri="urn:schemas-microsoft-com:office:smarttags" w:element="City">
          <w:r w:rsidRPr="0029161C">
            <w:t>Tallahassee</w:t>
          </w:r>
        </w:smartTag>
        <w:r w:rsidRPr="0029161C">
          <w:t xml:space="preserve">, </w:t>
        </w:r>
        <w:smartTag w:uri="urn:schemas-microsoft-com:office:smarttags" w:element="State">
          <w:r w:rsidRPr="0029161C">
            <w:t>Florida</w:t>
          </w:r>
        </w:smartTag>
        <w:r w:rsidRPr="0029161C">
          <w:t xml:space="preserve"> </w:t>
        </w:r>
        <w:smartTag w:uri="urn:schemas-microsoft-com:office:smarttags" w:element="PostalCode">
          <w:r w:rsidRPr="0029161C">
            <w:t>32399-0850</w:t>
          </w:r>
        </w:smartTag>
      </w:smartTag>
    </w:p>
    <w:p w14:paraId="40173232" w14:textId="77777777" w:rsidR="0029161C" w:rsidRPr="0029161C" w:rsidRDefault="0029161C" w:rsidP="0029161C">
      <w:pPr>
        <w:ind w:left="720" w:firstLine="720"/>
        <w:jc w:val="both"/>
      </w:pPr>
      <w:r w:rsidRPr="0029161C">
        <w:rPr>
          <w:u w:val="single"/>
        </w:rPr>
        <w:t xml:space="preserve">Advisor to the </w:t>
      </w:r>
      <w:smartTag w:uri="urn:schemas-microsoft-com:office:smarttags" w:element="place">
        <w:smartTag w:uri="urn:schemas-microsoft-com:office:smarttags" w:element="State">
          <w:r w:rsidRPr="0029161C">
            <w:rPr>
              <w:u w:val="single"/>
            </w:rPr>
            <w:t>Florida</w:t>
          </w:r>
        </w:smartTag>
      </w:smartTag>
      <w:r w:rsidRPr="0029161C">
        <w:rPr>
          <w:u w:val="single"/>
        </w:rPr>
        <w:t xml:space="preserve"> Public Service Commission</w:t>
      </w:r>
      <w:r w:rsidRPr="0029161C">
        <w:t>.</w:t>
      </w:r>
    </w:p>
    <w:p w14:paraId="368D12F1" w14:textId="77777777" w:rsidR="0029161C" w:rsidRPr="0029161C" w:rsidRDefault="0029161C" w:rsidP="0029161C">
      <w:pPr>
        <w:ind w:left="1440"/>
        <w:jc w:val="both"/>
      </w:pPr>
      <w:r w:rsidRPr="0029161C">
        <w:lastRenderedPageBreak/>
        <w:t>KEITH C. HETRICK, ESQUIRE, General Counsel, Florida Public Service Commission, 2540 Shumard Oak Boulevard, Tallahassee, Florida 32399-0850</w:t>
      </w:r>
    </w:p>
    <w:p w14:paraId="5D1C776C" w14:textId="77777777" w:rsidR="0029161C" w:rsidRPr="000E4071" w:rsidRDefault="0029161C" w:rsidP="0029161C">
      <w:pPr>
        <w:ind w:left="720" w:firstLine="720"/>
        <w:jc w:val="both"/>
      </w:pPr>
      <w:r w:rsidRPr="0029161C">
        <w:rPr>
          <w:u w:val="single"/>
        </w:rPr>
        <w:t>Florida Public Service Commission General Counsel</w:t>
      </w:r>
      <w:r w:rsidR="000E4071">
        <w:t>.</w:t>
      </w:r>
    </w:p>
    <w:p w14:paraId="281E5C34" w14:textId="77777777" w:rsidR="0029161C" w:rsidRPr="0029161C" w:rsidRDefault="0029161C" w:rsidP="0029161C">
      <w:pPr>
        <w:jc w:val="both"/>
      </w:pPr>
    </w:p>
    <w:p w14:paraId="2FC3F4EF" w14:textId="77777777" w:rsidR="004D5857" w:rsidRDefault="004D5857" w:rsidP="004D5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sidR="00D94D7F">
        <w:rPr>
          <w:b/>
          <w:bCs/>
          <w:u w:val="single"/>
        </w:rPr>
        <w:t>CASE BACKGROUND</w:t>
      </w:r>
    </w:p>
    <w:p w14:paraId="0B983797" w14:textId="77777777" w:rsidR="004D5857" w:rsidRDefault="004D5857" w:rsidP="004D5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994943" w14:textId="03F08147" w:rsidR="004D5857" w:rsidRDefault="004D5857" w:rsidP="00D94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On February 3, 2023, pursuant to Rule 25-7.140, F.A.C., Peoples Gas System, Inc. (PGS or Utility) filed a Test Year Notification and Docket No. 20230023-GU was opened. PGS provides service to approximately 470,000 residential, commercial, industrial, and electric power generation customers across the state. PGS filed its Petition for Rate Increase (Rate Case Petition), minimum filing requirements (MFRs), and testimony on April 4, 2023. PGS filed its MFRs based on a projected test year from January 1, 2024 through December 31, 2024. In compliance with Section 366.06(2), Florida Statutes (F.S.), </w:t>
      </w:r>
      <w:r w:rsidR="002F1EBD">
        <w:t xml:space="preserve">Order No. PSC-2023-0128-PCO-GU was issued on April 12, 2023, establishing controlling dates for this proceeding and scheduling </w:t>
      </w:r>
      <w:r>
        <w:t>an administrative hearing for these matters on August 29 – September 1, 2023.</w:t>
      </w:r>
      <w:r w:rsidR="002F1EBD">
        <w:t xml:space="preserve"> Order No. PSC-2023-0128-PCO-GU also consolidat</w:t>
      </w:r>
      <w:r w:rsidR="007453D9">
        <w:t>ed</w:t>
      </w:r>
      <w:r w:rsidR="002F1EBD">
        <w:t xml:space="preserve"> </w:t>
      </w:r>
      <w:r w:rsidRPr="00DF7C17">
        <w:rPr>
          <w:spacing w:val="-1"/>
        </w:rPr>
        <w:t>Docket Nos. 20230023-GU, 2022021</w:t>
      </w:r>
      <w:r>
        <w:rPr>
          <w:spacing w:val="-1"/>
        </w:rPr>
        <w:t>9</w:t>
      </w:r>
      <w:r w:rsidRPr="00DF7C17">
        <w:rPr>
          <w:spacing w:val="-1"/>
        </w:rPr>
        <w:t>-GU, and 2022021</w:t>
      </w:r>
      <w:r>
        <w:rPr>
          <w:spacing w:val="-1"/>
        </w:rPr>
        <w:t>2</w:t>
      </w:r>
      <w:r w:rsidRPr="00DF7C17">
        <w:rPr>
          <w:spacing w:val="-1"/>
        </w:rPr>
        <w:t>-GU</w:t>
      </w:r>
      <w:r w:rsidR="007453D9">
        <w:rPr>
          <w:spacing w:val="-1"/>
        </w:rPr>
        <w:t xml:space="preserve"> for purposes of the hearing</w:t>
      </w:r>
      <w:r w:rsidR="002F1EBD">
        <w:rPr>
          <w:spacing w:val="-1"/>
        </w:rPr>
        <w:t>,</w:t>
      </w:r>
      <w:r w:rsidRPr="00DF7C17">
        <w:rPr>
          <w:rStyle w:val="FootnoteReference"/>
          <w:spacing w:val="-1"/>
        </w:rPr>
        <w:footnoteReference w:id="1"/>
      </w:r>
      <w:r w:rsidRPr="00DF7C17">
        <w:rPr>
          <w:spacing w:val="-1"/>
        </w:rPr>
        <w:t xml:space="preserve"> </w:t>
      </w:r>
      <w:r w:rsidR="002F1EBD">
        <w:t xml:space="preserve">with </w:t>
      </w:r>
      <w:r w:rsidRPr="00DF7C17">
        <w:t xml:space="preserve">Docket No. </w:t>
      </w:r>
      <w:r w:rsidRPr="00DF7C17">
        <w:rPr>
          <w:spacing w:val="-1"/>
        </w:rPr>
        <w:t>20230023-GU</w:t>
      </w:r>
      <w:r w:rsidRPr="00DF7C17">
        <w:t xml:space="preserve"> </w:t>
      </w:r>
      <w:r w:rsidR="003D2F45">
        <w:t xml:space="preserve">serving as </w:t>
      </w:r>
      <w:r w:rsidRPr="00DF7C17">
        <w:t>the primary docket</w:t>
      </w:r>
      <w:r>
        <w:t xml:space="preserve">. </w:t>
      </w:r>
      <w:r w:rsidR="00D218B1" w:rsidRPr="004977DD">
        <w:rPr>
          <w:b/>
        </w:rPr>
        <w:t>Due to Tropical Storm Idalia, the hearing has been rescheduled for September 12–15, 2023.</w:t>
      </w:r>
    </w:p>
    <w:p w14:paraId="389C6C07" w14:textId="77777777" w:rsidR="0029161C" w:rsidRPr="0029161C" w:rsidRDefault="0029161C" w:rsidP="0029161C">
      <w:pPr>
        <w:jc w:val="both"/>
      </w:pPr>
    </w:p>
    <w:p w14:paraId="63E91677" w14:textId="77777777" w:rsidR="0029161C" w:rsidRPr="0029161C" w:rsidRDefault="0029161C" w:rsidP="0029161C">
      <w:pPr>
        <w:jc w:val="both"/>
        <w:rPr>
          <w:b/>
        </w:rPr>
      </w:pPr>
      <w:r w:rsidRPr="0029161C">
        <w:rPr>
          <w:b/>
        </w:rPr>
        <w:t>I</w:t>
      </w:r>
      <w:r w:rsidR="00C84D1B">
        <w:rPr>
          <w:b/>
        </w:rPr>
        <w:t>I</w:t>
      </w:r>
      <w:r w:rsidRPr="0029161C">
        <w:rPr>
          <w:b/>
        </w:rPr>
        <w:t>.</w:t>
      </w:r>
      <w:r w:rsidRPr="0029161C">
        <w:rPr>
          <w:b/>
        </w:rPr>
        <w:tab/>
      </w:r>
      <w:r w:rsidRPr="0029161C">
        <w:rPr>
          <w:b/>
          <w:u w:val="single"/>
        </w:rPr>
        <w:t>CONDUCT OF PROCEEDINGS</w:t>
      </w:r>
    </w:p>
    <w:p w14:paraId="000FCFD7" w14:textId="77777777" w:rsidR="0029161C" w:rsidRPr="0029161C" w:rsidRDefault="0029161C" w:rsidP="0029161C">
      <w:pPr>
        <w:jc w:val="both"/>
      </w:pPr>
    </w:p>
    <w:p w14:paraId="79A52133" w14:textId="77777777" w:rsidR="0029161C" w:rsidRPr="0029161C" w:rsidRDefault="0029161C" w:rsidP="0029161C">
      <w:pPr>
        <w:jc w:val="both"/>
      </w:pPr>
      <w:r w:rsidRPr="0029161C">
        <w:tab/>
        <w:t>Pursuant to Rule 28-106.211, F.A.C., this Prehearing Order is issued to prevent delay and to promote the just, speedy, and inexpensive determination of all aspects of this case.</w:t>
      </w:r>
    </w:p>
    <w:p w14:paraId="4EF7A746" w14:textId="77777777" w:rsidR="0029161C" w:rsidRPr="0029161C" w:rsidRDefault="0029161C" w:rsidP="0029161C">
      <w:pPr>
        <w:jc w:val="both"/>
      </w:pPr>
    </w:p>
    <w:p w14:paraId="0DD918C0" w14:textId="77777777" w:rsidR="0029161C" w:rsidRPr="0029161C" w:rsidRDefault="003D2F45" w:rsidP="0029161C">
      <w:pPr>
        <w:jc w:val="both"/>
        <w:rPr>
          <w:b/>
        </w:rPr>
      </w:pPr>
      <w:r>
        <w:rPr>
          <w:b/>
        </w:rPr>
        <w:t>II</w:t>
      </w:r>
      <w:r w:rsidR="00C84D1B">
        <w:rPr>
          <w:b/>
        </w:rPr>
        <w:t>I</w:t>
      </w:r>
      <w:r w:rsidR="0029161C" w:rsidRPr="0029161C">
        <w:rPr>
          <w:b/>
        </w:rPr>
        <w:t>.</w:t>
      </w:r>
      <w:r w:rsidR="0029161C" w:rsidRPr="0029161C">
        <w:rPr>
          <w:b/>
        </w:rPr>
        <w:tab/>
      </w:r>
      <w:r w:rsidR="0029161C" w:rsidRPr="0029161C">
        <w:rPr>
          <w:b/>
          <w:u w:val="single"/>
        </w:rPr>
        <w:t>JURISDICTION</w:t>
      </w:r>
    </w:p>
    <w:p w14:paraId="5C973BF0" w14:textId="77777777" w:rsidR="0029161C" w:rsidRPr="0029161C" w:rsidRDefault="0029161C" w:rsidP="0029161C">
      <w:pPr>
        <w:jc w:val="both"/>
      </w:pPr>
    </w:p>
    <w:p w14:paraId="30E35D40" w14:textId="77777777" w:rsidR="004D5857" w:rsidRPr="00701945" w:rsidRDefault="0029161C" w:rsidP="004D5857">
      <w:pPr>
        <w:jc w:val="both"/>
      </w:pPr>
      <w:r w:rsidRPr="0029161C">
        <w:tab/>
      </w:r>
      <w:r w:rsidR="004D5857" w:rsidRPr="007E3E9B">
        <w:t>This Commission is vested with jurisdiction over the subject matter by the provisions of Chapter</w:t>
      </w:r>
      <w:r w:rsidR="004D5857">
        <w:t>s 120 and</w:t>
      </w:r>
      <w:r w:rsidR="004D5857" w:rsidRPr="007E3E9B">
        <w:t xml:space="preserve"> 366, </w:t>
      </w:r>
      <w:r w:rsidR="004D5857">
        <w:t>F.S.</w:t>
      </w:r>
      <w:r w:rsidR="004D5857" w:rsidRPr="00701945">
        <w:t xml:space="preserve">  This hearing will be governed by said Chapter and Chapters</w:t>
      </w:r>
      <w:r w:rsidR="004D5857">
        <w:t xml:space="preserve"> 25-7,</w:t>
      </w:r>
      <w:r w:rsidR="004D5857" w:rsidRPr="00701945">
        <w:t xml:space="preserve"> 25-22, </w:t>
      </w:r>
      <w:r w:rsidR="004D5857">
        <w:t xml:space="preserve">and </w:t>
      </w:r>
      <w:r w:rsidR="004D5857" w:rsidRPr="00701945">
        <w:t xml:space="preserve">28-106, </w:t>
      </w:r>
      <w:r w:rsidR="004D5857">
        <w:t>F.A.C., as well as any other applicable provisions of law</w:t>
      </w:r>
      <w:r w:rsidR="004D5857" w:rsidRPr="00701945">
        <w:t>.</w:t>
      </w:r>
    </w:p>
    <w:p w14:paraId="1D7D2BC8" w14:textId="77777777" w:rsidR="0029161C" w:rsidRPr="0029161C" w:rsidRDefault="0029161C" w:rsidP="0029161C">
      <w:pPr>
        <w:jc w:val="both"/>
      </w:pPr>
    </w:p>
    <w:p w14:paraId="66054EBA" w14:textId="77777777" w:rsidR="0029161C" w:rsidRPr="0029161C" w:rsidRDefault="003D2F45" w:rsidP="0029161C">
      <w:pPr>
        <w:jc w:val="both"/>
        <w:rPr>
          <w:b/>
        </w:rPr>
      </w:pPr>
      <w:r>
        <w:rPr>
          <w:b/>
        </w:rPr>
        <w:t>I</w:t>
      </w:r>
      <w:r w:rsidR="0029161C" w:rsidRPr="0029161C">
        <w:rPr>
          <w:b/>
        </w:rPr>
        <w:t>V.</w:t>
      </w:r>
      <w:r w:rsidR="0029161C" w:rsidRPr="0029161C">
        <w:rPr>
          <w:b/>
        </w:rPr>
        <w:tab/>
      </w:r>
      <w:r w:rsidR="0029161C" w:rsidRPr="0029161C">
        <w:rPr>
          <w:b/>
          <w:u w:val="single"/>
        </w:rPr>
        <w:t>PROCEDURE FOR HANDLING CONFIDENTIAL INFORMATION</w:t>
      </w:r>
    </w:p>
    <w:p w14:paraId="74AA22D0" w14:textId="77777777" w:rsidR="0029161C" w:rsidRPr="0029161C" w:rsidRDefault="0029161C" w:rsidP="0029161C">
      <w:pPr>
        <w:jc w:val="both"/>
        <w:rPr>
          <w:b/>
        </w:rPr>
      </w:pPr>
    </w:p>
    <w:p w14:paraId="3E067F52" w14:textId="77777777" w:rsidR="0031296E" w:rsidRDefault="0029161C" w:rsidP="0031296E">
      <w:pPr>
        <w:jc w:val="both"/>
      </w:pPr>
      <w:r w:rsidRPr="0029161C">
        <w:tab/>
      </w:r>
      <w:r w:rsidR="0031296E">
        <w:t>Information for which proprietary confidential business information status is requested</w:t>
      </w:r>
      <w:r w:rsidR="0031296E" w:rsidRPr="00A72918">
        <w:t xml:space="preserve"> pursuant to</w:t>
      </w:r>
      <w:r w:rsidR="0031296E">
        <w:t xml:space="preserve"> Section </w:t>
      </w:r>
      <w:r w:rsidR="0031296E" w:rsidRPr="00CB0A50">
        <w:t>366.093,</w:t>
      </w:r>
      <w:r w:rsidR="0031296E">
        <w:t xml:space="preserve"> F.S.</w:t>
      </w:r>
      <w:r w:rsidR="0031296E" w:rsidRPr="00A72918">
        <w:t xml:space="preserve">, and Rule 25-22.006, </w:t>
      </w:r>
      <w:r w:rsidR="0031296E">
        <w:t>F.A.C.</w:t>
      </w:r>
      <w:r w:rsidR="0031296E" w:rsidRPr="00A72918">
        <w:t>,</w:t>
      </w:r>
      <w:r w:rsidR="0031296E">
        <w:t xml:space="preserve"> shall be treated by the Commission as confidential.  The information shall be exempt from Section 119.07(1), </w:t>
      </w:r>
      <w:smartTag w:uri="urn:schemas:contacts" w:element="GivenName">
        <w:r w:rsidR="0031296E">
          <w:t>F.S.</w:t>
        </w:r>
      </w:smartTag>
      <w:r w:rsidR="0031296E">
        <w:t xml:space="preserve">, pending a formal ruling on such request by the Commission or pending return of the information to the person providing the information.  </w:t>
      </w:r>
      <w:r w:rsidR="0031296E" w:rsidRPr="005555EC">
        <w:t xml:space="preserve">If no determination of confidentiality has been made and the information has not been made a part </w:t>
      </w:r>
      <w:r w:rsidR="0031296E">
        <w:t>of the evidentiary record in this</w:t>
      </w:r>
      <w:r w:rsidR="0031296E" w:rsidRPr="005555EC">
        <w:t xml:space="preserve"> proceeding, it shall be returned to the person providing the information.  If a determination of confidentiality has been made and the information was no</w:t>
      </w:r>
      <w:r w:rsidR="0031296E">
        <w:t>t entered into the record of this</w:t>
      </w:r>
      <w:r w:rsidR="0031296E" w:rsidRPr="005555EC">
        <w:t xml:space="preserve"> proceeding, it shall be returned to the person providing the information with</w:t>
      </w:r>
      <w:r w:rsidR="0031296E">
        <w:t xml:space="preserve">in the time period set forth in </w:t>
      </w:r>
      <w:r w:rsidR="0031296E" w:rsidRPr="005555EC">
        <w:t>Section</w:t>
      </w:r>
      <w:r w:rsidR="0031296E">
        <w:t xml:space="preserve"> </w:t>
      </w:r>
      <w:r w:rsidR="0031296E">
        <w:lastRenderedPageBreak/>
        <w:t>366.093, F.S.  T</w:t>
      </w:r>
      <w:r w:rsidR="0031296E" w:rsidRPr="00B2317F">
        <w:t>he Commission may determine that continued possession of the information is necessary for the Commission to conduct its business.</w:t>
      </w:r>
    </w:p>
    <w:p w14:paraId="1A4F4D13" w14:textId="77777777" w:rsidR="0031296E" w:rsidRDefault="0031296E" w:rsidP="0031296E">
      <w:pPr>
        <w:jc w:val="both"/>
      </w:pPr>
    </w:p>
    <w:p w14:paraId="6F4C9509" w14:textId="77777777" w:rsidR="0031296E" w:rsidRDefault="0031296E" w:rsidP="00312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67FE70E1" w14:textId="77777777" w:rsidR="0031296E" w:rsidRDefault="0031296E" w:rsidP="00312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3D5642" w14:textId="77777777" w:rsidR="0031296E" w:rsidRDefault="0031296E" w:rsidP="0031296E">
      <w:pPr>
        <w:spacing w:line="2" w:lineRule="exact"/>
        <w:jc w:val="both"/>
      </w:pPr>
    </w:p>
    <w:p w14:paraId="7722F8BE" w14:textId="77777777" w:rsidR="0031296E" w:rsidRDefault="0031296E" w:rsidP="0031296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3AD77E7" w14:textId="77777777" w:rsidR="0031296E" w:rsidRDefault="0031296E" w:rsidP="00312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DD9B89" w14:textId="77777777" w:rsidR="0031296E" w:rsidRDefault="0031296E" w:rsidP="0031296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50A4763D" w14:textId="568545E8" w:rsidR="0031296E" w:rsidRDefault="0031296E" w:rsidP="00312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58E717" w14:textId="77777777" w:rsidR="0031296E" w:rsidRDefault="0031296E" w:rsidP="00312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7DA635FE" w14:textId="77777777" w:rsidR="0029161C" w:rsidRPr="0029161C" w:rsidRDefault="0029161C" w:rsidP="0031296E">
      <w:pPr>
        <w:jc w:val="both"/>
      </w:pPr>
    </w:p>
    <w:p w14:paraId="6C724CE7" w14:textId="77777777" w:rsidR="0029161C" w:rsidRPr="0029161C" w:rsidRDefault="0029161C" w:rsidP="0029161C">
      <w:pPr>
        <w:jc w:val="both"/>
        <w:rPr>
          <w:b/>
        </w:rPr>
      </w:pPr>
      <w:r w:rsidRPr="0029161C">
        <w:rPr>
          <w:b/>
        </w:rPr>
        <w:t>V.</w:t>
      </w:r>
      <w:r w:rsidRPr="0029161C">
        <w:rPr>
          <w:b/>
        </w:rPr>
        <w:tab/>
      </w:r>
      <w:r w:rsidRPr="0029161C">
        <w:rPr>
          <w:b/>
          <w:u w:val="single"/>
        </w:rPr>
        <w:t xml:space="preserve">PREFILED TESTIMONY </w:t>
      </w:r>
      <w:smartTag w:uri="urn:schemas-microsoft-com:office:smarttags" w:element="stockticker">
        <w:r w:rsidRPr="0029161C">
          <w:rPr>
            <w:b/>
            <w:u w:val="single"/>
          </w:rPr>
          <w:t>AND</w:t>
        </w:r>
      </w:smartTag>
      <w:r w:rsidRPr="0029161C">
        <w:rPr>
          <w:b/>
          <w:u w:val="single"/>
        </w:rPr>
        <w:t xml:space="preserve"> EXHIBITS; WITNESSES</w:t>
      </w:r>
    </w:p>
    <w:p w14:paraId="77FD2F07" w14:textId="77777777" w:rsidR="0029161C" w:rsidRPr="0029161C" w:rsidRDefault="0029161C" w:rsidP="0029161C">
      <w:pPr>
        <w:jc w:val="both"/>
      </w:pPr>
    </w:p>
    <w:p w14:paraId="47021C26" w14:textId="7BF3183D" w:rsidR="0029161C" w:rsidRPr="0029161C" w:rsidRDefault="0029161C" w:rsidP="0029161C">
      <w:pPr>
        <w:jc w:val="both"/>
      </w:pPr>
      <w:r w:rsidRPr="0029161C">
        <w:ta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w:t>
      </w:r>
      <w:r w:rsidR="00B42E1B">
        <w:t>’</w:t>
      </w:r>
      <w:r w:rsidRPr="0029161C">
        <w:t xml:space="preserve"> testimony, exhibits appended thereto may be marked for identification.  Each witness will have the opportunity to orally summarize his or her testimony at the time he or she takes the stand.  Summaries of te</w:t>
      </w:r>
      <w:r w:rsidR="00CB57B0">
        <w:t>stimony shall be limited to fiv</w:t>
      </w:r>
      <w:r w:rsidRPr="0029161C">
        <w:t>e minutes.</w:t>
      </w:r>
    </w:p>
    <w:p w14:paraId="36FEBA58" w14:textId="77777777" w:rsidR="0029161C" w:rsidRPr="0029161C" w:rsidRDefault="0029161C" w:rsidP="0029161C">
      <w:pPr>
        <w:jc w:val="both"/>
      </w:pPr>
    </w:p>
    <w:p w14:paraId="653F81F5" w14:textId="77777777" w:rsidR="0029161C" w:rsidRPr="0029161C" w:rsidRDefault="0029161C" w:rsidP="0029161C">
      <w:pPr>
        <w:ind w:firstLine="720"/>
        <w:jc w:val="both"/>
      </w:pPr>
      <w:r w:rsidRPr="0029161C">
        <w:t xml:space="preserve">Witnesses are reminded that, on cross-examination, responses to questions calling for a simple yes or no answer shall be so answered first, after which the witness may explain his or her answer.  After all parties and Staff have had the opportunity to cross-examine the witness, the </w:t>
      </w:r>
      <w:r w:rsidRPr="0029161C">
        <w:lastRenderedPageBreak/>
        <w:t>exhibit may be moved into the record.  All other exhibits may be similarly identified and entered into the record at the appropriate time during the hearing.</w:t>
      </w:r>
    </w:p>
    <w:p w14:paraId="5069727D" w14:textId="77777777" w:rsidR="0029161C" w:rsidRPr="0029161C" w:rsidRDefault="0029161C" w:rsidP="0029161C">
      <w:pPr>
        <w:jc w:val="both"/>
      </w:pPr>
    </w:p>
    <w:p w14:paraId="785A011F" w14:textId="77777777" w:rsidR="0029161C" w:rsidRPr="0029161C" w:rsidRDefault="0029161C" w:rsidP="0029161C">
      <w:pPr>
        <w:jc w:val="both"/>
      </w:pPr>
      <w:r w:rsidRPr="0029161C">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2FE9E8B1" w14:textId="77777777" w:rsidR="0029161C" w:rsidRPr="0029161C" w:rsidRDefault="0029161C" w:rsidP="0029161C">
      <w:pPr>
        <w:jc w:val="both"/>
        <w:rPr>
          <w:color w:val="000000"/>
        </w:rPr>
      </w:pPr>
    </w:p>
    <w:p w14:paraId="3B908D77" w14:textId="77777777" w:rsidR="0029161C" w:rsidRPr="0029161C" w:rsidRDefault="0029161C" w:rsidP="0029161C">
      <w:pPr>
        <w:ind w:firstLine="720"/>
        <w:jc w:val="both"/>
        <w:rPr>
          <w:color w:val="000000"/>
        </w:rPr>
      </w:pPr>
      <w:r w:rsidRPr="0029161C">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38FECCB" w14:textId="77777777" w:rsidR="0029161C" w:rsidRPr="0029161C" w:rsidRDefault="0029161C" w:rsidP="0029161C">
      <w:pPr>
        <w:jc w:val="both"/>
      </w:pPr>
    </w:p>
    <w:p w14:paraId="337BE411" w14:textId="77777777" w:rsidR="0029161C" w:rsidRPr="0029161C" w:rsidRDefault="0029161C" w:rsidP="0029161C">
      <w:pPr>
        <w:jc w:val="both"/>
        <w:rPr>
          <w:b/>
        </w:rPr>
      </w:pPr>
      <w:r w:rsidRPr="0029161C">
        <w:rPr>
          <w:b/>
        </w:rPr>
        <w:t>VI.</w:t>
      </w:r>
      <w:r w:rsidRPr="0029161C">
        <w:rPr>
          <w:b/>
        </w:rPr>
        <w:tab/>
      </w:r>
      <w:r w:rsidRPr="0029161C">
        <w:rPr>
          <w:b/>
          <w:u w:val="single"/>
        </w:rPr>
        <w:t>ORDER OF WITNESSES</w:t>
      </w:r>
    </w:p>
    <w:p w14:paraId="32E91C1F" w14:textId="77777777" w:rsidR="0029161C" w:rsidRPr="0029161C" w:rsidRDefault="0029161C" w:rsidP="0029161C">
      <w:pPr>
        <w:jc w:val="both"/>
      </w:pPr>
    </w:p>
    <w:p w14:paraId="33E890BA" w14:textId="24A9C306" w:rsidR="0029161C" w:rsidRPr="0029161C" w:rsidRDefault="0029161C" w:rsidP="0029161C">
      <w:pPr>
        <w:jc w:val="both"/>
      </w:pPr>
      <w:r w:rsidRPr="0029161C">
        <w:tab/>
      </w:r>
      <w:r w:rsidR="002D6A0E" w:rsidRPr="0029161C">
        <w:t>Each witness whose name is preceded by a plus sign (+) will present direct and rebuttal testimony together.</w:t>
      </w:r>
      <w:r w:rsidR="002D6A0E">
        <w:t xml:space="preserve"> </w:t>
      </w:r>
      <w:r w:rsidR="00C05563">
        <w:t>Each witness whose name is preceded by an asterisk (*) has been stipulated</w:t>
      </w:r>
      <w:r w:rsidR="00242699">
        <w:t xml:space="preserve"> and excused</w:t>
      </w:r>
      <w:r w:rsidR="00C05563">
        <w:t xml:space="preserve">. </w:t>
      </w:r>
      <w:r w:rsidR="002D6A0E">
        <w:t>The testimony and exhibits of stipulated witnesses shall be introduced into the record in the order presented below.</w:t>
      </w:r>
    </w:p>
    <w:p w14:paraId="7C0503A3" w14:textId="77777777" w:rsidR="0029161C" w:rsidRPr="0029161C" w:rsidRDefault="0029161C" w:rsidP="0029161C">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D6A0E" w:rsidRPr="0029161C" w14:paraId="10BFDEE7" w14:textId="77777777" w:rsidTr="002D6A0E">
        <w:trPr>
          <w:cantSplit/>
          <w:trHeight w:val="362"/>
          <w:tblHeader/>
        </w:trPr>
        <w:tc>
          <w:tcPr>
            <w:tcW w:w="3507" w:type="dxa"/>
          </w:tcPr>
          <w:p w14:paraId="67697CC6" w14:textId="77777777" w:rsidR="002D6A0E" w:rsidRPr="0029161C" w:rsidRDefault="002D6A0E" w:rsidP="002D6A0E">
            <w:pPr>
              <w:jc w:val="both"/>
            </w:pPr>
            <w:r w:rsidRPr="0029161C">
              <w:rPr>
                <w:u w:val="single"/>
              </w:rPr>
              <w:t>Witness</w:t>
            </w:r>
          </w:p>
        </w:tc>
        <w:tc>
          <w:tcPr>
            <w:tcW w:w="2511" w:type="dxa"/>
          </w:tcPr>
          <w:p w14:paraId="54E49BCF" w14:textId="77777777" w:rsidR="002D6A0E" w:rsidRPr="0029161C" w:rsidRDefault="002D6A0E" w:rsidP="002D6A0E">
            <w:pPr>
              <w:jc w:val="center"/>
            </w:pPr>
            <w:r w:rsidRPr="0029161C">
              <w:rPr>
                <w:u w:val="single"/>
              </w:rPr>
              <w:t>Proffered By</w:t>
            </w:r>
          </w:p>
        </w:tc>
        <w:tc>
          <w:tcPr>
            <w:tcW w:w="3546" w:type="dxa"/>
          </w:tcPr>
          <w:p w14:paraId="613A32E8" w14:textId="77777777" w:rsidR="002D6A0E" w:rsidRPr="0029161C" w:rsidRDefault="002D6A0E" w:rsidP="002D6A0E">
            <w:pPr>
              <w:jc w:val="both"/>
            </w:pPr>
            <w:r w:rsidRPr="0029161C">
              <w:rPr>
                <w:u w:val="single"/>
              </w:rPr>
              <w:t>Issues #</w:t>
            </w:r>
          </w:p>
        </w:tc>
      </w:tr>
      <w:tr w:rsidR="008B2ADE" w:rsidRPr="0029161C" w14:paraId="70E64EF9" w14:textId="77777777" w:rsidTr="00866FC8">
        <w:trPr>
          <w:cantSplit/>
          <w:trHeight w:val="362"/>
        </w:trPr>
        <w:tc>
          <w:tcPr>
            <w:tcW w:w="9564" w:type="dxa"/>
            <w:gridSpan w:val="3"/>
          </w:tcPr>
          <w:p w14:paraId="2BD6F79F" w14:textId="77777777" w:rsidR="008B2ADE" w:rsidRPr="0029161C" w:rsidRDefault="008B2ADE" w:rsidP="002D6A0E">
            <w:r w:rsidRPr="0029161C">
              <w:tab/>
            </w:r>
            <w:r w:rsidRPr="0029161C">
              <w:rPr>
                <w:u w:val="single"/>
              </w:rPr>
              <w:t>Direct</w:t>
            </w:r>
          </w:p>
        </w:tc>
      </w:tr>
      <w:tr w:rsidR="002D6A0E" w:rsidRPr="0029161C" w14:paraId="75E5F23A" w14:textId="77777777" w:rsidTr="002D6A0E">
        <w:trPr>
          <w:cantSplit/>
          <w:trHeight w:val="362"/>
        </w:trPr>
        <w:tc>
          <w:tcPr>
            <w:tcW w:w="3507" w:type="dxa"/>
          </w:tcPr>
          <w:p w14:paraId="4E7099D9"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Helen J. Wesley</w:t>
            </w:r>
          </w:p>
        </w:tc>
        <w:tc>
          <w:tcPr>
            <w:tcW w:w="2511" w:type="dxa"/>
          </w:tcPr>
          <w:p w14:paraId="50CAE92E" w14:textId="77777777" w:rsidR="002D6A0E" w:rsidRPr="0029161C" w:rsidRDefault="002D6A0E" w:rsidP="002D6A0E">
            <w:pPr>
              <w:jc w:val="center"/>
            </w:pPr>
            <w:r>
              <w:t>PGS</w:t>
            </w:r>
          </w:p>
        </w:tc>
        <w:tc>
          <w:tcPr>
            <w:tcW w:w="3546" w:type="dxa"/>
          </w:tcPr>
          <w:p w14:paraId="13607144" w14:textId="77777777" w:rsidR="002D6A0E" w:rsidRPr="0029161C" w:rsidRDefault="002D6A0E" w:rsidP="002D6A0E">
            <w:r w:rsidRPr="009D7973">
              <w:rPr>
                <w:rFonts w:cs="Arial"/>
                <w:spacing w:val="-3"/>
              </w:rPr>
              <w:t xml:space="preserve">4, 42, 47, 49, </w:t>
            </w:r>
            <w:r>
              <w:rPr>
                <w:rFonts w:cs="Arial"/>
                <w:spacing w:val="-3"/>
              </w:rPr>
              <w:t xml:space="preserve">60, 61, </w:t>
            </w:r>
            <w:r w:rsidRPr="009D7973">
              <w:rPr>
                <w:rFonts w:cs="Arial"/>
                <w:spacing w:val="-3"/>
              </w:rPr>
              <w:t>72</w:t>
            </w:r>
          </w:p>
        </w:tc>
      </w:tr>
      <w:tr w:rsidR="002D6A0E" w:rsidRPr="0029161C" w14:paraId="4EA37E6B" w14:textId="77777777" w:rsidTr="002D6A0E">
        <w:trPr>
          <w:cantSplit/>
          <w:trHeight w:val="362"/>
        </w:trPr>
        <w:tc>
          <w:tcPr>
            <w:tcW w:w="3507" w:type="dxa"/>
          </w:tcPr>
          <w:p w14:paraId="118A8193" w14:textId="28A34F8A" w:rsidR="002D6A0E" w:rsidRPr="0029161C" w:rsidRDefault="00C05563" w:rsidP="002D6A0E">
            <w:pPr>
              <w:jc w:val="both"/>
            </w:pPr>
            <w:r>
              <w:rPr>
                <w:rFonts w:cs="Arial"/>
                <w:spacing w:val="-3"/>
              </w:rPr>
              <w:t>*</w:t>
            </w:r>
            <w:r w:rsidR="00CB57B0">
              <w:rPr>
                <w:rFonts w:cs="Arial"/>
                <w:spacing w:val="-3"/>
              </w:rPr>
              <w:t xml:space="preserve"> </w:t>
            </w:r>
            <w:r w:rsidR="002D6A0E">
              <w:rPr>
                <w:rFonts w:cs="Arial"/>
                <w:spacing w:val="-3"/>
              </w:rPr>
              <w:t>Karen K. Sparkman</w:t>
            </w:r>
          </w:p>
        </w:tc>
        <w:tc>
          <w:tcPr>
            <w:tcW w:w="2511" w:type="dxa"/>
          </w:tcPr>
          <w:p w14:paraId="0999AA77" w14:textId="77777777" w:rsidR="002D6A0E" w:rsidRPr="0029161C" w:rsidRDefault="002D6A0E" w:rsidP="002D6A0E">
            <w:pPr>
              <w:jc w:val="center"/>
            </w:pPr>
            <w:r>
              <w:t>PGS</w:t>
            </w:r>
          </w:p>
        </w:tc>
        <w:tc>
          <w:tcPr>
            <w:tcW w:w="3546" w:type="dxa"/>
          </w:tcPr>
          <w:p w14:paraId="672D4456" w14:textId="77777777" w:rsidR="002D6A0E" w:rsidRPr="0029161C" w:rsidRDefault="002D6A0E" w:rsidP="002D6A0E">
            <w:r>
              <w:rPr>
                <w:rFonts w:cs="Arial"/>
                <w:spacing w:val="-3"/>
              </w:rPr>
              <w:t>4</w:t>
            </w:r>
          </w:p>
        </w:tc>
      </w:tr>
      <w:tr w:rsidR="002D6A0E" w:rsidRPr="0029161C" w14:paraId="573BB365" w14:textId="77777777" w:rsidTr="002D6A0E">
        <w:trPr>
          <w:cantSplit/>
          <w:trHeight w:val="362"/>
        </w:trPr>
        <w:tc>
          <w:tcPr>
            <w:tcW w:w="3507" w:type="dxa"/>
          </w:tcPr>
          <w:p w14:paraId="7135AD47"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Timothy O’Connor</w:t>
            </w:r>
          </w:p>
        </w:tc>
        <w:tc>
          <w:tcPr>
            <w:tcW w:w="2511" w:type="dxa"/>
          </w:tcPr>
          <w:p w14:paraId="334577E7" w14:textId="77777777" w:rsidR="002D6A0E" w:rsidRPr="0029161C" w:rsidRDefault="002D6A0E" w:rsidP="002D6A0E">
            <w:pPr>
              <w:jc w:val="center"/>
            </w:pPr>
            <w:r>
              <w:t>PGS</w:t>
            </w:r>
          </w:p>
        </w:tc>
        <w:tc>
          <w:tcPr>
            <w:tcW w:w="3546" w:type="dxa"/>
          </w:tcPr>
          <w:p w14:paraId="0B159D2E" w14:textId="77777777" w:rsidR="002D6A0E" w:rsidRPr="0029161C" w:rsidRDefault="002D6A0E" w:rsidP="002D6A0E">
            <w:r w:rsidRPr="009D7973">
              <w:rPr>
                <w:rFonts w:cs="Arial"/>
                <w:spacing w:val="-3"/>
              </w:rPr>
              <w:t>15, 19, 21, 27, 41</w:t>
            </w:r>
            <w:r>
              <w:rPr>
                <w:rFonts w:cs="Arial"/>
                <w:spacing w:val="-3"/>
              </w:rPr>
              <w:t xml:space="preserve">, </w:t>
            </w:r>
            <w:r w:rsidRPr="009D7973">
              <w:rPr>
                <w:rFonts w:cs="Arial"/>
                <w:spacing w:val="-3"/>
              </w:rPr>
              <w:t>42, 45, 49</w:t>
            </w:r>
          </w:p>
        </w:tc>
      </w:tr>
      <w:tr w:rsidR="002D6A0E" w:rsidRPr="0029161C" w14:paraId="5E89A58D" w14:textId="77777777" w:rsidTr="002D6A0E">
        <w:trPr>
          <w:cantSplit/>
          <w:trHeight w:val="362"/>
        </w:trPr>
        <w:tc>
          <w:tcPr>
            <w:tcW w:w="3507" w:type="dxa"/>
          </w:tcPr>
          <w:p w14:paraId="285E00AF" w14:textId="1F3DC705" w:rsidR="002D6A0E" w:rsidRPr="0029161C" w:rsidRDefault="00CB57B0" w:rsidP="002D6A0E">
            <w:pPr>
              <w:jc w:val="both"/>
            </w:pPr>
            <w:r>
              <w:rPr>
                <w:rFonts w:cs="Arial"/>
                <w:spacing w:val="-3"/>
              </w:rPr>
              <w:t xml:space="preserve">* </w:t>
            </w:r>
            <w:r w:rsidR="002D6A0E">
              <w:rPr>
                <w:rFonts w:cs="Arial"/>
                <w:spacing w:val="-3"/>
              </w:rPr>
              <w:t>Lew Rutkin, Jr.</w:t>
            </w:r>
          </w:p>
        </w:tc>
        <w:tc>
          <w:tcPr>
            <w:tcW w:w="2511" w:type="dxa"/>
          </w:tcPr>
          <w:p w14:paraId="394D0EFE" w14:textId="77777777" w:rsidR="002D6A0E" w:rsidRPr="0029161C" w:rsidRDefault="002D6A0E" w:rsidP="002D6A0E">
            <w:pPr>
              <w:jc w:val="center"/>
            </w:pPr>
            <w:r>
              <w:t>PGS</w:t>
            </w:r>
          </w:p>
        </w:tc>
        <w:tc>
          <w:tcPr>
            <w:tcW w:w="3546" w:type="dxa"/>
          </w:tcPr>
          <w:p w14:paraId="5C4502CF" w14:textId="77777777" w:rsidR="002D6A0E" w:rsidRPr="0029161C" w:rsidRDefault="002D6A0E" w:rsidP="002D6A0E">
            <w:r w:rsidRPr="009D7973">
              <w:rPr>
                <w:rFonts w:cs="Arial"/>
                <w:spacing w:val="-3"/>
              </w:rPr>
              <w:t>16</w:t>
            </w:r>
            <w:r>
              <w:rPr>
                <w:rFonts w:cs="Arial"/>
                <w:spacing w:val="-3"/>
              </w:rPr>
              <w:t xml:space="preserve">, 17, </w:t>
            </w:r>
            <w:r w:rsidRPr="009D7973">
              <w:rPr>
                <w:rFonts w:cs="Arial"/>
                <w:spacing w:val="-3"/>
              </w:rPr>
              <w:t>18, 21, 27, 41</w:t>
            </w:r>
            <w:r>
              <w:rPr>
                <w:rFonts w:cs="Arial"/>
                <w:spacing w:val="-3"/>
              </w:rPr>
              <w:t xml:space="preserve">, </w:t>
            </w:r>
            <w:r w:rsidRPr="009D7973">
              <w:rPr>
                <w:rFonts w:cs="Arial"/>
                <w:spacing w:val="-3"/>
              </w:rPr>
              <w:t>42, 49, 67</w:t>
            </w:r>
          </w:p>
        </w:tc>
      </w:tr>
      <w:tr w:rsidR="002D6A0E" w:rsidRPr="0029161C" w14:paraId="1469C490" w14:textId="77777777" w:rsidTr="002D6A0E">
        <w:trPr>
          <w:cantSplit/>
          <w:trHeight w:val="362"/>
        </w:trPr>
        <w:tc>
          <w:tcPr>
            <w:tcW w:w="3507" w:type="dxa"/>
          </w:tcPr>
          <w:p w14:paraId="61A0F0B5"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Christian C. Richard</w:t>
            </w:r>
          </w:p>
        </w:tc>
        <w:tc>
          <w:tcPr>
            <w:tcW w:w="2511" w:type="dxa"/>
          </w:tcPr>
          <w:p w14:paraId="763F2B77" w14:textId="77777777" w:rsidR="002D6A0E" w:rsidRPr="0029161C" w:rsidRDefault="002D6A0E" w:rsidP="002D6A0E">
            <w:pPr>
              <w:jc w:val="center"/>
            </w:pPr>
            <w:r>
              <w:t>PGS</w:t>
            </w:r>
          </w:p>
        </w:tc>
        <w:tc>
          <w:tcPr>
            <w:tcW w:w="3546" w:type="dxa"/>
          </w:tcPr>
          <w:p w14:paraId="70735AA8" w14:textId="77777777" w:rsidR="002D6A0E" w:rsidRPr="0029161C" w:rsidRDefault="002D6A0E" w:rsidP="002D6A0E">
            <w:r w:rsidRPr="009D7973">
              <w:rPr>
                <w:rFonts w:cs="Arial"/>
                <w:spacing w:val="-3"/>
              </w:rPr>
              <w:t>19, 21, 23, 27, 41, 42, 49</w:t>
            </w:r>
          </w:p>
        </w:tc>
      </w:tr>
      <w:tr w:rsidR="002D6A0E" w:rsidRPr="0029161C" w14:paraId="54B58386" w14:textId="77777777" w:rsidTr="002D6A0E">
        <w:trPr>
          <w:cantSplit/>
          <w:trHeight w:val="362"/>
        </w:trPr>
        <w:tc>
          <w:tcPr>
            <w:tcW w:w="3507" w:type="dxa"/>
          </w:tcPr>
          <w:p w14:paraId="38A68096"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Donna L. Bluestone</w:t>
            </w:r>
          </w:p>
        </w:tc>
        <w:tc>
          <w:tcPr>
            <w:tcW w:w="2511" w:type="dxa"/>
          </w:tcPr>
          <w:p w14:paraId="669FBDC7" w14:textId="77777777" w:rsidR="002D6A0E" w:rsidRPr="0029161C" w:rsidRDefault="002D6A0E" w:rsidP="002D6A0E">
            <w:pPr>
              <w:jc w:val="center"/>
            </w:pPr>
            <w:r>
              <w:t>PGS</w:t>
            </w:r>
          </w:p>
        </w:tc>
        <w:tc>
          <w:tcPr>
            <w:tcW w:w="3546" w:type="dxa"/>
          </w:tcPr>
          <w:p w14:paraId="1940597B" w14:textId="77777777" w:rsidR="002D6A0E" w:rsidRPr="0029161C" w:rsidRDefault="002D6A0E" w:rsidP="002D6A0E">
            <w:r w:rsidRPr="009D7973">
              <w:rPr>
                <w:rFonts w:cs="Arial"/>
                <w:spacing w:val="-3"/>
              </w:rPr>
              <w:t>42, 43, 49</w:t>
            </w:r>
          </w:p>
        </w:tc>
      </w:tr>
      <w:tr w:rsidR="002D6A0E" w:rsidRPr="0029161C" w14:paraId="62B6E60E" w14:textId="77777777" w:rsidTr="002D6A0E">
        <w:trPr>
          <w:cantSplit/>
          <w:trHeight w:val="362"/>
        </w:trPr>
        <w:tc>
          <w:tcPr>
            <w:tcW w:w="3507" w:type="dxa"/>
          </w:tcPr>
          <w:p w14:paraId="52837C3A" w14:textId="58C97D87" w:rsidR="002D6A0E" w:rsidRPr="0029161C" w:rsidRDefault="00C05563" w:rsidP="002D6A0E">
            <w:pPr>
              <w:jc w:val="both"/>
            </w:pPr>
            <w:r>
              <w:rPr>
                <w:rFonts w:cs="Arial"/>
                <w:spacing w:val="-3"/>
              </w:rPr>
              <w:t>*</w:t>
            </w:r>
            <w:r w:rsidR="009D68D5">
              <w:rPr>
                <w:rFonts w:cs="Arial"/>
                <w:spacing w:val="-3"/>
              </w:rPr>
              <w:t xml:space="preserve"> </w:t>
            </w:r>
            <w:r w:rsidR="002D6A0E">
              <w:rPr>
                <w:rFonts w:cs="Arial"/>
                <w:spacing w:val="-3"/>
              </w:rPr>
              <w:t>Richard K. Harper, PhD</w:t>
            </w:r>
          </w:p>
        </w:tc>
        <w:tc>
          <w:tcPr>
            <w:tcW w:w="2511" w:type="dxa"/>
          </w:tcPr>
          <w:p w14:paraId="1941A107" w14:textId="77777777" w:rsidR="002D6A0E" w:rsidRPr="0029161C" w:rsidRDefault="002D6A0E" w:rsidP="002D6A0E">
            <w:pPr>
              <w:jc w:val="center"/>
            </w:pPr>
            <w:r>
              <w:t>PGS</w:t>
            </w:r>
          </w:p>
        </w:tc>
        <w:tc>
          <w:tcPr>
            <w:tcW w:w="3546" w:type="dxa"/>
          </w:tcPr>
          <w:p w14:paraId="05CB48DC" w14:textId="77777777" w:rsidR="002D6A0E" w:rsidRPr="0029161C" w:rsidRDefault="002D6A0E" w:rsidP="002D6A0E">
            <w:r>
              <w:t>40</w:t>
            </w:r>
          </w:p>
        </w:tc>
      </w:tr>
      <w:tr w:rsidR="002D6A0E" w:rsidRPr="0029161C" w14:paraId="68D669D9" w14:textId="77777777" w:rsidTr="002D6A0E">
        <w:trPr>
          <w:cantSplit/>
          <w:trHeight w:val="362"/>
        </w:trPr>
        <w:tc>
          <w:tcPr>
            <w:tcW w:w="3507" w:type="dxa"/>
          </w:tcPr>
          <w:p w14:paraId="1DA48187" w14:textId="4434A96C" w:rsidR="002D6A0E" w:rsidRPr="0029161C" w:rsidRDefault="00C05563" w:rsidP="002D6A0E">
            <w:pPr>
              <w:jc w:val="both"/>
            </w:pPr>
            <w:r>
              <w:rPr>
                <w:rFonts w:cs="Arial"/>
                <w:spacing w:val="-3"/>
              </w:rPr>
              <w:t>*</w:t>
            </w:r>
            <w:r w:rsidR="00CB57B0">
              <w:rPr>
                <w:rFonts w:cs="Arial"/>
                <w:spacing w:val="-3"/>
              </w:rPr>
              <w:t xml:space="preserve"> </w:t>
            </w:r>
            <w:r w:rsidR="002D6A0E">
              <w:rPr>
                <w:rFonts w:cs="Arial"/>
                <w:spacing w:val="-3"/>
              </w:rPr>
              <w:t>Eric Fox</w:t>
            </w:r>
          </w:p>
        </w:tc>
        <w:tc>
          <w:tcPr>
            <w:tcW w:w="2511" w:type="dxa"/>
          </w:tcPr>
          <w:p w14:paraId="4B09D4BC" w14:textId="77777777" w:rsidR="002D6A0E" w:rsidRPr="0029161C" w:rsidRDefault="002D6A0E" w:rsidP="002D6A0E">
            <w:pPr>
              <w:jc w:val="center"/>
            </w:pPr>
            <w:r>
              <w:t>PGS</w:t>
            </w:r>
          </w:p>
        </w:tc>
        <w:tc>
          <w:tcPr>
            <w:tcW w:w="3546" w:type="dxa"/>
          </w:tcPr>
          <w:p w14:paraId="53330F15" w14:textId="77777777" w:rsidR="002D6A0E" w:rsidRPr="0029161C" w:rsidRDefault="002D6A0E" w:rsidP="002D6A0E">
            <w:r>
              <w:t>2, 3</w:t>
            </w:r>
          </w:p>
        </w:tc>
      </w:tr>
      <w:tr w:rsidR="002D6A0E" w:rsidRPr="0029161C" w14:paraId="50354B3B" w14:textId="77777777" w:rsidTr="002D6A0E">
        <w:trPr>
          <w:cantSplit/>
          <w:trHeight w:val="362"/>
        </w:trPr>
        <w:tc>
          <w:tcPr>
            <w:tcW w:w="3507" w:type="dxa"/>
          </w:tcPr>
          <w:p w14:paraId="04A7A624"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Dylan W. D’Ascendis</w:t>
            </w:r>
          </w:p>
        </w:tc>
        <w:tc>
          <w:tcPr>
            <w:tcW w:w="2511" w:type="dxa"/>
          </w:tcPr>
          <w:p w14:paraId="2E9D73AB" w14:textId="77777777" w:rsidR="002D6A0E" w:rsidRPr="0029161C" w:rsidRDefault="002D6A0E" w:rsidP="002D6A0E">
            <w:pPr>
              <w:jc w:val="center"/>
            </w:pPr>
            <w:r>
              <w:t>PGS</w:t>
            </w:r>
          </w:p>
        </w:tc>
        <w:tc>
          <w:tcPr>
            <w:tcW w:w="3546" w:type="dxa"/>
          </w:tcPr>
          <w:p w14:paraId="696B30A0" w14:textId="77777777" w:rsidR="002D6A0E" w:rsidRPr="0029161C" w:rsidRDefault="002D6A0E" w:rsidP="002D6A0E">
            <w:r>
              <w:t>35</w:t>
            </w:r>
          </w:p>
        </w:tc>
      </w:tr>
      <w:tr w:rsidR="002D6A0E" w:rsidRPr="0029161C" w14:paraId="2F7AC738" w14:textId="77777777" w:rsidTr="002D6A0E">
        <w:trPr>
          <w:cantSplit/>
          <w:trHeight w:val="362"/>
        </w:trPr>
        <w:tc>
          <w:tcPr>
            <w:tcW w:w="3507" w:type="dxa"/>
          </w:tcPr>
          <w:p w14:paraId="2793FFDC"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Kenneth D. McOnie</w:t>
            </w:r>
          </w:p>
        </w:tc>
        <w:tc>
          <w:tcPr>
            <w:tcW w:w="2511" w:type="dxa"/>
          </w:tcPr>
          <w:p w14:paraId="73CB6433" w14:textId="77777777" w:rsidR="002D6A0E" w:rsidRPr="0029161C" w:rsidRDefault="002D6A0E" w:rsidP="002D6A0E">
            <w:pPr>
              <w:jc w:val="center"/>
            </w:pPr>
            <w:r>
              <w:t>PGS</w:t>
            </w:r>
          </w:p>
        </w:tc>
        <w:tc>
          <w:tcPr>
            <w:tcW w:w="3546" w:type="dxa"/>
          </w:tcPr>
          <w:p w14:paraId="5CCFEB17" w14:textId="77777777" w:rsidR="002D6A0E" w:rsidRPr="0029161C" w:rsidRDefault="002D6A0E" w:rsidP="002D6A0E">
            <w:r w:rsidRPr="009D7973">
              <w:rPr>
                <w:rFonts w:cs="Arial"/>
                <w:spacing w:val="-3"/>
              </w:rPr>
              <w:t>31, 32, 34</w:t>
            </w:r>
          </w:p>
        </w:tc>
      </w:tr>
      <w:tr w:rsidR="002D6A0E" w:rsidRPr="0029161C" w14:paraId="1C95D4AD" w14:textId="77777777" w:rsidTr="002D6A0E">
        <w:trPr>
          <w:cantSplit/>
          <w:trHeight w:val="362"/>
        </w:trPr>
        <w:tc>
          <w:tcPr>
            <w:tcW w:w="3507" w:type="dxa"/>
          </w:tcPr>
          <w:p w14:paraId="14397E79" w14:textId="77777777" w:rsidR="002D6A0E" w:rsidRPr="0029161C" w:rsidRDefault="002D6A0E" w:rsidP="002D6A0E">
            <w:pPr>
              <w:jc w:val="both"/>
            </w:pPr>
            <w:r>
              <w:rPr>
                <w:rFonts w:cs="Arial"/>
                <w:spacing w:val="-3"/>
              </w:rPr>
              <w:t>+</w:t>
            </w:r>
            <w:r w:rsidR="009D68D5">
              <w:rPr>
                <w:rFonts w:cs="Arial"/>
                <w:spacing w:val="-3"/>
              </w:rPr>
              <w:t xml:space="preserve"> </w:t>
            </w:r>
            <w:r>
              <w:rPr>
                <w:rFonts w:cs="Arial"/>
                <w:spacing w:val="-3"/>
              </w:rPr>
              <w:t>Dane A. Watson</w:t>
            </w:r>
          </w:p>
        </w:tc>
        <w:tc>
          <w:tcPr>
            <w:tcW w:w="2511" w:type="dxa"/>
          </w:tcPr>
          <w:p w14:paraId="7CB5943C" w14:textId="77777777" w:rsidR="002D6A0E" w:rsidRPr="0029161C" w:rsidRDefault="002D6A0E" w:rsidP="002D6A0E">
            <w:pPr>
              <w:jc w:val="center"/>
            </w:pPr>
            <w:r>
              <w:t>PGS</w:t>
            </w:r>
          </w:p>
        </w:tc>
        <w:tc>
          <w:tcPr>
            <w:tcW w:w="3546" w:type="dxa"/>
          </w:tcPr>
          <w:p w14:paraId="5D04CF69" w14:textId="77777777" w:rsidR="002D6A0E" w:rsidRPr="0029161C" w:rsidRDefault="002D6A0E" w:rsidP="002D6A0E">
            <w:r w:rsidRPr="009D7973">
              <w:rPr>
                <w:rFonts w:cs="Arial"/>
                <w:spacing w:val="-3"/>
              </w:rPr>
              <w:t>5, 7, 9, 10, 11, 22, 50</w:t>
            </w:r>
          </w:p>
        </w:tc>
      </w:tr>
      <w:tr w:rsidR="002D6A0E" w:rsidRPr="0029161C" w14:paraId="01FE0600" w14:textId="77777777" w:rsidTr="002D6A0E">
        <w:trPr>
          <w:cantSplit/>
          <w:trHeight w:val="362"/>
        </w:trPr>
        <w:tc>
          <w:tcPr>
            <w:tcW w:w="3507" w:type="dxa"/>
          </w:tcPr>
          <w:p w14:paraId="3B0CA90B" w14:textId="77777777" w:rsidR="002D6A0E" w:rsidRPr="0029161C" w:rsidRDefault="002D6A0E" w:rsidP="002D6A0E">
            <w:pPr>
              <w:jc w:val="both"/>
            </w:pPr>
            <w:r>
              <w:rPr>
                <w:rFonts w:cs="Arial"/>
                <w:spacing w:val="-3"/>
              </w:rPr>
              <w:lastRenderedPageBreak/>
              <w:t>+</w:t>
            </w:r>
            <w:r w:rsidR="009D68D5">
              <w:rPr>
                <w:rFonts w:cs="Arial"/>
                <w:spacing w:val="-3"/>
              </w:rPr>
              <w:t xml:space="preserve"> </w:t>
            </w:r>
            <w:r>
              <w:rPr>
                <w:rFonts w:cs="Arial"/>
                <w:spacing w:val="-3"/>
              </w:rPr>
              <w:t>Rachel B. Parsons</w:t>
            </w:r>
          </w:p>
        </w:tc>
        <w:tc>
          <w:tcPr>
            <w:tcW w:w="2511" w:type="dxa"/>
          </w:tcPr>
          <w:p w14:paraId="6FBDEDAD" w14:textId="77777777" w:rsidR="002D6A0E" w:rsidRPr="0029161C" w:rsidRDefault="002D6A0E" w:rsidP="002D6A0E">
            <w:pPr>
              <w:jc w:val="center"/>
            </w:pPr>
            <w:r>
              <w:t>PGS</w:t>
            </w:r>
          </w:p>
        </w:tc>
        <w:tc>
          <w:tcPr>
            <w:tcW w:w="3546" w:type="dxa"/>
          </w:tcPr>
          <w:p w14:paraId="6453E827" w14:textId="77777777" w:rsidR="002D6A0E" w:rsidRPr="0029161C" w:rsidRDefault="002D6A0E" w:rsidP="002D6A0E">
            <w:r w:rsidRPr="009D7973">
              <w:rPr>
                <w:rFonts w:cs="Arial"/>
                <w:spacing w:val="-3"/>
              </w:rPr>
              <w:t>1, 3, 5, 6, 8, 10, 11, 12, 13, 14, 15, 16, 17, 19, 20, 21, 22, 23, 24, 25, 26, 27, 28,</w:t>
            </w:r>
            <w:r>
              <w:rPr>
                <w:rFonts w:cs="Arial"/>
                <w:spacing w:val="-3"/>
              </w:rPr>
              <w:t xml:space="preserve"> </w:t>
            </w:r>
            <w:r w:rsidRPr="009D7973">
              <w:rPr>
                <w:rFonts w:cs="Arial"/>
                <w:spacing w:val="-3"/>
              </w:rPr>
              <w:t>29, 30, 31, 32, 33, 36, 37, 38, 39, 40, 41, 43, 44, 46, 47, 48, 49,  50, 51, 52, 53, 54, 55, 56, 57, 71, 72, 73, 74</w:t>
            </w:r>
          </w:p>
        </w:tc>
      </w:tr>
      <w:tr w:rsidR="002D6A0E" w:rsidRPr="0029161C" w14:paraId="097CEFA9" w14:textId="77777777" w:rsidTr="002D6A0E">
        <w:trPr>
          <w:cantSplit/>
          <w:trHeight w:val="362"/>
        </w:trPr>
        <w:tc>
          <w:tcPr>
            <w:tcW w:w="3507" w:type="dxa"/>
          </w:tcPr>
          <w:p w14:paraId="0938DBB6" w14:textId="60773163" w:rsidR="002D6A0E" w:rsidRPr="0029161C" w:rsidRDefault="00C05563" w:rsidP="002D6A0E">
            <w:pPr>
              <w:jc w:val="both"/>
            </w:pPr>
            <w:r>
              <w:rPr>
                <w:rFonts w:cs="Arial"/>
                <w:spacing w:val="-3"/>
              </w:rPr>
              <w:t>*</w:t>
            </w:r>
            <w:r w:rsidR="00CB57B0">
              <w:rPr>
                <w:rFonts w:cs="Arial"/>
                <w:spacing w:val="-3"/>
              </w:rPr>
              <w:t xml:space="preserve"> </w:t>
            </w:r>
            <w:r w:rsidR="002D6A0E">
              <w:rPr>
                <w:rFonts w:cs="Arial"/>
                <w:spacing w:val="-3"/>
              </w:rPr>
              <w:t>Gregg Therrien</w:t>
            </w:r>
          </w:p>
        </w:tc>
        <w:tc>
          <w:tcPr>
            <w:tcW w:w="2511" w:type="dxa"/>
          </w:tcPr>
          <w:p w14:paraId="655180F3" w14:textId="77777777" w:rsidR="002D6A0E" w:rsidRPr="0029161C" w:rsidRDefault="002D6A0E" w:rsidP="002D6A0E">
            <w:pPr>
              <w:jc w:val="center"/>
            </w:pPr>
            <w:r>
              <w:t>PGS</w:t>
            </w:r>
          </w:p>
        </w:tc>
        <w:tc>
          <w:tcPr>
            <w:tcW w:w="3546" w:type="dxa"/>
          </w:tcPr>
          <w:p w14:paraId="02CCE514" w14:textId="1C08D080" w:rsidR="002D6A0E" w:rsidRPr="0029161C" w:rsidRDefault="00CB57B0" w:rsidP="002D6A0E">
            <w:r>
              <w:rPr>
                <w:rFonts w:cs="Arial"/>
                <w:spacing w:val="-3"/>
              </w:rPr>
              <w:t xml:space="preserve">58, </w:t>
            </w:r>
            <w:r w:rsidR="002D6A0E" w:rsidRPr="009D7973">
              <w:rPr>
                <w:rFonts w:cs="Arial"/>
                <w:spacing w:val="-3"/>
              </w:rPr>
              <w:t>59, 60, 61, 63, 64, 69</w:t>
            </w:r>
          </w:p>
        </w:tc>
      </w:tr>
      <w:tr w:rsidR="002D6A0E" w:rsidRPr="0029161C" w14:paraId="1439FDAB" w14:textId="77777777" w:rsidTr="002D6A0E">
        <w:trPr>
          <w:cantSplit/>
          <w:trHeight w:val="362"/>
        </w:trPr>
        <w:tc>
          <w:tcPr>
            <w:tcW w:w="3507" w:type="dxa"/>
          </w:tcPr>
          <w:p w14:paraId="1902CD23" w14:textId="3C82C506" w:rsidR="002D6A0E" w:rsidRPr="0029161C" w:rsidRDefault="00C05563" w:rsidP="002D6A0E">
            <w:pPr>
              <w:jc w:val="both"/>
            </w:pPr>
            <w:r>
              <w:rPr>
                <w:rFonts w:cs="Arial"/>
                <w:spacing w:val="-3"/>
              </w:rPr>
              <w:t>*</w:t>
            </w:r>
            <w:r w:rsidR="009D68D5">
              <w:rPr>
                <w:rFonts w:cs="Arial"/>
                <w:spacing w:val="-3"/>
              </w:rPr>
              <w:t xml:space="preserve"> </w:t>
            </w:r>
            <w:r w:rsidR="002D6A0E">
              <w:rPr>
                <w:rFonts w:cs="Arial"/>
                <w:spacing w:val="-3"/>
              </w:rPr>
              <w:t>Karen L. Bramley</w:t>
            </w:r>
          </w:p>
        </w:tc>
        <w:tc>
          <w:tcPr>
            <w:tcW w:w="2511" w:type="dxa"/>
          </w:tcPr>
          <w:p w14:paraId="1B847EAA" w14:textId="77777777" w:rsidR="002D6A0E" w:rsidRPr="0029161C" w:rsidRDefault="002D6A0E" w:rsidP="002D6A0E">
            <w:pPr>
              <w:jc w:val="center"/>
            </w:pPr>
            <w:r>
              <w:t>PGS</w:t>
            </w:r>
          </w:p>
        </w:tc>
        <w:tc>
          <w:tcPr>
            <w:tcW w:w="3546" w:type="dxa"/>
          </w:tcPr>
          <w:p w14:paraId="44FC0AE0" w14:textId="77777777" w:rsidR="002D6A0E" w:rsidRPr="0029161C" w:rsidRDefault="002D6A0E" w:rsidP="002D6A0E">
            <w:r w:rsidRPr="009D7973">
              <w:rPr>
                <w:rFonts w:cs="Arial"/>
                <w:spacing w:val="-3"/>
              </w:rPr>
              <w:t>62, 63, 64, 65, 66, 67, 68, 70</w:t>
            </w:r>
          </w:p>
        </w:tc>
      </w:tr>
      <w:tr w:rsidR="002D6A0E" w:rsidRPr="0029161C" w14:paraId="4865806F" w14:textId="77777777" w:rsidTr="002D6A0E">
        <w:trPr>
          <w:cantSplit/>
          <w:trHeight w:val="362"/>
        </w:trPr>
        <w:tc>
          <w:tcPr>
            <w:tcW w:w="3507" w:type="dxa"/>
          </w:tcPr>
          <w:p w14:paraId="0FC55374" w14:textId="77777777" w:rsidR="002D6A0E" w:rsidRPr="0029161C" w:rsidRDefault="002D6A0E" w:rsidP="002D6A0E">
            <w:pPr>
              <w:jc w:val="both"/>
            </w:pPr>
            <w:r>
              <w:t>Lane Kollen</w:t>
            </w:r>
          </w:p>
        </w:tc>
        <w:tc>
          <w:tcPr>
            <w:tcW w:w="2511" w:type="dxa"/>
          </w:tcPr>
          <w:p w14:paraId="201F43D0" w14:textId="77777777" w:rsidR="002D6A0E" w:rsidRPr="0029161C" w:rsidRDefault="002D6A0E" w:rsidP="002D6A0E">
            <w:pPr>
              <w:jc w:val="center"/>
            </w:pPr>
            <w:r>
              <w:t>OPC</w:t>
            </w:r>
          </w:p>
        </w:tc>
        <w:tc>
          <w:tcPr>
            <w:tcW w:w="3546" w:type="dxa"/>
          </w:tcPr>
          <w:p w14:paraId="6A793EA7" w14:textId="77777777" w:rsidR="002D6A0E" w:rsidRPr="0029161C" w:rsidRDefault="002D6A0E" w:rsidP="002D6A0E">
            <w:r w:rsidRPr="00FC4DA0">
              <w:rPr>
                <w:bCs/>
              </w:rPr>
              <w:t>6, 8</w:t>
            </w:r>
            <w:r>
              <w:rPr>
                <w:bCs/>
              </w:rPr>
              <w:t>-</w:t>
            </w:r>
            <w:r w:rsidRPr="00FC4DA0">
              <w:rPr>
                <w:bCs/>
              </w:rPr>
              <w:t>10, 15-19, 21-22, 27-34, 36, 41-43, 46-47, 49-55, 57, 71-72</w:t>
            </w:r>
          </w:p>
        </w:tc>
      </w:tr>
      <w:tr w:rsidR="002D6A0E" w:rsidRPr="0029161C" w14:paraId="3E014260" w14:textId="77777777" w:rsidTr="002D6A0E">
        <w:trPr>
          <w:cantSplit/>
          <w:trHeight w:val="362"/>
        </w:trPr>
        <w:tc>
          <w:tcPr>
            <w:tcW w:w="3507" w:type="dxa"/>
          </w:tcPr>
          <w:p w14:paraId="78FCEE26" w14:textId="77777777" w:rsidR="002D6A0E" w:rsidRPr="0029161C" w:rsidRDefault="002D6A0E" w:rsidP="002D6A0E">
            <w:pPr>
              <w:jc w:val="both"/>
            </w:pPr>
            <w:r>
              <w:t>David J. Garrett</w:t>
            </w:r>
          </w:p>
        </w:tc>
        <w:tc>
          <w:tcPr>
            <w:tcW w:w="2511" w:type="dxa"/>
          </w:tcPr>
          <w:p w14:paraId="1A49211E" w14:textId="77777777" w:rsidR="002D6A0E" w:rsidRPr="0029161C" w:rsidRDefault="002D6A0E" w:rsidP="002D6A0E">
            <w:pPr>
              <w:jc w:val="center"/>
            </w:pPr>
            <w:r>
              <w:t>OPC</w:t>
            </w:r>
          </w:p>
        </w:tc>
        <w:tc>
          <w:tcPr>
            <w:tcW w:w="3546" w:type="dxa"/>
          </w:tcPr>
          <w:p w14:paraId="02883260" w14:textId="77777777" w:rsidR="002D6A0E" w:rsidRPr="0029161C" w:rsidRDefault="002D6A0E" w:rsidP="002D6A0E">
            <w:r w:rsidRPr="00404EF6">
              <w:rPr>
                <w:bCs/>
              </w:rPr>
              <w:t xml:space="preserve">6-11, 22, </w:t>
            </w:r>
            <w:r>
              <w:rPr>
                <w:bCs/>
              </w:rPr>
              <w:t>34-36</w:t>
            </w:r>
          </w:p>
        </w:tc>
      </w:tr>
      <w:tr w:rsidR="002D6A0E" w:rsidRPr="0029161C" w14:paraId="59E5C192" w14:textId="77777777" w:rsidTr="002D6A0E">
        <w:trPr>
          <w:cantSplit/>
          <w:trHeight w:val="362"/>
        </w:trPr>
        <w:tc>
          <w:tcPr>
            <w:tcW w:w="3507" w:type="dxa"/>
          </w:tcPr>
          <w:p w14:paraId="515C2AE1" w14:textId="0869044A" w:rsidR="002D6A0E" w:rsidRPr="0029161C" w:rsidRDefault="0020410B" w:rsidP="002D6A0E">
            <w:pPr>
              <w:jc w:val="both"/>
            </w:pPr>
            <w:r>
              <w:t xml:space="preserve">* </w:t>
            </w:r>
            <w:r w:rsidR="002D6A0E">
              <w:t>Donna D. Brown</w:t>
            </w:r>
          </w:p>
        </w:tc>
        <w:tc>
          <w:tcPr>
            <w:tcW w:w="2511" w:type="dxa"/>
          </w:tcPr>
          <w:p w14:paraId="57E5C796" w14:textId="77777777" w:rsidR="002D6A0E" w:rsidRPr="0029161C" w:rsidRDefault="002D6A0E" w:rsidP="002D6A0E">
            <w:pPr>
              <w:jc w:val="center"/>
            </w:pPr>
            <w:r>
              <w:t>STAFF</w:t>
            </w:r>
          </w:p>
        </w:tc>
        <w:tc>
          <w:tcPr>
            <w:tcW w:w="3546" w:type="dxa"/>
          </w:tcPr>
          <w:p w14:paraId="2526BB22" w14:textId="77777777" w:rsidR="002D6A0E" w:rsidRPr="0029161C" w:rsidRDefault="002D6A0E" w:rsidP="002D6A0E">
            <w:r>
              <w:t>As Needed</w:t>
            </w:r>
          </w:p>
        </w:tc>
      </w:tr>
      <w:tr w:rsidR="002D6A0E" w:rsidRPr="0029161C" w14:paraId="6C18D8FC" w14:textId="77777777" w:rsidTr="002D6A0E">
        <w:trPr>
          <w:cantSplit/>
          <w:trHeight w:val="362"/>
        </w:trPr>
        <w:tc>
          <w:tcPr>
            <w:tcW w:w="3507" w:type="dxa"/>
          </w:tcPr>
          <w:p w14:paraId="5E3FDD0C" w14:textId="252A38CF" w:rsidR="002D6A0E" w:rsidRPr="0029161C" w:rsidRDefault="0020410B" w:rsidP="002D6A0E">
            <w:pPr>
              <w:jc w:val="both"/>
            </w:pPr>
            <w:r>
              <w:t xml:space="preserve">* </w:t>
            </w:r>
            <w:r w:rsidR="002D6A0E">
              <w:t>Angela L. Calhoun</w:t>
            </w:r>
          </w:p>
        </w:tc>
        <w:tc>
          <w:tcPr>
            <w:tcW w:w="2511" w:type="dxa"/>
          </w:tcPr>
          <w:p w14:paraId="530FFB7C" w14:textId="77777777" w:rsidR="002D6A0E" w:rsidRPr="0029161C" w:rsidRDefault="002D6A0E" w:rsidP="002D6A0E">
            <w:pPr>
              <w:jc w:val="center"/>
            </w:pPr>
            <w:r>
              <w:t>STAFF</w:t>
            </w:r>
          </w:p>
        </w:tc>
        <w:tc>
          <w:tcPr>
            <w:tcW w:w="3546" w:type="dxa"/>
          </w:tcPr>
          <w:p w14:paraId="272FB3FE" w14:textId="77777777" w:rsidR="002D6A0E" w:rsidRPr="0029161C" w:rsidRDefault="002D6A0E" w:rsidP="002D6A0E">
            <w:r>
              <w:t>4</w:t>
            </w:r>
          </w:p>
        </w:tc>
      </w:tr>
      <w:tr w:rsidR="008B2ADE" w:rsidRPr="0029161C" w14:paraId="607E14D9" w14:textId="77777777" w:rsidTr="00866FC8">
        <w:trPr>
          <w:cantSplit/>
          <w:trHeight w:val="382"/>
        </w:trPr>
        <w:tc>
          <w:tcPr>
            <w:tcW w:w="9564" w:type="dxa"/>
            <w:gridSpan w:val="3"/>
          </w:tcPr>
          <w:p w14:paraId="104920DA" w14:textId="77777777" w:rsidR="008B2ADE" w:rsidRPr="0029161C" w:rsidRDefault="008B2ADE" w:rsidP="002D6A0E">
            <w:r w:rsidRPr="0029161C">
              <w:tab/>
            </w:r>
            <w:r w:rsidRPr="0029161C">
              <w:rPr>
                <w:u w:val="single"/>
              </w:rPr>
              <w:t>Rebuttal</w:t>
            </w:r>
          </w:p>
        </w:tc>
      </w:tr>
      <w:tr w:rsidR="002D6A0E" w:rsidRPr="0029161C" w14:paraId="0E217259" w14:textId="77777777" w:rsidTr="002D6A0E">
        <w:trPr>
          <w:cantSplit/>
          <w:trHeight w:val="362"/>
        </w:trPr>
        <w:tc>
          <w:tcPr>
            <w:tcW w:w="3507" w:type="dxa"/>
          </w:tcPr>
          <w:p w14:paraId="5FF2B7E0" w14:textId="1CEF2884"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Helen J. Wesley</w:t>
            </w:r>
          </w:p>
        </w:tc>
        <w:tc>
          <w:tcPr>
            <w:tcW w:w="2511" w:type="dxa"/>
          </w:tcPr>
          <w:p w14:paraId="7D84ED8E" w14:textId="77777777" w:rsidR="002D6A0E" w:rsidRPr="0029161C" w:rsidRDefault="002D6A0E" w:rsidP="002D6A0E">
            <w:pPr>
              <w:jc w:val="center"/>
            </w:pPr>
            <w:r>
              <w:t>PGS</w:t>
            </w:r>
          </w:p>
        </w:tc>
        <w:tc>
          <w:tcPr>
            <w:tcW w:w="3546" w:type="dxa"/>
          </w:tcPr>
          <w:p w14:paraId="6F9A50FA" w14:textId="77777777" w:rsidR="002D6A0E" w:rsidRPr="0029161C" w:rsidRDefault="002D6A0E" w:rsidP="002D6A0E">
            <w:r w:rsidRPr="009D7973">
              <w:rPr>
                <w:rFonts w:cs="Arial"/>
                <w:spacing w:val="-3"/>
              </w:rPr>
              <w:t xml:space="preserve">4, 42, 47, 49, </w:t>
            </w:r>
            <w:r>
              <w:rPr>
                <w:rFonts w:cs="Arial"/>
                <w:spacing w:val="-3"/>
              </w:rPr>
              <w:t xml:space="preserve">60, 61, </w:t>
            </w:r>
            <w:r w:rsidRPr="009D7973">
              <w:rPr>
                <w:rFonts w:cs="Arial"/>
                <w:spacing w:val="-3"/>
              </w:rPr>
              <w:t>72</w:t>
            </w:r>
          </w:p>
        </w:tc>
      </w:tr>
      <w:tr w:rsidR="002D6A0E" w:rsidRPr="0029161C" w14:paraId="78AB12F4" w14:textId="77777777" w:rsidTr="002D6A0E">
        <w:trPr>
          <w:cantSplit/>
          <w:trHeight w:val="382"/>
        </w:trPr>
        <w:tc>
          <w:tcPr>
            <w:tcW w:w="3507" w:type="dxa"/>
          </w:tcPr>
          <w:p w14:paraId="342C669F" w14:textId="1948437A"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Timothy O’Connor</w:t>
            </w:r>
          </w:p>
        </w:tc>
        <w:tc>
          <w:tcPr>
            <w:tcW w:w="2511" w:type="dxa"/>
          </w:tcPr>
          <w:p w14:paraId="2669B4A2" w14:textId="77777777" w:rsidR="002D6A0E" w:rsidRPr="0029161C" w:rsidRDefault="002D6A0E" w:rsidP="002D6A0E">
            <w:pPr>
              <w:jc w:val="center"/>
            </w:pPr>
            <w:r>
              <w:t>PGS</w:t>
            </w:r>
          </w:p>
        </w:tc>
        <w:tc>
          <w:tcPr>
            <w:tcW w:w="3546" w:type="dxa"/>
          </w:tcPr>
          <w:p w14:paraId="404380A5" w14:textId="77777777" w:rsidR="002D6A0E" w:rsidRPr="0029161C" w:rsidRDefault="002D6A0E" w:rsidP="002D6A0E">
            <w:r w:rsidRPr="009D7973">
              <w:rPr>
                <w:rFonts w:cs="Arial"/>
                <w:spacing w:val="-3"/>
              </w:rPr>
              <w:t>15, 19, 21, 27, 41, 42, 45, 49</w:t>
            </w:r>
          </w:p>
        </w:tc>
      </w:tr>
      <w:tr w:rsidR="002D6A0E" w:rsidRPr="0029161C" w14:paraId="3B5215D0" w14:textId="77777777" w:rsidTr="002D6A0E">
        <w:trPr>
          <w:cantSplit/>
          <w:trHeight w:val="382"/>
        </w:trPr>
        <w:tc>
          <w:tcPr>
            <w:tcW w:w="3507" w:type="dxa"/>
          </w:tcPr>
          <w:p w14:paraId="560312C0" w14:textId="61848269"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Christian C. Richard</w:t>
            </w:r>
          </w:p>
        </w:tc>
        <w:tc>
          <w:tcPr>
            <w:tcW w:w="2511" w:type="dxa"/>
          </w:tcPr>
          <w:p w14:paraId="4EF3302F" w14:textId="77777777" w:rsidR="002D6A0E" w:rsidRPr="0029161C" w:rsidRDefault="002D6A0E" w:rsidP="002D6A0E">
            <w:pPr>
              <w:jc w:val="center"/>
            </w:pPr>
            <w:r>
              <w:t>PGS</w:t>
            </w:r>
          </w:p>
        </w:tc>
        <w:tc>
          <w:tcPr>
            <w:tcW w:w="3546" w:type="dxa"/>
          </w:tcPr>
          <w:p w14:paraId="628C4C25" w14:textId="77777777" w:rsidR="002D6A0E" w:rsidRPr="0029161C" w:rsidRDefault="002D6A0E" w:rsidP="002D6A0E">
            <w:r w:rsidRPr="009D7973">
              <w:rPr>
                <w:rFonts w:cs="Arial"/>
                <w:spacing w:val="-3"/>
              </w:rPr>
              <w:t>19, 21, 23, 27, 41, 42, 49</w:t>
            </w:r>
          </w:p>
        </w:tc>
      </w:tr>
      <w:tr w:rsidR="002D6A0E" w:rsidRPr="0029161C" w14:paraId="31F1D596" w14:textId="77777777" w:rsidTr="002D6A0E">
        <w:trPr>
          <w:cantSplit/>
          <w:trHeight w:val="382"/>
        </w:trPr>
        <w:tc>
          <w:tcPr>
            <w:tcW w:w="3507" w:type="dxa"/>
          </w:tcPr>
          <w:p w14:paraId="571B9564" w14:textId="47588108"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Donna L. Bluestone</w:t>
            </w:r>
          </w:p>
        </w:tc>
        <w:tc>
          <w:tcPr>
            <w:tcW w:w="2511" w:type="dxa"/>
          </w:tcPr>
          <w:p w14:paraId="583F0C72" w14:textId="77777777" w:rsidR="002D6A0E" w:rsidRPr="0029161C" w:rsidRDefault="002D6A0E" w:rsidP="002D6A0E">
            <w:pPr>
              <w:jc w:val="center"/>
            </w:pPr>
            <w:r>
              <w:t>PGS</w:t>
            </w:r>
          </w:p>
        </w:tc>
        <w:tc>
          <w:tcPr>
            <w:tcW w:w="3546" w:type="dxa"/>
          </w:tcPr>
          <w:p w14:paraId="05CD5991" w14:textId="77777777" w:rsidR="002D6A0E" w:rsidRPr="0029161C" w:rsidRDefault="002D6A0E" w:rsidP="002D6A0E">
            <w:r w:rsidRPr="009D7973">
              <w:rPr>
                <w:rFonts w:cs="Arial"/>
                <w:spacing w:val="-3"/>
              </w:rPr>
              <w:t>42, 43, 49</w:t>
            </w:r>
          </w:p>
        </w:tc>
      </w:tr>
      <w:tr w:rsidR="002D6A0E" w:rsidRPr="0029161C" w14:paraId="2B284750" w14:textId="77777777" w:rsidTr="002D6A0E">
        <w:trPr>
          <w:cantSplit/>
          <w:trHeight w:val="382"/>
        </w:trPr>
        <w:tc>
          <w:tcPr>
            <w:tcW w:w="3507" w:type="dxa"/>
          </w:tcPr>
          <w:p w14:paraId="259BA107" w14:textId="7B69BD83"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Dylan W. D’Ascendis</w:t>
            </w:r>
          </w:p>
        </w:tc>
        <w:tc>
          <w:tcPr>
            <w:tcW w:w="2511" w:type="dxa"/>
          </w:tcPr>
          <w:p w14:paraId="5E7D5299" w14:textId="77777777" w:rsidR="002D6A0E" w:rsidRPr="0029161C" w:rsidRDefault="002D6A0E" w:rsidP="002D6A0E">
            <w:pPr>
              <w:jc w:val="center"/>
            </w:pPr>
            <w:r>
              <w:t>PGS</w:t>
            </w:r>
          </w:p>
        </w:tc>
        <w:tc>
          <w:tcPr>
            <w:tcW w:w="3546" w:type="dxa"/>
          </w:tcPr>
          <w:p w14:paraId="08D6953F" w14:textId="77777777" w:rsidR="002D6A0E" w:rsidRPr="0029161C" w:rsidRDefault="002D6A0E" w:rsidP="002D6A0E">
            <w:r>
              <w:t>35</w:t>
            </w:r>
          </w:p>
        </w:tc>
      </w:tr>
      <w:tr w:rsidR="002D6A0E" w:rsidRPr="0029161C" w14:paraId="4E933A38" w14:textId="77777777" w:rsidTr="002D6A0E">
        <w:trPr>
          <w:cantSplit/>
          <w:trHeight w:val="382"/>
        </w:trPr>
        <w:tc>
          <w:tcPr>
            <w:tcW w:w="3507" w:type="dxa"/>
          </w:tcPr>
          <w:p w14:paraId="43448F18" w14:textId="0FFBA749"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Kenneth D. McOnie</w:t>
            </w:r>
          </w:p>
        </w:tc>
        <w:tc>
          <w:tcPr>
            <w:tcW w:w="2511" w:type="dxa"/>
          </w:tcPr>
          <w:p w14:paraId="38326D0D" w14:textId="77777777" w:rsidR="002D6A0E" w:rsidRPr="0029161C" w:rsidRDefault="002D6A0E" w:rsidP="002D6A0E">
            <w:pPr>
              <w:jc w:val="center"/>
            </w:pPr>
            <w:r>
              <w:t>PGS</w:t>
            </w:r>
          </w:p>
        </w:tc>
        <w:tc>
          <w:tcPr>
            <w:tcW w:w="3546" w:type="dxa"/>
          </w:tcPr>
          <w:p w14:paraId="018E63B1" w14:textId="77777777" w:rsidR="002D6A0E" w:rsidRPr="0029161C" w:rsidRDefault="002D6A0E" w:rsidP="002D6A0E">
            <w:r w:rsidRPr="009D7973">
              <w:rPr>
                <w:rFonts w:cs="Arial"/>
                <w:spacing w:val="-3"/>
              </w:rPr>
              <w:t>31, 32, 34</w:t>
            </w:r>
          </w:p>
        </w:tc>
      </w:tr>
      <w:tr w:rsidR="002D6A0E" w:rsidRPr="0029161C" w14:paraId="4EBE8764" w14:textId="77777777" w:rsidTr="002D6A0E">
        <w:trPr>
          <w:cantSplit/>
          <w:trHeight w:val="382"/>
        </w:trPr>
        <w:tc>
          <w:tcPr>
            <w:tcW w:w="3507" w:type="dxa"/>
          </w:tcPr>
          <w:p w14:paraId="012D43AD" w14:textId="3636DF31"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Dane A. Watson</w:t>
            </w:r>
          </w:p>
        </w:tc>
        <w:tc>
          <w:tcPr>
            <w:tcW w:w="2511" w:type="dxa"/>
          </w:tcPr>
          <w:p w14:paraId="4089EDCF" w14:textId="77777777" w:rsidR="002D6A0E" w:rsidRPr="0029161C" w:rsidRDefault="002D6A0E" w:rsidP="002D6A0E">
            <w:pPr>
              <w:jc w:val="center"/>
            </w:pPr>
            <w:r>
              <w:t>PGS</w:t>
            </w:r>
          </w:p>
        </w:tc>
        <w:tc>
          <w:tcPr>
            <w:tcW w:w="3546" w:type="dxa"/>
          </w:tcPr>
          <w:p w14:paraId="0674ED41" w14:textId="77777777" w:rsidR="002D6A0E" w:rsidRPr="0029161C" w:rsidRDefault="002D6A0E" w:rsidP="002D6A0E">
            <w:r w:rsidRPr="009D7973">
              <w:rPr>
                <w:rFonts w:cs="Arial"/>
                <w:spacing w:val="-3"/>
              </w:rPr>
              <w:t>5, 7, 9, 10, 11, 22, 50</w:t>
            </w:r>
          </w:p>
        </w:tc>
      </w:tr>
      <w:tr w:rsidR="002D6A0E" w:rsidRPr="0029161C" w14:paraId="1B36E311" w14:textId="77777777" w:rsidTr="002D6A0E">
        <w:trPr>
          <w:cantSplit/>
          <w:trHeight w:val="382"/>
        </w:trPr>
        <w:tc>
          <w:tcPr>
            <w:tcW w:w="3507" w:type="dxa"/>
          </w:tcPr>
          <w:p w14:paraId="7E5CEAAE" w14:textId="59F90ED7" w:rsidR="002D6A0E" w:rsidRPr="0029161C" w:rsidRDefault="00F8347B" w:rsidP="002D6A0E">
            <w:pPr>
              <w:jc w:val="both"/>
            </w:pPr>
            <w:r>
              <w:rPr>
                <w:rFonts w:cs="Arial"/>
                <w:spacing w:val="-3"/>
              </w:rPr>
              <w:t>+</w:t>
            </w:r>
            <w:r w:rsidR="00CB57B0">
              <w:rPr>
                <w:rFonts w:cs="Arial"/>
                <w:spacing w:val="-3"/>
              </w:rPr>
              <w:t xml:space="preserve"> </w:t>
            </w:r>
            <w:r w:rsidR="002D6A0E">
              <w:rPr>
                <w:rFonts w:cs="Arial"/>
                <w:spacing w:val="-3"/>
              </w:rPr>
              <w:t>Rachel B. Parsons</w:t>
            </w:r>
          </w:p>
        </w:tc>
        <w:tc>
          <w:tcPr>
            <w:tcW w:w="2511" w:type="dxa"/>
          </w:tcPr>
          <w:p w14:paraId="4DA40FDE" w14:textId="77777777" w:rsidR="002D6A0E" w:rsidRPr="0029161C" w:rsidRDefault="002D6A0E" w:rsidP="002D6A0E">
            <w:pPr>
              <w:jc w:val="center"/>
            </w:pPr>
            <w:r>
              <w:t>PGS</w:t>
            </w:r>
          </w:p>
        </w:tc>
        <w:tc>
          <w:tcPr>
            <w:tcW w:w="3546" w:type="dxa"/>
          </w:tcPr>
          <w:p w14:paraId="2A019ED4" w14:textId="77777777" w:rsidR="002D6A0E" w:rsidRPr="0029161C" w:rsidRDefault="002D6A0E" w:rsidP="002D6A0E">
            <w:r w:rsidRPr="009D7973">
              <w:rPr>
                <w:rFonts w:cs="Arial"/>
                <w:spacing w:val="-3"/>
              </w:rPr>
              <w:t>1, 3, 5, 6, 8, 10, 11, 12, 13, 14, 15, 16, 17, 19, 20, 21, 22, 23, 24, 25, 26, 27, 28,</w:t>
            </w:r>
            <w:r>
              <w:rPr>
                <w:rFonts w:cs="Arial"/>
                <w:spacing w:val="-3"/>
              </w:rPr>
              <w:t xml:space="preserve"> </w:t>
            </w:r>
            <w:r w:rsidRPr="009D7973">
              <w:rPr>
                <w:rFonts w:cs="Arial"/>
                <w:spacing w:val="-3"/>
              </w:rPr>
              <w:t>29, 30, 31, 32, 33, 36, 37, 38, 39, 40, 41, 43, 44, 46, 47, 48, 49,  50, 51, 52, 53, 54, 55, 56, 57, 71, 72, 73, 74</w:t>
            </w:r>
          </w:p>
        </w:tc>
      </w:tr>
      <w:tr w:rsidR="002D6A0E" w:rsidRPr="0029161C" w14:paraId="5EB7F726" w14:textId="77777777" w:rsidTr="002D6A0E">
        <w:trPr>
          <w:cantSplit/>
          <w:trHeight w:val="382"/>
        </w:trPr>
        <w:tc>
          <w:tcPr>
            <w:tcW w:w="3507" w:type="dxa"/>
          </w:tcPr>
          <w:p w14:paraId="23B1B18F" w14:textId="19497D13" w:rsidR="002D6A0E" w:rsidRPr="0029161C" w:rsidRDefault="006E1F0C" w:rsidP="002D6A0E">
            <w:pPr>
              <w:jc w:val="both"/>
            </w:pPr>
            <w:r>
              <w:rPr>
                <w:rFonts w:cs="Arial"/>
                <w:spacing w:val="-3"/>
              </w:rPr>
              <w:t xml:space="preserve">* </w:t>
            </w:r>
            <w:r w:rsidR="002D6A0E">
              <w:rPr>
                <w:rFonts w:cs="Arial"/>
                <w:spacing w:val="-3"/>
              </w:rPr>
              <w:t>Luke A. Buzard</w:t>
            </w:r>
          </w:p>
        </w:tc>
        <w:tc>
          <w:tcPr>
            <w:tcW w:w="2511" w:type="dxa"/>
          </w:tcPr>
          <w:p w14:paraId="72F57F22" w14:textId="77777777" w:rsidR="002D6A0E" w:rsidRPr="0029161C" w:rsidRDefault="002D6A0E" w:rsidP="002D6A0E">
            <w:pPr>
              <w:jc w:val="center"/>
            </w:pPr>
            <w:r>
              <w:t>PGS</w:t>
            </w:r>
          </w:p>
        </w:tc>
        <w:tc>
          <w:tcPr>
            <w:tcW w:w="3546" w:type="dxa"/>
          </w:tcPr>
          <w:p w14:paraId="4F1B206E" w14:textId="77777777" w:rsidR="002D6A0E" w:rsidRPr="0029161C" w:rsidRDefault="002D6A0E" w:rsidP="002D6A0E">
            <w:r w:rsidRPr="009D7973">
              <w:rPr>
                <w:rFonts w:cs="Arial"/>
                <w:spacing w:val="-3"/>
              </w:rPr>
              <w:t xml:space="preserve">16, 17, 18, </w:t>
            </w:r>
            <w:r>
              <w:rPr>
                <w:rFonts w:cs="Arial"/>
                <w:spacing w:val="-3"/>
              </w:rPr>
              <w:t xml:space="preserve">33, </w:t>
            </w:r>
            <w:r w:rsidRPr="009D7973">
              <w:rPr>
                <w:rFonts w:cs="Arial"/>
                <w:spacing w:val="-3"/>
              </w:rPr>
              <w:t>38</w:t>
            </w:r>
          </w:p>
        </w:tc>
      </w:tr>
    </w:tbl>
    <w:p w14:paraId="529148D1" w14:textId="77777777" w:rsidR="0029161C" w:rsidRPr="0029161C" w:rsidRDefault="0029161C" w:rsidP="0029161C">
      <w:pPr>
        <w:jc w:val="both"/>
        <w:rPr>
          <w:b/>
        </w:rPr>
      </w:pPr>
      <w:r w:rsidRPr="0029161C">
        <w:rPr>
          <w:b/>
        </w:rPr>
        <w:lastRenderedPageBreak/>
        <w:t>VI</w:t>
      </w:r>
      <w:r w:rsidR="00C84D1B">
        <w:rPr>
          <w:b/>
        </w:rPr>
        <w:t>I</w:t>
      </w:r>
      <w:r w:rsidRPr="0029161C">
        <w:rPr>
          <w:b/>
        </w:rPr>
        <w:t>.</w:t>
      </w:r>
      <w:r w:rsidRPr="0029161C">
        <w:rPr>
          <w:b/>
        </w:rPr>
        <w:tab/>
      </w:r>
      <w:r w:rsidRPr="0029161C">
        <w:rPr>
          <w:b/>
          <w:u w:val="single"/>
        </w:rPr>
        <w:t>BASIC POSITIONS</w:t>
      </w:r>
    </w:p>
    <w:p w14:paraId="2AA355DD" w14:textId="77777777" w:rsidR="0029161C" w:rsidRPr="0029161C" w:rsidRDefault="0029161C" w:rsidP="0029161C">
      <w:pPr>
        <w:jc w:val="both"/>
      </w:pPr>
    </w:p>
    <w:p w14:paraId="5721D441" w14:textId="77777777" w:rsidR="00DA0BD1" w:rsidRPr="00DC3DC5" w:rsidRDefault="00D851AC" w:rsidP="00DA0BD1">
      <w:pPr>
        <w:ind w:left="1440" w:hanging="1440"/>
        <w:jc w:val="both"/>
      </w:pPr>
      <w:r>
        <w:rPr>
          <w:b/>
          <w:bCs/>
        </w:rPr>
        <w:t>PGS</w:t>
      </w:r>
      <w:r w:rsidR="0029161C" w:rsidRPr="0029161C">
        <w:rPr>
          <w:b/>
          <w:bCs/>
        </w:rPr>
        <w:t>:</w:t>
      </w:r>
      <w:r w:rsidR="0029161C" w:rsidRPr="0029161C">
        <w:tab/>
      </w:r>
      <w:r w:rsidR="00DA0BD1" w:rsidRPr="00DC3DC5">
        <w:t>These consolidated dockets address three petitions filed by Peoples: (1) a petition for approval of depreciation rates and subaccount for renewable natural gas facilities leased to others [Docket No. 20220212-GU]</w:t>
      </w:r>
      <w:r w:rsidR="00DA0BD1">
        <w:t xml:space="preserve">; </w:t>
      </w:r>
      <w:r w:rsidR="00DA0BD1" w:rsidRPr="00DC3DC5">
        <w:t>(2) a petition for approval of a new depreciation study [Docket No. 2022029-GU]</w:t>
      </w:r>
      <w:r w:rsidR="00DA0BD1">
        <w:t>;</w:t>
      </w:r>
      <w:r w:rsidR="00DA0BD1" w:rsidRPr="00DC3DC5">
        <w:t xml:space="preserve"> and a Petition for Rate Increase [Docket No. 20230023-GU]. T</w:t>
      </w:r>
      <w:r w:rsidR="00DA0BD1">
        <w:t xml:space="preserve">hese </w:t>
      </w:r>
      <w:r w:rsidR="00DA0BD1" w:rsidRPr="00DC3DC5">
        <w:t xml:space="preserve">dockets were consolidated </w:t>
      </w:r>
      <w:r w:rsidR="00DA0BD1">
        <w:t xml:space="preserve">by </w:t>
      </w:r>
      <w:r w:rsidR="00DA0BD1" w:rsidRPr="00DC3DC5">
        <w:t xml:space="preserve">the Order Establishing Procedure (“OEP”), </w:t>
      </w:r>
      <w:r w:rsidR="00DA0BD1">
        <w:t xml:space="preserve">Order No. </w:t>
      </w:r>
      <w:r w:rsidR="00DA0BD1" w:rsidRPr="00DC3DC5">
        <w:t>PSC-2023-0128-PCO-GU, issued April 12, 2023.</w:t>
      </w:r>
    </w:p>
    <w:p w14:paraId="47D89AB4" w14:textId="77777777" w:rsidR="00DA0BD1" w:rsidRDefault="00DA0BD1" w:rsidP="00DA0BD1">
      <w:pPr>
        <w:ind w:left="1440" w:hanging="1440"/>
        <w:jc w:val="both"/>
      </w:pPr>
    </w:p>
    <w:p w14:paraId="5BB3C41B" w14:textId="77777777" w:rsidR="00DA0BD1" w:rsidRDefault="00DA0BD1" w:rsidP="00DA0BD1">
      <w:pPr>
        <w:ind w:left="1440" w:hanging="1440"/>
        <w:jc w:val="both"/>
        <w:rPr>
          <w:u w:val="single"/>
        </w:rPr>
      </w:pPr>
      <w:r w:rsidRPr="00DA0BD1">
        <w:tab/>
      </w:r>
      <w:r>
        <w:rPr>
          <w:u w:val="single"/>
        </w:rPr>
        <w:t>Introduction</w:t>
      </w:r>
    </w:p>
    <w:p w14:paraId="1A771C0C" w14:textId="77777777" w:rsidR="00DA0BD1" w:rsidRPr="00544D41" w:rsidRDefault="00DA0BD1" w:rsidP="00DA0BD1">
      <w:pPr>
        <w:ind w:left="1440" w:hanging="1440"/>
        <w:jc w:val="both"/>
        <w:rPr>
          <w:u w:val="single"/>
        </w:rPr>
      </w:pPr>
    </w:p>
    <w:p w14:paraId="667BC2D6" w14:textId="77777777" w:rsidR="00DA0BD1" w:rsidRDefault="00DA0BD1" w:rsidP="00DA0BD1">
      <w:pPr>
        <w:ind w:left="1440" w:hanging="1440"/>
        <w:jc w:val="both"/>
      </w:pPr>
      <w:r>
        <w:tab/>
      </w:r>
      <w:r w:rsidRPr="00DC3DC5">
        <w:t>Peoples proudly continues to support the growth and economic vitality of Florida by providing safe, reliable, and clean natural gas to Floridians while evolving with changing energy markets and maintaining exceptional customer service. However, strong customer demand, the impacts of inflation, and higher costs of capital have significantly impacted the company’s operations</w:t>
      </w:r>
      <w:r>
        <w:t xml:space="preserve">. </w:t>
      </w:r>
      <w:r w:rsidRPr="00DC3DC5">
        <w:t>Peoples requests that the Florida Public Service Commission (“FPSC” o</w:t>
      </w:r>
      <w:r>
        <w:t>r</w:t>
      </w:r>
      <w:r w:rsidRPr="00DC3DC5">
        <w:t xml:space="preserve"> “Commission”) approve an increase to its base rates and charges effective with the first billing cycle in January 2024 that will generate a net annual revenue increase of $</w:t>
      </w:r>
      <w:r w:rsidR="0070461A">
        <w:t>123,693,985</w:t>
      </w:r>
      <w:r w:rsidRPr="00DC3DC5">
        <w:t xml:space="preserve">, exclusive of $11,647,804 of Cast Iron/Bare Steel Rider revenues the company proposes to recover through base rates. </w:t>
      </w:r>
    </w:p>
    <w:p w14:paraId="34EE7AB6" w14:textId="77777777" w:rsidR="00DA0BD1" w:rsidRDefault="00DA0BD1" w:rsidP="00DA0BD1">
      <w:pPr>
        <w:ind w:left="1440" w:hanging="1440"/>
        <w:jc w:val="both"/>
      </w:pPr>
    </w:p>
    <w:p w14:paraId="3BE67255" w14:textId="77777777" w:rsidR="00DA0BD1" w:rsidRPr="00544D41" w:rsidRDefault="00DA0BD1" w:rsidP="00DA0BD1">
      <w:pPr>
        <w:ind w:left="1440" w:hanging="1440"/>
        <w:jc w:val="both"/>
        <w:rPr>
          <w:u w:val="single"/>
        </w:rPr>
      </w:pPr>
      <w:r w:rsidRPr="00DA0BD1">
        <w:tab/>
      </w:r>
      <w:r>
        <w:rPr>
          <w:u w:val="single"/>
        </w:rPr>
        <w:t xml:space="preserve">Safety, Reliability, and Customer Service </w:t>
      </w:r>
    </w:p>
    <w:p w14:paraId="12BCF508" w14:textId="77777777" w:rsidR="00DA0BD1" w:rsidRPr="00DC3DC5" w:rsidRDefault="00DA0BD1" w:rsidP="00DA0BD1">
      <w:pPr>
        <w:ind w:left="1440" w:hanging="1440"/>
        <w:jc w:val="both"/>
      </w:pPr>
    </w:p>
    <w:p w14:paraId="7610F8B0" w14:textId="77777777" w:rsidR="00DA0BD1" w:rsidRPr="00DC3DC5" w:rsidRDefault="00DA0BD1" w:rsidP="00DA0BD1">
      <w:pPr>
        <w:spacing w:after="120"/>
        <w:ind w:left="1440" w:hanging="1440"/>
        <w:jc w:val="both"/>
      </w:pPr>
      <w:r>
        <w:tab/>
      </w:r>
      <w:r w:rsidRPr="00DC3DC5">
        <w:t xml:space="preserve">Peoples record of safety, reliability, and exceptional customer service is not in dispute. In 2022, the company ranked highest in the </w:t>
      </w:r>
      <w:r w:rsidRPr="00DC3DC5">
        <w:rPr>
          <w:i/>
          <w:iCs/>
        </w:rPr>
        <w:t>south</w:t>
      </w:r>
      <w:r w:rsidRPr="00DC3DC5">
        <w:t xml:space="preserve"> midsize segment of the J.D. Power Gas Utility Residential Customer Satisfaction study for the 10th year in a row, and highest in the south segment of the Gas Utility Business Customer Satisfaction study for the fourth year in a row and sixth time since 2016. Peoples has led the </w:t>
      </w:r>
      <w:r w:rsidRPr="00DC3DC5">
        <w:rPr>
          <w:i/>
          <w:iCs/>
        </w:rPr>
        <w:t>nation</w:t>
      </w:r>
      <w:r w:rsidRPr="00DC3DC5">
        <w:t xml:space="preserve"> in the J.D. Power residential study in eight of the past ten years and ranked highest in the nation in the business study </w:t>
      </w:r>
      <w:r>
        <w:t>in six of the last eight years.</w:t>
      </w:r>
      <w:r w:rsidRPr="00DC3DC5">
        <w:t xml:space="preserve"> Peoples </w:t>
      </w:r>
      <w:r>
        <w:t>was among the Most Trusted Utility for the ninth</w:t>
      </w:r>
      <w:r w:rsidRPr="00DC3DC5">
        <w:t xml:space="preserve"> </w:t>
      </w:r>
      <w:r>
        <w:t>time in the</w:t>
      </w:r>
      <w:r w:rsidRPr="00DC3DC5">
        <w:t xml:space="preserve"> 2022 Cogent</w:t>
      </w:r>
      <w:r>
        <w:t>/Escalent</w:t>
      </w:r>
      <w:r w:rsidRPr="00DC3DC5">
        <w:t xml:space="preserve"> Syndicated Utility Trusted Brand &amp; Customer Engagemen</w:t>
      </w:r>
      <w:r>
        <w:t>t re</w:t>
      </w:r>
      <w:r w:rsidRPr="00DC3DC5">
        <w:t>sidential study</w:t>
      </w:r>
      <w:r>
        <w:t>.</w:t>
      </w:r>
      <w:r w:rsidRPr="00DC3DC5">
        <w:t xml:space="preserve"> Escalent also named Peoples a Trusted Business Partner (two consecutive years</w:t>
      </w:r>
      <w:r>
        <w:t>)</w:t>
      </w:r>
      <w:r w:rsidRPr="00DC3DC5">
        <w:t>, one of the easiest utilities in the nation with which to conduct business</w:t>
      </w:r>
      <w:r>
        <w:t xml:space="preserve"> (four consecutive years)</w:t>
      </w:r>
      <w:r w:rsidRPr="00DC3DC5">
        <w:t>, an Environmental Champion (eighth consecutive year), and a Customer Champion (ninth consecutive year).</w:t>
      </w:r>
    </w:p>
    <w:p w14:paraId="04216E67" w14:textId="77777777" w:rsidR="00DA0BD1" w:rsidRPr="00DC3DC5" w:rsidRDefault="00DA0BD1" w:rsidP="00DA0BD1">
      <w:pPr>
        <w:ind w:left="1440" w:hanging="1440"/>
        <w:jc w:val="both"/>
      </w:pPr>
    </w:p>
    <w:p w14:paraId="11951FA4" w14:textId="77777777" w:rsidR="00DA0BD1" w:rsidRDefault="00DA0BD1" w:rsidP="00DA0BD1">
      <w:pPr>
        <w:ind w:left="1440" w:hanging="1440"/>
        <w:jc w:val="both"/>
      </w:pPr>
      <w:r>
        <w:tab/>
      </w:r>
      <w:r w:rsidRPr="00DC3DC5">
        <w:t xml:space="preserve">Only two customers participated in the six customer service hearings held by the Commission, and neither of those customers complained about Peoples’ quality of service. Peoples’ customer complaint history </w:t>
      </w:r>
      <w:r>
        <w:t xml:space="preserve">with the FPSC </w:t>
      </w:r>
      <w:r w:rsidRPr="00DC3DC5">
        <w:t>compares favorably to the other natural gas local distribution companies in Florida. Peoples has the lowest level of complaints per thousand customers</w:t>
      </w:r>
      <w:r>
        <w:t xml:space="preserve"> by far. </w:t>
      </w:r>
    </w:p>
    <w:p w14:paraId="20EB8F3A" w14:textId="77777777" w:rsidR="00DA0BD1" w:rsidRDefault="00DA0BD1" w:rsidP="00DA0BD1">
      <w:pPr>
        <w:ind w:left="1440" w:hanging="1440"/>
        <w:jc w:val="both"/>
      </w:pPr>
    </w:p>
    <w:p w14:paraId="07E263D7" w14:textId="77777777" w:rsidR="00DA0BD1" w:rsidRPr="00544D41" w:rsidRDefault="00DA0BD1" w:rsidP="00DA0BD1">
      <w:pPr>
        <w:ind w:left="1440" w:hanging="1440"/>
        <w:jc w:val="both"/>
        <w:rPr>
          <w:u w:val="single"/>
        </w:rPr>
      </w:pPr>
      <w:r w:rsidRPr="00DA0BD1">
        <w:lastRenderedPageBreak/>
        <w:tab/>
      </w:r>
      <w:r>
        <w:rPr>
          <w:u w:val="single"/>
        </w:rPr>
        <w:t>The Issues</w:t>
      </w:r>
    </w:p>
    <w:p w14:paraId="131CD253" w14:textId="77777777" w:rsidR="00DA0BD1" w:rsidRPr="00DC3DC5" w:rsidRDefault="00DA0BD1" w:rsidP="00DA0BD1">
      <w:pPr>
        <w:ind w:left="1440" w:hanging="1440"/>
        <w:jc w:val="both"/>
      </w:pPr>
    </w:p>
    <w:p w14:paraId="53BD7BDD" w14:textId="77777777" w:rsidR="00DA0BD1" w:rsidRPr="00DC3DC5" w:rsidRDefault="00DA0BD1" w:rsidP="00DA0BD1">
      <w:pPr>
        <w:ind w:left="1440" w:hanging="1440"/>
        <w:jc w:val="both"/>
      </w:pPr>
      <w:r>
        <w:tab/>
      </w:r>
      <w:r w:rsidRPr="00DC3DC5">
        <w:t xml:space="preserve">The Parties have identified 75 specific issues to be decided in this case, but </w:t>
      </w:r>
      <w:r>
        <w:t xml:space="preserve">four general areas </w:t>
      </w:r>
      <w:r w:rsidRPr="00DC3DC5">
        <w:t xml:space="preserve">have drawn the most attention: (1) recoverability of </w:t>
      </w:r>
      <w:r>
        <w:t>recurring interest expense</w:t>
      </w:r>
      <w:r w:rsidRPr="00DC3DC5">
        <w:t xml:space="preserve"> associated with the 2023 Transaction that moved the Peoples Gas Systems assets from Tampa Electric Company into a separate corporation, Peoples Gas System, Inc.; (2) the company’s proposed level of operations and maintenance expenses in 2024; </w:t>
      </w:r>
      <w:r>
        <w:t xml:space="preserve">(3) the company’s proposed depreciation rates; and </w:t>
      </w:r>
      <w:r w:rsidRPr="00DC3DC5">
        <w:t>(</w:t>
      </w:r>
      <w:r>
        <w:t>4</w:t>
      </w:r>
      <w:r w:rsidRPr="00DC3DC5">
        <w:t>) whether the assets, revenues, and expenses associated with the company’s three proposed renewable natural gas (“RNG”) projects should be included “above the line” in the calculation of new base rates, or “below the line” as an unregulated activity.</w:t>
      </w:r>
    </w:p>
    <w:p w14:paraId="2745B297" w14:textId="77777777" w:rsidR="00DA0BD1" w:rsidRPr="00DC3DC5" w:rsidRDefault="00DA0BD1" w:rsidP="00DA0BD1">
      <w:pPr>
        <w:ind w:left="1440" w:hanging="1440"/>
        <w:jc w:val="both"/>
      </w:pPr>
    </w:p>
    <w:p w14:paraId="37E11483" w14:textId="77777777" w:rsidR="00DA0BD1" w:rsidRPr="00DC3DC5" w:rsidRDefault="00DA0BD1" w:rsidP="00DA0BD1">
      <w:pPr>
        <w:ind w:left="1440" w:hanging="1440"/>
        <w:jc w:val="both"/>
      </w:pPr>
      <w:r w:rsidRPr="00DA0BD1">
        <w:tab/>
      </w:r>
      <w:r w:rsidRPr="00DC3DC5">
        <w:rPr>
          <w:u w:val="single"/>
        </w:rPr>
        <w:t>2023 Transaction</w:t>
      </w:r>
    </w:p>
    <w:p w14:paraId="50DCAE45" w14:textId="77777777" w:rsidR="00DA0BD1" w:rsidRPr="00DC3DC5" w:rsidRDefault="00DA0BD1" w:rsidP="00DA0BD1">
      <w:pPr>
        <w:ind w:left="1440" w:hanging="1440"/>
        <w:jc w:val="both"/>
      </w:pPr>
    </w:p>
    <w:p w14:paraId="3D166E40" w14:textId="77777777" w:rsidR="00DA0BD1" w:rsidRPr="00DC3DC5" w:rsidRDefault="00DA0BD1" w:rsidP="00DA0BD1">
      <w:pPr>
        <w:ind w:left="1440" w:hanging="1440"/>
        <w:jc w:val="both"/>
      </w:pPr>
      <w:r>
        <w:tab/>
      </w:r>
      <w:r w:rsidRPr="00DC3DC5">
        <w:t xml:space="preserve">The 2023 Transaction is prudent, and </w:t>
      </w:r>
      <w:r>
        <w:t xml:space="preserve">benefits customers by legally separating the business of Peoples Gas System from the business operations of Tampa Electric. This gives Peoples a business structure commonly used and will allow the company to develop its own board of directors, create and execute its own financing plans based on its needs and credit profile, and to better focus its attention on its customers and operations across Florida. The transaction </w:t>
      </w:r>
      <w:r w:rsidRPr="00DC3DC5">
        <w:t xml:space="preserve">has had no visible impact on customers; it did not involve changes to the company’s tariff, customer service operations, physical and mailing addresses, phone numbers, email addresses, or remote access pathways; Peoples and its customers continue to benefit from the provision of shared services by Tampa Electric Company. The resulting structure will enable Peoples to manage the timing and quantum of market debt issuances and to optimize the level of short-term and long-term debt based solely on Peoples’ needs and the market’s evaluation of Peoples’ business profile. </w:t>
      </w:r>
    </w:p>
    <w:p w14:paraId="20905748" w14:textId="77777777" w:rsidR="00DA0BD1" w:rsidRPr="00DC3DC5" w:rsidRDefault="00DA0BD1" w:rsidP="00DA0BD1">
      <w:pPr>
        <w:ind w:left="1440" w:hanging="1440"/>
        <w:jc w:val="both"/>
      </w:pPr>
    </w:p>
    <w:p w14:paraId="5C712A50" w14:textId="77777777" w:rsidR="00DA0BD1" w:rsidRPr="00DC3DC5" w:rsidRDefault="00DA0BD1" w:rsidP="00DA0BD1">
      <w:pPr>
        <w:ind w:left="1440" w:hanging="1440"/>
        <w:jc w:val="both"/>
      </w:pPr>
      <w:r>
        <w:tab/>
      </w:r>
      <w:r w:rsidRPr="00DC3DC5">
        <w:t>The resulting new structure will provide a better platform for Peoples as it grows and changes with evolving energy markets and reflects the reality that Peoples provides gas service across the state while Tampa Electric provides electric service in the Tampa Bay area only. The new audit and rating agency costs Peoples will incur are modest and of a type commonly incurred by utilities that borrow money in public and private markets. Although the 2023 Transaction will increase Peoples</w:t>
      </w:r>
      <w:r>
        <w:t xml:space="preserve">’ level of </w:t>
      </w:r>
      <w:r w:rsidRPr="00DC3DC5">
        <w:t>interest</w:t>
      </w:r>
      <w:r>
        <w:t xml:space="preserve"> expense </w:t>
      </w:r>
      <w:r w:rsidRPr="00DC3DC5">
        <w:t xml:space="preserve">in the </w:t>
      </w:r>
      <w:r>
        <w:t>test year,</w:t>
      </w:r>
      <w:r w:rsidRPr="00DC3DC5">
        <w:t xml:space="preserve"> Peoples will be paying the market price for debt based on its business profile, the cost of which regulated utilities routinely recover through base rates. </w:t>
      </w:r>
      <w:r>
        <w:t xml:space="preserve">Its proposed long-term debt true-up mechanism is fair, will ensure that the actual cost rates for long-term debt will be reflected in base rates, and will protect all parties from an over or under recovery of actual long-term debt costs. </w:t>
      </w:r>
    </w:p>
    <w:p w14:paraId="7C713200" w14:textId="77777777" w:rsidR="00DA0BD1" w:rsidRPr="00DC3DC5" w:rsidRDefault="00DA0BD1" w:rsidP="00DA0BD1">
      <w:pPr>
        <w:ind w:left="1440" w:hanging="1440"/>
        <w:jc w:val="both"/>
      </w:pPr>
    </w:p>
    <w:p w14:paraId="1D981C45" w14:textId="77777777" w:rsidR="00DA0BD1" w:rsidRDefault="00DA0BD1" w:rsidP="00DA0BD1">
      <w:pPr>
        <w:ind w:left="1440" w:hanging="1440"/>
        <w:jc w:val="both"/>
      </w:pPr>
      <w:r>
        <w:tab/>
      </w:r>
      <w:r w:rsidRPr="00DC3DC5">
        <w:t xml:space="preserve">The company has not quantified any short-term cost savings from the transaction; however, it expects the 2023 Transaction to facilitate more efficient operations </w:t>
      </w:r>
      <w:r w:rsidRPr="00DC3DC5">
        <w:lastRenderedPageBreak/>
        <w:t>and significant risk mitigation, both of which will benefit customers in the long run. Although the consumer parties have criticized the transaction, Tampa Electric and Peoples have successfully separated the electric and gas assets of Tampa Electric into two separate corporations before either the electric or gas operations of Tampa Electric suffers a catastrophic accident (e.g., hurricane) that would impair the operations of the other</w:t>
      </w:r>
      <w:r>
        <w:t xml:space="preserve">, because by </w:t>
      </w:r>
      <w:r w:rsidRPr="00DC3DC5">
        <w:t>then it would be too late</w:t>
      </w:r>
      <w:r>
        <w:t xml:space="preserve">. </w:t>
      </w:r>
      <w:r w:rsidRPr="00DC3DC5">
        <w:t xml:space="preserve"> </w:t>
      </w:r>
    </w:p>
    <w:p w14:paraId="6F8136B0" w14:textId="77777777" w:rsidR="00DA0BD1" w:rsidRDefault="00DA0BD1" w:rsidP="00DA0BD1">
      <w:pPr>
        <w:ind w:left="1440" w:hanging="1440"/>
        <w:jc w:val="both"/>
      </w:pPr>
    </w:p>
    <w:p w14:paraId="4B1C03E9" w14:textId="77777777" w:rsidR="00DA0BD1" w:rsidRPr="00DC3DC5" w:rsidRDefault="00DA0BD1" w:rsidP="00DA0BD1">
      <w:pPr>
        <w:ind w:left="1440" w:hanging="1440"/>
        <w:jc w:val="both"/>
        <w:rPr>
          <w:u w:val="single"/>
        </w:rPr>
      </w:pPr>
      <w:r w:rsidRPr="00DA0BD1">
        <w:tab/>
      </w:r>
      <w:r w:rsidRPr="00DC3DC5">
        <w:rPr>
          <w:u w:val="single"/>
        </w:rPr>
        <w:t>O</w:t>
      </w:r>
      <w:r>
        <w:rPr>
          <w:u w:val="single"/>
        </w:rPr>
        <w:t xml:space="preserve">perations and Maintenance (“O&amp;M”) </w:t>
      </w:r>
      <w:r w:rsidRPr="00DC3DC5">
        <w:rPr>
          <w:u w:val="single"/>
        </w:rPr>
        <w:t>Expenses</w:t>
      </w:r>
    </w:p>
    <w:p w14:paraId="0CCED2CC" w14:textId="77777777" w:rsidR="00DA0BD1" w:rsidRPr="00DC3DC5" w:rsidRDefault="00DA0BD1" w:rsidP="00DA0BD1">
      <w:pPr>
        <w:ind w:left="1440" w:hanging="1440"/>
        <w:jc w:val="both"/>
        <w:rPr>
          <w:u w:val="single"/>
        </w:rPr>
      </w:pPr>
    </w:p>
    <w:p w14:paraId="757984B8" w14:textId="77777777" w:rsidR="00DA0BD1" w:rsidRDefault="00DA0BD1" w:rsidP="00DA0BD1">
      <w:pPr>
        <w:ind w:left="1440" w:hanging="1440"/>
        <w:jc w:val="both"/>
      </w:pPr>
      <w:r>
        <w:tab/>
        <w:t>Peoples proposed level of test year O&amp;M expenses is reasonable and should be approved. Using the Commission’s O&amp;M benchmark multiplier, the company’s 2024 O&amp;M Benchmark is $158.4 million; its proposed 2024 test year O&amp;M expenses are $151.0 million, $7.4 million below the benchmark.</w:t>
      </w:r>
    </w:p>
    <w:p w14:paraId="51E571EA" w14:textId="77777777" w:rsidR="00DA0BD1" w:rsidRDefault="00DA0BD1" w:rsidP="00DA0BD1">
      <w:pPr>
        <w:ind w:left="1440" w:hanging="1440"/>
        <w:jc w:val="both"/>
      </w:pPr>
    </w:p>
    <w:p w14:paraId="6A500D93" w14:textId="77777777" w:rsidR="00DA0BD1" w:rsidRDefault="00DA0BD1" w:rsidP="00DA0BD1">
      <w:pPr>
        <w:ind w:left="1440" w:hanging="1440"/>
        <w:jc w:val="both"/>
      </w:pPr>
      <w:r>
        <w:tab/>
        <w:t xml:space="preserve">The company’s proposed O&amp;M Expense levels reflects addition of 90 and 64 employees in 2023 and 2024, respectively, a reduction of outside contractor usage, and other operations and maintenance expenses that will enable Peoples to continue providing safe, reliable, and exceptional customer service in a service area that is growing the way all of Florida is growing – rapidly and more than expected. </w:t>
      </w:r>
    </w:p>
    <w:p w14:paraId="1C25AC00" w14:textId="77777777" w:rsidR="00DA0BD1" w:rsidRDefault="00DA0BD1" w:rsidP="00DA0BD1">
      <w:pPr>
        <w:ind w:left="1440" w:hanging="1440"/>
        <w:jc w:val="both"/>
      </w:pPr>
    </w:p>
    <w:p w14:paraId="6C444F8B" w14:textId="77777777" w:rsidR="00DA0BD1" w:rsidRDefault="00DA0BD1" w:rsidP="00DA0BD1">
      <w:pPr>
        <w:ind w:left="1440" w:hanging="1440"/>
        <w:jc w:val="both"/>
      </w:pPr>
      <w:r>
        <w:tab/>
        <w:t xml:space="preserve">OPC’s proposals to reduce the company’s proposed O&amp;M expenses are not reasonable and fail to recognize that the growth in Florida and Peoples’ service area has significantly increased the level of work to be performed by People and its team members. The company added 22,000 customers per year between 2020 and 2022 and projects to add 51,000 customers between the end of 2022 and the end of 2024. This growth means more work and more work requires more people. The company experienced a total increase in service, compliance, locate, and meter reading work orders of 5 percent from 2021 to 2022 and projects a five-year compound annual growth rate in those orders of 4 percent over the period 2020 to 2024. </w:t>
      </w:r>
      <w:r>
        <w:rPr>
          <w:i/>
          <w:iCs/>
        </w:rPr>
        <w:t>See</w:t>
      </w:r>
      <w:r>
        <w:t xml:space="preserve"> Exhibit TO-2, page 14 of 14. </w:t>
      </w:r>
    </w:p>
    <w:p w14:paraId="13AC75A5" w14:textId="77777777" w:rsidR="00DA0BD1" w:rsidRDefault="00DA0BD1" w:rsidP="00DA0BD1">
      <w:pPr>
        <w:ind w:left="1440" w:hanging="1440"/>
        <w:jc w:val="both"/>
      </w:pPr>
    </w:p>
    <w:p w14:paraId="5A29EF04" w14:textId="77777777" w:rsidR="00DA0BD1" w:rsidRDefault="00DA0BD1" w:rsidP="00DA0BD1">
      <w:pPr>
        <w:ind w:left="1440" w:hanging="1440"/>
        <w:jc w:val="both"/>
      </w:pPr>
      <w:r>
        <w:tab/>
        <w:t xml:space="preserve">The trend for Peoples’ Labor and Outside Services O&amp;M expenses shows that Peoples is becoming more efficient. Although the company expects its operations employee count to grow at a compound annual rate (“CAGR”) of five percent from 2020 to 2024, </w:t>
      </w:r>
      <w:r w:rsidR="00F347A3">
        <w:t>operation</w:t>
      </w:r>
      <w:r>
        <w:t xml:space="preserve">s CAGR for total O&amp;M expenses (including outside service costs) </w:t>
      </w:r>
      <w:r w:rsidR="00F347A3">
        <w:t xml:space="preserve">per employee </w:t>
      </w:r>
      <w:r>
        <w:t>over the same period is zero. Likewise, the company projects that its total annual work orders for service, compliance, locates, and meter reading will grow at a compound annual rate of four percent from 2020 (6.2 million) to 2024 (7.5 million), while its O&amp;M expense per work order will only grow at a 1 percent annual rate.</w:t>
      </w:r>
    </w:p>
    <w:p w14:paraId="15C34F83" w14:textId="77777777" w:rsidR="00DA0BD1" w:rsidRDefault="00DA0BD1" w:rsidP="00DA0BD1">
      <w:pPr>
        <w:ind w:left="1440" w:hanging="1440"/>
        <w:jc w:val="both"/>
      </w:pPr>
    </w:p>
    <w:p w14:paraId="00CE0D04" w14:textId="77777777" w:rsidR="00DA0BD1" w:rsidRDefault="00DA0BD1" w:rsidP="00DA0BD1">
      <w:pPr>
        <w:ind w:left="1440" w:hanging="1440"/>
        <w:jc w:val="both"/>
      </w:pPr>
      <w:r>
        <w:tab/>
        <w:t>Peoples’ proposed employee head count increases, and overall level of O&amp;M expenses are reasonable and prudent and should be approved.</w:t>
      </w:r>
    </w:p>
    <w:p w14:paraId="7BD5FD4F" w14:textId="77777777" w:rsidR="00DA0BD1" w:rsidRDefault="00DA0BD1" w:rsidP="00DA0BD1">
      <w:pPr>
        <w:ind w:left="1440" w:hanging="1440"/>
        <w:jc w:val="both"/>
      </w:pPr>
    </w:p>
    <w:p w14:paraId="5B63BC01" w14:textId="77777777" w:rsidR="00DA0BD1" w:rsidRDefault="00DA0BD1" w:rsidP="00DA0BD1">
      <w:pPr>
        <w:ind w:left="1440" w:hanging="1440"/>
        <w:jc w:val="both"/>
        <w:rPr>
          <w:u w:val="single"/>
        </w:rPr>
      </w:pPr>
      <w:r w:rsidRPr="00DA0BD1">
        <w:lastRenderedPageBreak/>
        <w:tab/>
      </w:r>
      <w:r>
        <w:rPr>
          <w:u w:val="single"/>
        </w:rPr>
        <w:t>Depreciation Rates and Expense</w:t>
      </w:r>
    </w:p>
    <w:p w14:paraId="1C3064EE" w14:textId="77777777" w:rsidR="00DA0BD1" w:rsidRDefault="00DA0BD1" w:rsidP="00DA0BD1">
      <w:pPr>
        <w:ind w:left="1440" w:hanging="1440"/>
        <w:jc w:val="both"/>
        <w:rPr>
          <w:u w:val="single"/>
        </w:rPr>
      </w:pPr>
    </w:p>
    <w:p w14:paraId="079CCDE4" w14:textId="77777777" w:rsidR="00DA0BD1" w:rsidRPr="00DC3DC5" w:rsidRDefault="00DA0BD1" w:rsidP="00DA0BD1">
      <w:pPr>
        <w:ind w:left="1440" w:hanging="1440"/>
        <w:jc w:val="both"/>
      </w:pPr>
      <w:r>
        <w:tab/>
        <w:t xml:space="preserve">Peoples filed a depreciation study as required in its last rate case settlement on December 28, 2022. On July 20, 2023, Peoples submitted with the rebuttal testimony of its depreciation witness an updated depreciation study that addresses issues identified during discovery. The Office of Public Counsel (“OPC”) recommends depreciation rates that reflect lives longer than those proposed by Peoples for five asset classes (five life parameter changes) and to lower the company’s depreciation expense by amortizing the company’s hypothetical depreciation reserve surplus over ten years rather than over the remaining lives of the company’s assets. Peoples has shown that its proposed lives are reasonable for developing depreciation rates and that the longer lives proposed by OPC are not reasonable. OPC’s proposed amortization of the hypothetical reserve surplus is inconsistent with the way the Commission has traditionally set depreciation rates but may be within the Commission’s discretion. </w:t>
      </w:r>
    </w:p>
    <w:p w14:paraId="2593459F" w14:textId="77777777" w:rsidR="00DA0BD1" w:rsidRPr="00DC3DC5" w:rsidRDefault="00DA0BD1" w:rsidP="00DA0BD1">
      <w:pPr>
        <w:ind w:left="1440" w:hanging="1440"/>
        <w:jc w:val="both"/>
      </w:pPr>
    </w:p>
    <w:p w14:paraId="1DE2BB88" w14:textId="77777777" w:rsidR="00DA0BD1" w:rsidRPr="00DC3DC5" w:rsidRDefault="00DA0BD1" w:rsidP="00DA0BD1">
      <w:pPr>
        <w:ind w:left="1440" w:hanging="1440"/>
        <w:jc w:val="both"/>
        <w:rPr>
          <w:u w:val="single"/>
        </w:rPr>
      </w:pPr>
      <w:r w:rsidRPr="00DA0BD1">
        <w:tab/>
      </w:r>
      <w:r w:rsidRPr="00DC3DC5">
        <w:rPr>
          <w:u w:val="single"/>
        </w:rPr>
        <w:t>Renewable Natural Gas</w:t>
      </w:r>
    </w:p>
    <w:p w14:paraId="1E4110EC" w14:textId="77777777" w:rsidR="00DA0BD1" w:rsidRPr="00DC3DC5" w:rsidRDefault="00DA0BD1" w:rsidP="00DA0BD1">
      <w:pPr>
        <w:ind w:left="1440" w:hanging="1440"/>
        <w:jc w:val="both"/>
        <w:rPr>
          <w:u w:val="single"/>
        </w:rPr>
      </w:pPr>
    </w:p>
    <w:p w14:paraId="4132F045" w14:textId="77777777" w:rsidR="00DA0BD1" w:rsidRPr="00DC3DC5" w:rsidRDefault="00DA0BD1" w:rsidP="00DA0BD1">
      <w:pPr>
        <w:ind w:left="1440" w:hanging="1440"/>
        <w:jc w:val="both"/>
      </w:pPr>
      <w:r>
        <w:tab/>
      </w:r>
      <w:r w:rsidRPr="00DC3DC5">
        <w:t>RNG is a natural by-product of above-ground decomposing waste, and contrasts with traditional natural gas that was formed underground from decomposing materials over a long period of time. RNG projects: capture methane from landfills, livestock farms</w:t>
      </w:r>
      <w:r>
        <w:t xml:space="preserve">, food waste, </w:t>
      </w:r>
      <w:r w:rsidRPr="00DC3DC5">
        <w:t xml:space="preserve">and wastewater treatment facilities; remove the harmful constituents; condition the </w:t>
      </w:r>
      <w:r>
        <w:t>biomethane</w:t>
      </w:r>
      <w:r w:rsidRPr="00DC3DC5">
        <w:t xml:space="preserve"> gas to pipeline quality specifications; and inject it into a pipeline system for consumption by natural gas customers. RNG is unique as a fuel source because it simultaneously reduce</w:t>
      </w:r>
      <w:r>
        <w:t>s</w:t>
      </w:r>
      <w:r w:rsidRPr="00DC3DC5">
        <w:t xml:space="preserve"> greenhouse gas emissions from both methane and carbon dioxide on a net basis. </w:t>
      </w:r>
    </w:p>
    <w:p w14:paraId="5A386C4B" w14:textId="77777777" w:rsidR="00DA0BD1" w:rsidRPr="00DC3DC5" w:rsidRDefault="00DA0BD1" w:rsidP="00DA0BD1">
      <w:pPr>
        <w:ind w:left="1440" w:hanging="1440"/>
        <w:jc w:val="both"/>
      </w:pPr>
    </w:p>
    <w:p w14:paraId="419F624C" w14:textId="77777777" w:rsidR="00DA0BD1" w:rsidRPr="00DC3DC5" w:rsidRDefault="00DA0BD1" w:rsidP="00DA0BD1">
      <w:pPr>
        <w:ind w:left="1440" w:hanging="1440"/>
        <w:jc w:val="both"/>
      </w:pPr>
      <w:r>
        <w:tab/>
      </w:r>
      <w:r w:rsidR="008B2ADE">
        <w:t>In its initial</w:t>
      </w:r>
      <w:r w:rsidR="00F347A3">
        <w:t xml:space="preserve"> filing, </w:t>
      </w:r>
      <w:r w:rsidRPr="00DC3DC5">
        <w:t>Peoples propose</w:t>
      </w:r>
      <w:r w:rsidR="00F347A3">
        <w:t>d</w:t>
      </w:r>
      <w:r w:rsidRPr="00DC3DC5">
        <w:t xml:space="preserve"> to recover the net cost of three RNG projects</w:t>
      </w:r>
      <w:r>
        <w:t xml:space="preserve"> (approximately $62 million of capital relative to approximately $2.4 billion of rate base) </w:t>
      </w:r>
      <w:r w:rsidRPr="00DC3DC5">
        <w:t xml:space="preserve">through its base rates and charges: New River, Brightmark, and Alliance Dairies. The first two projects were developed based on and in reliance on the RNG tariff approved and modified by the Commission in 2017 and 2020, respectively. The Alliance Dairies project is a unique and innovative project that will use the revenues from the sale of environmental attributes to completely offset the revenue requirement created by placing the project assets in service. </w:t>
      </w:r>
      <w:r w:rsidR="00F347A3">
        <w:t xml:space="preserve">Peoples has changed its position on </w:t>
      </w:r>
      <w:r w:rsidRPr="00DC3DC5">
        <w:t xml:space="preserve">the Alliance Dairies project </w:t>
      </w:r>
      <w:r w:rsidR="00F347A3">
        <w:t>and now proposes to account for that</w:t>
      </w:r>
      <w:r w:rsidRPr="00DC3DC5">
        <w:t xml:space="preserve"> project</w:t>
      </w:r>
      <w:r w:rsidR="00F347A3">
        <w:t xml:space="preserve"> as an unregulated, below the line project (Issue 18).</w:t>
      </w:r>
      <w:r w:rsidRPr="00DC3DC5">
        <w:t>.</w:t>
      </w:r>
    </w:p>
    <w:p w14:paraId="1A8ACA6A" w14:textId="77777777" w:rsidR="00DA0BD1" w:rsidRPr="00DC3DC5" w:rsidRDefault="00DA0BD1" w:rsidP="00DA0BD1">
      <w:pPr>
        <w:ind w:left="1440" w:hanging="1440"/>
        <w:jc w:val="both"/>
      </w:pPr>
    </w:p>
    <w:p w14:paraId="5983FEF3" w14:textId="77777777" w:rsidR="00DA0BD1" w:rsidRPr="00DC3DC5" w:rsidRDefault="00DA0BD1" w:rsidP="00DA0BD1">
      <w:pPr>
        <w:ind w:left="1440" w:hanging="1440"/>
        <w:jc w:val="both"/>
      </w:pPr>
      <w:r>
        <w:tab/>
      </w:r>
      <w:r w:rsidR="00F347A3">
        <w:t xml:space="preserve">The remaining two </w:t>
      </w:r>
      <w:r w:rsidRPr="00DC3DC5">
        <w:t>RNG projects advance the renewable energy policy reflected in Section 366.91 and 366.92, Florida Statues. They reduce reliance on traditional natural gas, promote fuel diversity, create jobs in Florida (as opposed to Texas o</w:t>
      </w:r>
      <w:r>
        <w:t>r</w:t>
      </w:r>
      <w:r w:rsidRPr="00DC3DC5">
        <w:t xml:space="preserve"> Louisiana), increase local property tax bases, and create the only source of natural gas from Florida. The three RNG projects provide demonstrable benefits to Peoples’ customers and the communities Peoples serves. </w:t>
      </w:r>
      <w:r w:rsidR="00F347A3">
        <w:t xml:space="preserve">In Issues 16 and 17, the company proposes to account for these projects above the line, to close </w:t>
      </w:r>
      <w:r w:rsidR="00FD6386">
        <w:t xml:space="preserve">its RNGS </w:t>
      </w:r>
      <w:r w:rsidR="00FD6386">
        <w:lastRenderedPageBreak/>
        <w:t>tariff for future projects, and to implement a new Renewable Natural Gas Interconnection Services (RNGIS) tariff.</w:t>
      </w:r>
    </w:p>
    <w:p w14:paraId="37D8A431" w14:textId="77777777" w:rsidR="00DA0BD1" w:rsidRPr="00DC3DC5" w:rsidRDefault="00DA0BD1" w:rsidP="00DA0BD1">
      <w:pPr>
        <w:ind w:left="1440" w:hanging="1440"/>
        <w:jc w:val="both"/>
      </w:pPr>
    </w:p>
    <w:p w14:paraId="0D1FC591" w14:textId="77777777" w:rsidR="00DA0BD1" w:rsidRPr="00DC3DC5" w:rsidRDefault="00DA0BD1" w:rsidP="00DA0BD1">
      <w:pPr>
        <w:ind w:left="1440" w:hanging="1440"/>
        <w:jc w:val="both"/>
        <w:rPr>
          <w:u w:val="single"/>
        </w:rPr>
      </w:pPr>
      <w:r>
        <w:tab/>
      </w:r>
      <w:r>
        <w:rPr>
          <w:u w:val="single"/>
        </w:rPr>
        <w:t>Conclusion</w:t>
      </w:r>
    </w:p>
    <w:p w14:paraId="16EB1662" w14:textId="77777777" w:rsidR="00DA0BD1" w:rsidRPr="00DC3DC5" w:rsidRDefault="00DA0BD1" w:rsidP="00DA0BD1">
      <w:pPr>
        <w:ind w:left="1440" w:hanging="1440"/>
        <w:jc w:val="both"/>
        <w:rPr>
          <w:u w:val="single"/>
        </w:rPr>
      </w:pPr>
    </w:p>
    <w:p w14:paraId="53C664BF" w14:textId="77777777" w:rsidR="000A027C" w:rsidRPr="0029161C" w:rsidRDefault="00DA0BD1" w:rsidP="00DA0BD1">
      <w:pPr>
        <w:ind w:left="1440" w:hanging="1440"/>
        <w:jc w:val="both"/>
      </w:pPr>
      <w:r>
        <w:tab/>
      </w:r>
      <w:r w:rsidRPr="00DC3DC5">
        <w:t>Peoples’ proposed 2024 test year is reasonable for ratemaking purposes and reflects the anticipated operations of the company during the first year when its new rates are expected to be in effect</w:t>
      </w:r>
      <w:r>
        <w:t xml:space="preserve">. </w:t>
      </w:r>
      <w:r w:rsidRPr="00DC3DC5">
        <w:t>The company’s proposed levels of rate base</w:t>
      </w:r>
      <w:r>
        <w:t xml:space="preserve">, </w:t>
      </w:r>
      <w:r w:rsidRPr="00DC3DC5">
        <w:t>O&amp;M expenses</w:t>
      </w:r>
      <w:r>
        <w:t>,</w:t>
      </w:r>
      <w:r w:rsidRPr="00DC3DC5">
        <w:t xml:space="preserve"> depreciation, interest, income taxes</w:t>
      </w:r>
      <w:r>
        <w:t>,</w:t>
      </w:r>
      <w:r w:rsidRPr="00DC3DC5">
        <w:t xml:space="preserve"> taxes other than income taxes, and other expenses are reasonable and prudent and should be approved. The company’s proposed return on equity</w:t>
      </w:r>
      <w:r>
        <w:t xml:space="preserve"> (11 percent)</w:t>
      </w:r>
      <w:r w:rsidRPr="00DC3DC5">
        <w:t>, equity ratio</w:t>
      </w:r>
      <w:r>
        <w:t xml:space="preserve"> (54.7 percent investor sources)</w:t>
      </w:r>
      <w:r w:rsidRPr="00DC3DC5">
        <w:t>, capital structure and associated costs rates reflect the capital structure needed to support the company’s growing rate base, reflect market cost rates, are reasonable and should also be approved</w:t>
      </w:r>
      <w:r>
        <w:t xml:space="preserve">. </w:t>
      </w:r>
      <w:r w:rsidRPr="00DC3DC5">
        <w:t>Peoples’ proposed base rates and charges (and the resulting typical bills) are based on a reasonable cost of service study; were developed using traditional rate design principles; and compare favorably with the Florida Public Utility Company and Florida City Gas rates recently approved by the Commission, even before any adjustments to the company’s proposed revenue requirement. Peoples respectfully requests that the Commission find that its proposed base rates and charges and related tariff changes are fair, just</w:t>
      </w:r>
      <w:r>
        <w:t>,</w:t>
      </w:r>
      <w:r w:rsidRPr="00DC3DC5">
        <w:t xml:space="preserve"> and reasonable and approve them to be effective with the first bil</w:t>
      </w:r>
      <w:r>
        <w:t>l</w:t>
      </w:r>
      <w:r w:rsidRPr="00DC3DC5">
        <w:t>ing cycle in January 2024</w:t>
      </w:r>
      <w:r>
        <w:t>.</w:t>
      </w:r>
    </w:p>
    <w:p w14:paraId="7D13E799" w14:textId="77777777" w:rsidR="0029161C" w:rsidRPr="0029161C" w:rsidRDefault="0029161C" w:rsidP="0029161C">
      <w:pPr>
        <w:jc w:val="both"/>
      </w:pPr>
    </w:p>
    <w:p w14:paraId="7FA8CE37" w14:textId="77777777" w:rsidR="0029161C" w:rsidRDefault="00D851AC" w:rsidP="0029161C">
      <w:pPr>
        <w:ind w:left="1440" w:hanging="1440"/>
        <w:jc w:val="both"/>
      </w:pPr>
      <w:r>
        <w:rPr>
          <w:b/>
          <w:bCs/>
        </w:rPr>
        <w:t>OPC</w:t>
      </w:r>
      <w:r w:rsidR="0029161C" w:rsidRPr="0029161C">
        <w:rPr>
          <w:b/>
          <w:bCs/>
        </w:rPr>
        <w:t>:</w:t>
      </w:r>
      <w:r w:rsidR="0029161C" w:rsidRPr="0029161C">
        <w:tab/>
      </w:r>
      <w:r w:rsidR="00DD52E6">
        <w:rPr>
          <w:color w:val="000000"/>
        </w:rPr>
        <w:t>The burden of proof in a C</w:t>
      </w:r>
      <w:r w:rsidR="00DD52E6" w:rsidRPr="005B753B">
        <w:rPr>
          <w:color w:val="000000"/>
        </w:rPr>
        <w:t xml:space="preserve">ommission proceeding is always on a utility seeking a rate change, and upon other parties seeking to change established rates. </w:t>
      </w:r>
      <w:r w:rsidR="00DD52E6" w:rsidRPr="005B753B">
        <w:rPr>
          <w:i/>
          <w:color w:val="000000"/>
          <w:bdr w:val="none" w:sz="0" w:space="0" w:color="auto" w:frame="1"/>
          <w:shd w:val="clear" w:color="auto" w:fill="FFFFFF"/>
        </w:rPr>
        <w:t>Fla. Power Corp. v. Cresse</w:t>
      </w:r>
      <w:r w:rsidR="00DD52E6" w:rsidRPr="005B753B">
        <w:rPr>
          <w:color w:val="000000"/>
          <w:bdr w:val="none" w:sz="0" w:space="0" w:color="auto" w:frame="1"/>
          <w:shd w:val="clear" w:color="auto" w:fill="FFFFFF"/>
        </w:rPr>
        <w:t>, 413 So. 2d 1187, 1191 (Fla. 1982).</w:t>
      </w:r>
      <w:r w:rsidR="00DD52E6" w:rsidRPr="005B753B">
        <w:t xml:space="preserve"> Peoples Gas System, Inc. (PGS) has the burden to prove that every aspect of their requested rate increase is </w:t>
      </w:r>
      <w:r w:rsidR="00DD52E6">
        <w:t>appropriate, and t</w:t>
      </w:r>
      <w:r w:rsidR="00DD52E6" w:rsidRPr="005B753B">
        <w:t>he Commission may only approve the parts of PGS’s rate request which are fair, just, and reasonable. PGS</w:t>
      </w:r>
      <w:r w:rsidR="00DD52E6">
        <w:t xml:space="preserve">’s requested rate increase would translate to a 36% increase in base rates – the largest requested increase in PGS history. PGS’s request </w:t>
      </w:r>
      <w:r w:rsidR="00DD52E6" w:rsidRPr="005B753B">
        <w:t>grossly overstates the revenue requirement needed to provide safe and reliable service. OPC’s expert</w:t>
      </w:r>
      <w:r w:rsidR="00DD52E6">
        <w:t>s</w:t>
      </w:r>
      <w:r w:rsidR="00DD52E6" w:rsidRPr="005B753B">
        <w:t xml:space="preserve">, Lane Kollen and David Garrett, will testify in depth about the flawed </w:t>
      </w:r>
      <w:r w:rsidR="00DD52E6">
        <w:t xml:space="preserve">and excessive nature of </w:t>
      </w:r>
      <w:r w:rsidR="00DD52E6" w:rsidRPr="005B753B">
        <w:t>PGS’s requested rate increase</w:t>
      </w:r>
      <w:r w:rsidR="00DD52E6">
        <w:t>.</w:t>
      </w:r>
      <w:r w:rsidR="00DD52E6" w:rsidRPr="005B753B">
        <w:t xml:space="preserve"> OPC will also demonstrate deficiencies in the testimony and evidence presented by PGS’</w:t>
      </w:r>
      <w:r w:rsidR="00DD52E6">
        <w:t xml:space="preserve">s </w:t>
      </w:r>
      <w:r w:rsidR="00DD52E6" w:rsidRPr="005B753B">
        <w:t>witnesses. In today’s tough economic climate, PGS’s customers are already under great financial pressure, so any increase will have a significant impact on them. Now</w:t>
      </w:r>
      <w:r w:rsidR="00DD52E6">
        <w:t>,</w:t>
      </w:r>
      <w:r w:rsidR="00DD52E6" w:rsidRPr="005B753B">
        <w:t xml:space="preserve"> more than ever, the Commission must consider that impact when evaluating PGS’s rate request. Ultimately, the Commission must hold PGS to its burden and only approve the portions of PGS’s rate request which are fair, just, and reasonable.</w:t>
      </w:r>
    </w:p>
    <w:p w14:paraId="09FC1B14" w14:textId="77777777" w:rsidR="000A027C" w:rsidRDefault="000A027C" w:rsidP="0029161C">
      <w:pPr>
        <w:ind w:left="1440" w:hanging="1440"/>
        <w:jc w:val="both"/>
      </w:pPr>
    </w:p>
    <w:p w14:paraId="27A794ED" w14:textId="77777777" w:rsidR="000A027C" w:rsidRPr="000A027C" w:rsidRDefault="000A027C" w:rsidP="0029161C">
      <w:pPr>
        <w:ind w:left="1440" w:hanging="1440"/>
        <w:jc w:val="both"/>
      </w:pPr>
      <w:r>
        <w:rPr>
          <w:b/>
        </w:rPr>
        <w:t>FIPUG:</w:t>
      </w:r>
      <w:r>
        <w:rPr>
          <w:b/>
        </w:rPr>
        <w:tab/>
      </w:r>
      <w:r w:rsidR="00DE638F" w:rsidRPr="00A908B4">
        <w:rPr>
          <w:rFonts w:eastAsia="Calibri"/>
        </w:rPr>
        <w:t>The Petitioner</w:t>
      </w:r>
      <w:r w:rsidR="00DE638F">
        <w:rPr>
          <w:rFonts w:eastAsia="Calibri"/>
        </w:rPr>
        <w:t>, Peoples Gas System, Inc. (PGS),</w:t>
      </w:r>
      <w:r w:rsidR="00DE638F" w:rsidRPr="00A908B4">
        <w:rPr>
          <w:rFonts w:eastAsia="Calibri"/>
        </w:rPr>
        <w:t xml:space="preserve"> must provide sufficient</w:t>
      </w:r>
      <w:r w:rsidR="00DE638F">
        <w:rPr>
          <w:rFonts w:eastAsia="Calibri"/>
        </w:rPr>
        <w:t xml:space="preserve"> competent, substantial</w:t>
      </w:r>
      <w:r w:rsidR="00DE638F" w:rsidRPr="00A908B4">
        <w:rPr>
          <w:rFonts w:eastAsia="Calibri"/>
        </w:rPr>
        <w:t xml:space="preserve"> evidence</w:t>
      </w:r>
      <w:r w:rsidR="00DE638F">
        <w:rPr>
          <w:rFonts w:eastAsia="Calibri"/>
        </w:rPr>
        <w:t xml:space="preserve"> and legally carry its burden of proof for its request to increase customers’ rates by nearly 40%.  Specifically, PGS’s must provide the Commission with sound reasoning and purpose for </w:t>
      </w:r>
      <w:r w:rsidR="00DE638F" w:rsidRPr="00A908B4">
        <w:rPr>
          <w:rFonts w:eastAsia="Calibri"/>
        </w:rPr>
        <w:t>expenditures for</w:t>
      </w:r>
      <w:r w:rsidR="00DE638F">
        <w:rPr>
          <w:rFonts w:eastAsia="Calibri"/>
        </w:rPr>
        <w:t xml:space="preserve"> </w:t>
      </w:r>
      <w:r w:rsidR="00DE638F">
        <w:rPr>
          <w:rFonts w:eastAsia="Calibri"/>
        </w:rPr>
        <w:lastRenderedPageBreak/>
        <w:t>which the company asks the Commission to increase customers’ base rates by approximately $125 million dollars.  The Commission must approve as fair, just, and reasonable every dollar PGS seeks for its new, higher rates.  The Commission, after consideration of the evidence, should make adjustments or disallow numerous proposed expenditures to significantly reduce the PGS rate request for all customer groups, including large commercial and industrial customers, many of whom are FIPUG members.  Among other items, changes to the PGS proposed requested return on equity, capital structure, and rate design are in order and should be adopted by the Commission.</w:t>
      </w:r>
    </w:p>
    <w:p w14:paraId="63090696" w14:textId="77777777" w:rsidR="0029161C" w:rsidRPr="0029161C" w:rsidRDefault="0029161C" w:rsidP="0029161C">
      <w:pPr>
        <w:jc w:val="both"/>
      </w:pPr>
    </w:p>
    <w:p w14:paraId="6C4E9510" w14:textId="77777777" w:rsidR="0029161C" w:rsidRPr="0029161C" w:rsidRDefault="0029161C" w:rsidP="0029161C">
      <w:pPr>
        <w:ind w:left="1440" w:hanging="1440"/>
        <w:jc w:val="both"/>
      </w:pPr>
      <w:r w:rsidRPr="0029161C">
        <w:rPr>
          <w:b/>
          <w:bCs/>
        </w:rPr>
        <w:t>STAFF:</w:t>
      </w:r>
      <w:r w:rsidRPr="0029161C">
        <w:rPr>
          <w:b/>
          <w:bCs/>
        </w:rPr>
        <w:tab/>
      </w:r>
      <w:r w:rsidRPr="0029161C">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1DB96839" w14:textId="77777777" w:rsidR="003D2F45" w:rsidRDefault="003D2F45" w:rsidP="0029161C">
      <w:pPr>
        <w:jc w:val="both"/>
        <w:rPr>
          <w:b/>
        </w:rPr>
      </w:pPr>
    </w:p>
    <w:p w14:paraId="6CE00B47" w14:textId="77777777" w:rsidR="0029161C" w:rsidRPr="0029161C" w:rsidRDefault="00685B4B" w:rsidP="0029161C">
      <w:pPr>
        <w:jc w:val="both"/>
        <w:rPr>
          <w:b/>
        </w:rPr>
      </w:pPr>
      <w:r>
        <w:rPr>
          <w:b/>
        </w:rPr>
        <w:t>VIII</w:t>
      </w:r>
      <w:r w:rsidR="0029161C" w:rsidRPr="0029161C">
        <w:rPr>
          <w:b/>
        </w:rPr>
        <w:t>.</w:t>
      </w:r>
      <w:r w:rsidR="0029161C" w:rsidRPr="0029161C">
        <w:rPr>
          <w:b/>
        </w:rPr>
        <w:tab/>
      </w:r>
      <w:r w:rsidR="0029161C" w:rsidRPr="0029161C">
        <w:rPr>
          <w:b/>
          <w:u w:val="single"/>
        </w:rPr>
        <w:t xml:space="preserve">ISSUES </w:t>
      </w:r>
      <w:smartTag w:uri="urn:schemas-microsoft-com:office:smarttags" w:element="stockticker">
        <w:r w:rsidR="0029161C" w:rsidRPr="0029161C">
          <w:rPr>
            <w:b/>
            <w:u w:val="single"/>
          </w:rPr>
          <w:t>AND</w:t>
        </w:r>
      </w:smartTag>
      <w:r w:rsidR="0029161C" w:rsidRPr="0029161C">
        <w:rPr>
          <w:b/>
          <w:u w:val="single"/>
        </w:rPr>
        <w:t xml:space="preserve"> POSITIONS</w:t>
      </w:r>
    </w:p>
    <w:p w14:paraId="6A1D81F3" w14:textId="77777777" w:rsidR="0029161C" w:rsidRDefault="0029161C" w:rsidP="0029161C">
      <w:pPr>
        <w:jc w:val="both"/>
      </w:pPr>
    </w:p>
    <w:p w14:paraId="090F3B7F" w14:textId="77777777" w:rsidR="00BD6CBA" w:rsidRDefault="00BD6CBA" w:rsidP="00BD6CBA">
      <w:pPr>
        <w:jc w:val="center"/>
      </w:pPr>
      <w:r w:rsidRPr="009D5A46">
        <w:rPr>
          <w:b/>
          <w:u w:val="single"/>
        </w:rPr>
        <w:t>TEST PERIOD AND FORECASTING</w:t>
      </w:r>
    </w:p>
    <w:p w14:paraId="286A200D" w14:textId="77777777" w:rsidR="00BD6CBA" w:rsidRPr="0029161C" w:rsidRDefault="00BD6CBA" w:rsidP="0029161C">
      <w:pPr>
        <w:jc w:val="both"/>
      </w:pPr>
    </w:p>
    <w:p w14:paraId="0A5C4CF2" w14:textId="77777777" w:rsidR="0029161C" w:rsidRPr="00BD6CBA" w:rsidRDefault="0029161C" w:rsidP="00A4526E">
      <w:pPr>
        <w:ind w:left="1440" w:hanging="1440"/>
        <w:jc w:val="both"/>
        <w:rPr>
          <w:b/>
        </w:rPr>
      </w:pPr>
      <w:r w:rsidRPr="0029161C">
        <w:rPr>
          <w:b/>
          <w:bCs/>
        </w:rPr>
        <w:t>ISSUE 1:</w:t>
      </w:r>
      <w:r w:rsidRPr="0029161C">
        <w:tab/>
      </w:r>
      <w:r w:rsidR="00BD6CBA" w:rsidRPr="00BD6CBA">
        <w:rPr>
          <w:b/>
        </w:rPr>
        <w:t>Is PGS’s projected test period of the twelve months ending December 31, 2024, appropriate?</w:t>
      </w:r>
    </w:p>
    <w:p w14:paraId="12009890" w14:textId="77777777" w:rsidR="0029161C" w:rsidRPr="0029161C" w:rsidRDefault="0029161C" w:rsidP="0029161C">
      <w:pPr>
        <w:jc w:val="both"/>
      </w:pPr>
    </w:p>
    <w:p w14:paraId="3BE98C14" w14:textId="77777777" w:rsidR="0029161C" w:rsidRPr="0029161C" w:rsidRDefault="00A4526E" w:rsidP="00A4526E">
      <w:pPr>
        <w:ind w:left="1440" w:hanging="1440"/>
        <w:jc w:val="both"/>
      </w:pPr>
      <w:r>
        <w:rPr>
          <w:b/>
          <w:bCs/>
        </w:rPr>
        <w:t>PGS</w:t>
      </w:r>
      <w:r w:rsidR="0029161C" w:rsidRPr="0029161C">
        <w:rPr>
          <w:b/>
          <w:bCs/>
        </w:rPr>
        <w:t>:</w:t>
      </w:r>
      <w:r w:rsidR="0029161C" w:rsidRPr="0029161C">
        <w:tab/>
      </w:r>
      <w:r w:rsidR="00C40DB6" w:rsidRPr="00F71D16">
        <w:t xml:space="preserve">Yes. The twelve-month period ending December 31, 2024, as reflected in PGS’ MFRs, is the most </w:t>
      </w:r>
      <w:r w:rsidR="00C40DB6" w:rsidRPr="00D9045F">
        <w:rPr>
          <w:color w:val="000000"/>
          <w:kern w:val="2"/>
          <w:szCs w:val="22"/>
          <w14:ligatures w14:val="standardContextual"/>
        </w:rPr>
        <w:t>appropriate</w:t>
      </w:r>
      <w:r w:rsidR="00C40DB6" w:rsidRPr="00F71D16">
        <w:t xml:space="preserve"> test period because it is representative of PGS’ future operations. Furthermore, PGS requests an increase in rates effective January 1, 2024. That year is accordingly the most appropriate year to evaluate the company’s projected revenue requirements to ensure that proposed revenues and revenue requirements match for 2024. (Parsons)</w:t>
      </w:r>
    </w:p>
    <w:p w14:paraId="09AFA4D9" w14:textId="77777777" w:rsidR="0029161C" w:rsidRPr="0029161C" w:rsidRDefault="0029161C" w:rsidP="0029161C">
      <w:pPr>
        <w:jc w:val="both"/>
      </w:pPr>
    </w:p>
    <w:p w14:paraId="3253DA8C" w14:textId="77777777" w:rsidR="0029161C" w:rsidRDefault="00A4526E" w:rsidP="00A4526E">
      <w:pPr>
        <w:ind w:left="1440" w:hanging="1440"/>
        <w:jc w:val="both"/>
      </w:pPr>
      <w:r>
        <w:rPr>
          <w:b/>
          <w:bCs/>
        </w:rPr>
        <w:t>OPC</w:t>
      </w:r>
      <w:r w:rsidR="0029161C" w:rsidRPr="0029161C">
        <w:rPr>
          <w:b/>
          <w:bCs/>
        </w:rPr>
        <w:t>:</w:t>
      </w:r>
      <w:r>
        <w:tab/>
      </w:r>
      <w:r w:rsidR="00537D68" w:rsidRPr="001C5462">
        <w:t xml:space="preserve">No. </w:t>
      </w:r>
      <w:r w:rsidR="00537D68">
        <w:t>However, i</w:t>
      </w:r>
      <w:r w:rsidR="00537D68" w:rsidRPr="001C5462">
        <w:t>f there are no imminent plans to merge the company with another and with</w:t>
      </w:r>
      <w:r w:rsidR="00537D68">
        <w:t xml:space="preserve"> </w:t>
      </w:r>
      <w:r w:rsidR="00537D68" w:rsidRPr="001C5462">
        <w:t>appropriate adjustments, the proposed 202</w:t>
      </w:r>
      <w:r w:rsidR="00537D68">
        <w:t>4</w:t>
      </w:r>
      <w:r w:rsidR="00537D68" w:rsidRPr="001C5462">
        <w:t xml:space="preserve"> test year may be represe</w:t>
      </w:r>
      <w:r w:rsidR="00537D68">
        <w:t xml:space="preserve">ntative of the period of time </w:t>
      </w:r>
      <w:r w:rsidR="00537D68" w:rsidRPr="001C5462">
        <w:t xml:space="preserve">in which rates will be in effect. </w:t>
      </w:r>
      <w:r w:rsidR="00537D68">
        <w:t>PGS</w:t>
      </w:r>
      <w:r w:rsidR="00537D68" w:rsidRPr="001C5462">
        <w:t xml:space="preserve"> has failed to meet its burden of demonstrating the appropriateness of th</w:t>
      </w:r>
      <w:r w:rsidR="00537D68">
        <w:t>e test year since it has failed</w:t>
      </w:r>
      <w:r w:rsidR="00537D68" w:rsidRPr="001C5462">
        <w:t xml:space="preserve"> to </w:t>
      </w:r>
      <w:r w:rsidR="00537D68">
        <w:t xml:space="preserve">adequately </w:t>
      </w:r>
      <w:r w:rsidR="00537D68" w:rsidRPr="001C5462">
        <w:t>demonstrate that there will be no merger activities that will affect the app</w:t>
      </w:r>
      <w:r w:rsidR="00537D68">
        <w:t>ropriateness of the test year and the period for which rates will be in effect.</w:t>
      </w:r>
    </w:p>
    <w:p w14:paraId="55F3EBCC" w14:textId="77777777" w:rsidR="00A4526E" w:rsidRDefault="00A4526E" w:rsidP="0029161C">
      <w:pPr>
        <w:jc w:val="both"/>
      </w:pPr>
    </w:p>
    <w:p w14:paraId="09A9E121" w14:textId="77777777" w:rsidR="00A4526E" w:rsidRPr="00A4526E" w:rsidRDefault="00A4526E" w:rsidP="00A4526E">
      <w:pPr>
        <w:ind w:left="1440" w:hanging="1440"/>
        <w:jc w:val="both"/>
      </w:pPr>
      <w:r>
        <w:rPr>
          <w:b/>
        </w:rPr>
        <w:t>FIPUG:</w:t>
      </w:r>
      <w:r>
        <w:rPr>
          <w:b/>
        </w:rPr>
        <w:tab/>
      </w:r>
      <w:r w:rsidR="008E1978" w:rsidRPr="00BE2300">
        <w:rPr>
          <w:bCs/>
        </w:rPr>
        <w:t>Adopt position of OPC.</w:t>
      </w:r>
    </w:p>
    <w:p w14:paraId="552E77AB" w14:textId="77777777" w:rsidR="0029161C" w:rsidRPr="0029161C" w:rsidRDefault="0029161C" w:rsidP="0029161C">
      <w:pPr>
        <w:jc w:val="both"/>
      </w:pPr>
    </w:p>
    <w:p w14:paraId="72B1BC4D" w14:textId="77777777" w:rsidR="0029161C" w:rsidRPr="0029161C" w:rsidRDefault="0029161C" w:rsidP="00A4526E">
      <w:pPr>
        <w:ind w:left="1440" w:hanging="1440"/>
        <w:jc w:val="both"/>
        <w:rPr>
          <w:b/>
          <w:bCs/>
        </w:rPr>
      </w:pPr>
      <w:r w:rsidRPr="0029161C">
        <w:rPr>
          <w:b/>
          <w:bCs/>
        </w:rPr>
        <w:t>STAFF:</w:t>
      </w:r>
      <w:r w:rsidRPr="0029161C">
        <w:rPr>
          <w:b/>
          <w:bCs/>
        </w:rPr>
        <w:tab/>
      </w:r>
      <w:r w:rsidR="008B3A6B">
        <w:t>Staff has no position at this time.</w:t>
      </w:r>
    </w:p>
    <w:p w14:paraId="2791C65E" w14:textId="77777777" w:rsidR="0029161C" w:rsidRPr="0029161C" w:rsidRDefault="0029161C" w:rsidP="0029161C">
      <w:pPr>
        <w:jc w:val="both"/>
      </w:pPr>
    </w:p>
    <w:p w14:paraId="1E73C94F" w14:textId="592DA46B" w:rsidR="0070461A" w:rsidRDefault="0070461A">
      <w:pPr>
        <w:rPr>
          <w:b/>
          <w:bCs/>
        </w:rPr>
      </w:pPr>
    </w:p>
    <w:p w14:paraId="391EC194" w14:textId="45D7DBAD" w:rsidR="00A4526E" w:rsidRPr="00EC4766" w:rsidRDefault="00A4526E" w:rsidP="00EC4766">
      <w:pPr>
        <w:ind w:left="1440" w:hanging="1440"/>
        <w:jc w:val="both"/>
        <w:rPr>
          <w:b/>
        </w:rPr>
      </w:pPr>
      <w:r>
        <w:rPr>
          <w:b/>
          <w:bCs/>
        </w:rPr>
        <w:t>ISSUE 2</w:t>
      </w:r>
      <w:r w:rsidRPr="0029161C">
        <w:rPr>
          <w:b/>
          <w:bCs/>
        </w:rPr>
        <w:t>:</w:t>
      </w:r>
      <w:r w:rsidRPr="0029161C">
        <w:tab/>
      </w:r>
      <w:r w:rsidR="00EC4766">
        <w:rPr>
          <w:b/>
        </w:rPr>
        <w:t>Proposed Type 2 Stipulation; see Section X.</w:t>
      </w:r>
    </w:p>
    <w:p w14:paraId="6BF52367" w14:textId="77777777" w:rsidR="00A4526E" w:rsidRPr="0029161C" w:rsidRDefault="00A4526E" w:rsidP="00A4526E">
      <w:pPr>
        <w:jc w:val="both"/>
      </w:pPr>
    </w:p>
    <w:p w14:paraId="5BA9BA2A" w14:textId="77777777" w:rsidR="00A4526E" w:rsidRDefault="00A4526E" w:rsidP="00A4526E">
      <w:pPr>
        <w:jc w:val="both"/>
      </w:pPr>
    </w:p>
    <w:p w14:paraId="77674397" w14:textId="68E6C042" w:rsidR="00A4526E" w:rsidRPr="0029161C" w:rsidRDefault="00A4526E" w:rsidP="00EC4766">
      <w:pPr>
        <w:ind w:left="1440" w:hanging="1440"/>
        <w:jc w:val="both"/>
        <w:rPr>
          <w:b/>
          <w:bCs/>
        </w:rPr>
      </w:pPr>
      <w:r>
        <w:rPr>
          <w:b/>
          <w:bCs/>
        </w:rPr>
        <w:lastRenderedPageBreak/>
        <w:t>ISSUE 3</w:t>
      </w:r>
      <w:r w:rsidRPr="0029161C">
        <w:rPr>
          <w:b/>
          <w:bCs/>
        </w:rPr>
        <w:t>:</w:t>
      </w:r>
      <w:r w:rsidRPr="0029161C">
        <w:tab/>
      </w:r>
      <w:r w:rsidR="00EC4766">
        <w:rPr>
          <w:b/>
        </w:rPr>
        <w:t>Proposed Type 2 Stipulation; see Section X.</w:t>
      </w:r>
    </w:p>
    <w:p w14:paraId="4F99016C" w14:textId="77777777" w:rsidR="00A4526E" w:rsidRPr="0029161C" w:rsidRDefault="00A4526E" w:rsidP="00A4526E">
      <w:pPr>
        <w:jc w:val="both"/>
      </w:pPr>
    </w:p>
    <w:p w14:paraId="3BD878F5" w14:textId="77777777" w:rsidR="00BD6CBA" w:rsidRDefault="00BD6CBA" w:rsidP="00BD6CBA">
      <w:pPr>
        <w:jc w:val="center"/>
      </w:pPr>
      <w:r>
        <w:rPr>
          <w:b/>
          <w:u w:val="single"/>
        </w:rPr>
        <w:t>QUALITY OF SERVICE</w:t>
      </w:r>
    </w:p>
    <w:p w14:paraId="7AA517FB" w14:textId="77777777" w:rsidR="00BD6CBA" w:rsidRDefault="00BD6CBA" w:rsidP="00A4526E">
      <w:pPr>
        <w:jc w:val="both"/>
      </w:pPr>
    </w:p>
    <w:p w14:paraId="2A95F53E" w14:textId="77777777" w:rsidR="00A4526E" w:rsidRPr="0029161C" w:rsidRDefault="00A4526E" w:rsidP="00A4526E">
      <w:pPr>
        <w:ind w:left="1440" w:hanging="1440"/>
        <w:jc w:val="both"/>
      </w:pPr>
      <w:r>
        <w:rPr>
          <w:b/>
          <w:bCs/>
        </w:rPr>
        <w:t>ISSUE 4</w:t>
      </w:r>
      <w:r w:rsidRPr="0029161C">
        <w:rPr>
          <w:b/>
          <w:bCs/>
        </w:rPr>
        <w:t>:</w:t>
      </w:r>
      <w:r w:rsidRPr="0029161C">
        <w:tab/>
      </w:r>
      <w:r w:rsidR="00BD6CBA" w:rsidRPr="006611E9">
        <w:rPr>
          <w:b/>
        </w:rPr>
        <w:t>Is the quality of service provided by PGS adequate?</w:t>
      </w:r>
    </w:p>
    <w:p w14:paraId="55EE0524" w14:textId="77777777" w:rsidR="00A4526E" w:rsidRPr="0029161C" w:rsidRDefault="00A4526E" w:rsidP="00A4526E">
      <w:pPr>
        <w:jc w:val="both"/>
      </w:pPr>
    </w:p>
    <w:p w14:paraId="27482A12" w14:textId="77777777" w:rsidR="00A4526E" w:rsidRPr="0029161C" w:rsidRDefault="00A4526E" w:rsidP="00A4526E">
      <w:pPr>
        <w:ind w:left="1440" w:hanging="1440"/>
        <w:jc w:val="both"/>
      </w:pPr>
      <w:r>
        <w:rPr>
          <w:b/>
          <w:bCs/>
        </w:rPr>
        <w:t>PGS</w:t>
      </w:r>
      <w:r w:rsidRPr="0029161C">
        <w:rPr>
          <w:b/>
          <w:bCs/>
        </w:rPr>
        <w:t>:</w:t>
      </w:r>
      <w:r w:rsidRPr="0029161C">
        <w:tab/>
      </w:r>
      <w:r w:rsidR="00B3055D" w:rsidRPr="00F71D16">
        <w:t>Yes.</w:t>
      </w:r>
      <w:r w:rsidR="00B3055D" w:rsidRPr="00F71D16">
        <w:rPr>
          <w:rFonts w:cs="Arial"/>
        </w:rPr>
        <w:t xml:space="preserve"> PGS has delivered on its commitment to exceptional customer service as evidenced by the company’s J.D. Power customer satisfaction scores. </w:t>
      </w:r>
      <w:r w:rsidR="00B3055D">
        <w:rPr>
          <w:rFonts w:cs="Arial"/>
        </w:rPr>
        <w:t>T</w:t>
      </w:r>
      <w:r w:rsidR="00B3055D" w:rsidRPr="00F71D16">
        <w:rPr>
          <w:rFonts w:cs="Arial"/>
        </w:rPr>
        <w:t>he Commission held 6 customer service hearings, with 4 held virtually and 2 held in person. Two individuals appeared and no one expressed a negative view of PGS’ quality of service. (Sparkman, Wesley)</w:t>
      </w:r>
    </w:p>
    <w:p w14:paraId="1682AEE9" w14:textId="77777777" w:rsidR="00A4526E" w:rsidRPr="0029161C" w:rsidRDefault="00A4526E" w:rsidP="00A4526E">
      <w:pPr>
        <w:jc w:val="both"/>
      </w:pPr>
    </w:p>
    <w:p w14:paraId="2E7CE73A" w14:textId="77777777" w:rsidR="00A4526E" w:rsidRDefault="00A4526E" w:rsidP="00A4526E">
      <w:pPr>
        <w:ind w:left="1440" w:hanging="1440"/>
        <w:jc w:val="both"/>
      </w:pPr>
      <w:r>
        <w:rPr>
          <w:b/>
          <w:bCs/>
        </w:rPr>
        <w:t>OPC</w:t>
      </w:r>
      <w:r w:rsidRPr="0029161C">
        <w:rPr>
          <w:b/>
          <w:bCs/>
        </w:rPr>
        <w:t>:</w:t>
      </w:r>
      <w:r>
        <w:tab/>
      </w:r>
      <w:r w:rsidR="00537D68" w:rsidRPr="00291CE4">
        <w:t>The OPC reserves the right to update its position based on customer testimony.</w:t>
      </w:r>
    </w:p>
    <w:p w14:paraId="08BF79F6" w14:textId="77777777" w:rsidR="00A4526E" w:rsidRDefault="00A4526E" w:rsidP="00A4526E">
      <w:pPr>
        <w:jc w:val="both"/>
      </w:pPr>
    </w:p>
    <w:p w14:paraId="34B67655" w14:textId="77777777" w:rsidR="00A4526E" w:rsidRPr="00A4526E" w:rsidRDefault="00A4526E" w:rsidP="00A4526E">
      <w:pPr>
        <w:ind w:left="1440" w:hanging="1440"/>
        <w:jc w:val="both"/>
      </w:pPr>
      <w:r>
        <w:rPr>
          <w:b/>
        </w:rPr>
        <w:t>FIPUG:</w:t>
      </w:r>
      <w:r>
        <w:rPr>
          <w:b/>
        </w:rPr>
        <w:tab/>
      </w:r>
      <w:r w:rsidR="008E1978" w:rsidRPr="00BE2300">
        <w:rPr>
          <w:bCs/>
        </w:rPr>
        <w:t>Adopt position of OPC.</w:t>
      </w:r>
    </w:p>
    <w:p w14:paraId="56E67BE9" w14:textId="77777777" w:rsidR="00A4526E" w:rsidRPr="0029161C" w:rsidRDefault="00A4526E" w:rsidP="00A4526E">
      <w:pPr>
        <w:jc w:val="both"/>
      </w:pPr>
    </w:p>
    <w:p w14:paraId="632C7C19" w14:textId="77777777" w:rsidR="00A4526E" w:rsidRPr="0029161C" w:rsidRDefault="00A4526E" w:rsidP="00A4526E">
      <w:pPr>
        <w:ind w:left="1440" w:hanging="1440"/>
        <w:jc w:val="both"/>
        <w:rPr>
          <w:b/>
          <w:bCs/>
        </w:rPr>
      </w:pPr>
      <w:r w:rsidRPr="0029161C">
        <w:rPr>
          <w:b/>
          <w:bCs/>
        </w:rPr>
        <w:t>STAFF:</w:t>
      </w:r>
      <w:r w:rsidRPr="0029161C">
        <w:rPr>
          <w:b/>
          <w:bCs/>
        </w:rPr>
        <w:tab/>
      </w:r>
      <w:r w:rsidR="008B3A6B">
        <w:t>Staff has no position at this time.</w:t>
      </w:r>
    </w:p>
    <w:p w14:paraId="3CA1BED9" w14:textId="77777777" w:rsidR="00A4526E" w:rsidRDefault="00A4526E" w:rsidP="00A4526E">
      <w:pPr>
        <w:jc w:val="both"/>
      </w:pPr>
    </w:p>
    <w:p w14:paraId="242356A9" w14:textId="77777777" w:rsidR="00BD6CBA" w:rsidRPr="0029161C" w:rsidRDefault="00BD6CBA" w:rsidP="00BD6CBA">
      <w:pPr>
        <w:jc w:val="center"/>
      </w:pPr>
      <w:r>
        <w:rPr>
          <w:b/>
          <w:u w:val="single"/>
        </w:rPr>
        <w:t>DEPRECIATION STUDY</w:t>
      </w:r>
    </w:p>
    <w:p w14:paraId="7AC06456" w14:textId="77777777" w:rsidR="00A4526E" w:rsidRDefault="00A4526E" w:rsidP="00A4526E">
      <w:pPr>
        <w:jc w:val="both"/>
      </w:pPr>
    </w:p>
    <w:p w14:paraId="41D63A5E" w14:textId="77777777" w:rsidR="00A4526E" w:rsidRPr="0029161C" w:rsidRDefault="00A4526E" w:rsidP="00A4526E">
      <w:pPr>
        <w:ind w:left="1440" w:hanging="1440"/>
        <w:jc w:val="both"/>
      </w:pPr>
      <w:r>
        <w:rPr>
          <w:b/>
          <w:bCs/>
        </w:rPr>
        <w:t>ISSUE 5</w:t>
      </w:r>
      <w:r w:rsidRPr="0029161C">
        <w:rPr>
          <w:b/>
          <w:bCs/>
        </w:rPr>
        <w:t>:</w:t>
      </w:r>
      <w:r w:rsidRPr="0029161C">
        <w:tab/>
      </w:r>
      <w:r w:rsidR="00BD6CBA" w:rsidRPr="006611E9">
        <w:rPr>
          <w:b/>
        </w:rPr>
        <w:t>Should PGS’s request to establish a new subaccount and annual depreciation rate applicable to its renewable natural gas (RNG) plant leased to others for 15 years be approved, and, if so, what depreciation rate and implementation date should be approved?</w:t>
      </w:r>
    </w:p>
    <w:p w14:paraId="5289FD31" w14:textId="77777777" w:rsidR="00A4526E" w:rsidRPr="0029161C" w:rsidRDefault="00A4526E" w:rsidP="00A4526E">
      <w:pPr>
        <w:jc w:val="both"/>
      </w:pPr>
    </w:p>
    <w:p w14:paraId="12C320DD" w14:textId="77777777" w:rsidR="00A4526E" w:rsidRPr="0029161C" w:rsidRDefault="00A4526E" w:rsidP="00A4526E">
      <w:pPr>
        <w:ind w:left="1440" w:hanging="1440"/>
        <w:jc w:val="both"/>
      </w:pPr>
      <w:r>
        <w:rPr>
          <w:b/>
          <w:bCs/>
        </w:rPr>
        <w:t>PGS</w:t>
      </w:r>
      <w:r w:rsidRPr="0029161C">
        <w:rPr>
          <w:b/>
          <w:bCs/>
        </w:rPr>
        <w:t>:</w:t>
      </w:r>
      <w:r w:rsidRPr="0029161C">
        <w:tab/>
      </w:r>
      <w:r w:rsidR="00B3055D" w:rsidRPr="00F71D16">
        <w:t xml:space="preserve">Yes. The Commission should </w:t>
      </w:r>
      <w:r w:rsidR="00B3055D" w:rsidRPr="00F71D16">
        <w:rPr>
          <w:bCs/>
          <w:spacing w:val="-3"/>
        </w:rPr>
        <w:t xml:space="preserve">approve a new subaccount under Account 104 (Gas Plant Leased to Others) to be denominated “Account 336.01 – RNG Plant Leased – 15 Years” and a depreciation rate of 6.7 percent for that subaccount effective January 1, 2023. </w:t>
      </w:r>
      <w:r w:rsidR="00B3055D" w:rsidRPr="00F71D16">
        <w:t xml:space="preserve">The proposed new depreciation rate will </w:t>
      </w:r>
      <w:r w:rsidR="00B3055D" w:rsidRPr="00F71D16">
        <w:rPr>
          <w:bCs/>
          <w:spacing w:val="-3"/>
        </w:rPr>
        <w:t>ensure that the cost recovery period for the Brightmark RNG project (Issue 1</w:t>
      </w:r>
      <w:r w:rsidR="00FD6386">
        <w:rPr>
          <w:bCs/>
          <w:spacing w:val="-3"/>
        </w:rPr>
        <w:t>7</w:t>
      </w:r>
      <w:r w:rsidR="00B3055D" w:rsidRPr="00F71D16">
        <w:rPr>
          <w:bCs/>
          <w:spacing w:val="-3"/>
        </w:rPr>
        <w:t>) will match the period over which the project will generate revenues, that the costs of the project will be recovered by the time the customer takes ownership of the RNG plant assets at the end of the contract term and will prevent the company from experiencing a gain or loss on the sale of the assets at the end of the contract term. The new subaccount will facilitate application of the new depreciation rate.</w:t>
      </w:r>
      <w:r w:rsidR="00B3055D" w:rsidRPr="00F71D16">
        <w:t xml:space="preserve"> (Watson, Parsons)</w:t>
      </w:r>
    </w:p>
    <w:p w14:paraId="62D06C84" w14:textId="77777777" w:rsidR="00A4526E" w:rsidRPr="0029161C" w:rsidRDefault="00A4526E" w:rsidP="00A4526E">
      <w:pPr>
        <w:jc w:val="both"/>
      </w:pPr>
    </w:p>
    <w:p w14:paraId="70DFE090" w14:textId="77777777" w:rsidR="00A4526E" w:rsidRDefault="00A4526E" w:rsidP="00A4526E">
      <w:pPr>
        <w:ind w:left="1440" w:hanging="1440"/>
        <w:jc w:val="both"/>
      </w:pPr>
      <w:r>
        <w:rPr>
          <w:b/>
          <w:bCs/>
        </w:rPr>
        <w:t>OPC</w:t>
      </w:r>
      <w:r w:rsidRPr="0029161C">
        <w:rPr>
          <w:b/>
          <w:bCs/>
        </w:rPr>
        <w:t>:</w:t>
      </w:r>
      <w:r>
        <w:tab/>
      </w:r>
      <w:r w:rsidR="00537D68" w:rsidRPr="00B71CC9">
        <w:t>No.</w:t>
      </w:r>
      <w:r w:rsidR="00537D68" w:rsidRPr="004F45EE">
        <w:t xml:space="preserve"> </w:t>
      </w:r>
      <w:r w:rsidR="00537D68">
        <w:t>RNG service should not be provided on a regulated, above-the line basis</w:t>
      </w:r>
      <w:r w:rsidR="00537D68" w:rsidRPr="00B71CC9">
        <w:t>.</w:t>
      </w:r>
      <w:r w:rsidR="00537D68">
        <w:t xml:space="preserve"> Accordingly, there is no need to establish a depreciation rate for assets related to the provision of RNG service.</w:t>
      </w:r>
    </w:p>
    <w:p w14:paraId="57B6E1A2" w14:textId="77777777" w:rsidR="00A4526E" w:rsidRDefault="00A4526E" w:rsidP="00A4526E">
      <w:pPr>
        <w:jc w:val="both"/>
      </w:pPr>
    </w:p>
    <w:p w14:paraId="1DFADE4B" w14:textId="77777777" w:rsidR="00A4526E" w:rsidRPr="00A4526E" w:rsidRDefault="00A4526E" w:rsidP="00A4526E">
      <w:pPr>
        <w:ind w:left="1440" w:hanging="1440"/>
        <w:jc w:val="both"/>
      </w:pPr>
      <w:r>
        <w:rPr>
          <w:b/>
        </w:rPr>
        <w:t>FIPUG:</w:t>
      </w:r>
      <w:r>
        <w:rPr>
          <w:b/>
        </w:rPr>
        <w:tab/>
      </w:r>
      <w:r w:rsidR="008E1978" w:rsidRPr="00BE2300">
        <w:rPr>
          <w:bCs/>
        </w:rPr>
        <w:t>Adopt position of OPC.</w:t>
      </w:r>
    </w:p>
    <w:p w14:paraId="3C2E9FF0" w14:textId="77777777" w:rsidR="00A4526E" w:rsidRPr="0029161C" w:rsidRDefault="00A4526E" w:rsidP="00A4526E">
      <w:pPr>
        <w:jc w:val="both"/>
      </w:pPr>
    </w:p>
    <w:p w14:paraId="63BA98F8" w14:textId="77777777" w:rsidR="00A4526E" w:rsidRPr="0029161C" w:rsidRDefault="00A4526E" w:rsidP="00A4526E">
      <w:pPr>
        <w:ind w:left="1440" w:hanging="1440"/>
        <w:jc w:val="both"/>
        <w:rPr>
          <w:b/>
          <w:bCs/>
        </w:rPr>
      </w:pPr>
      <w:r w:rsidRPr="0029161C">
        <w:rPr>
          <w:b/>
          <w:bCs/>
        </w:rPr>
        <w:t>STAFF:</w:t>
      </w:r>
      <w:r w:rsidRPr="0029161C">
        <w:rPr>
          <w:b/>
          <w:bCs/>
        </w:rPr>
        <w:tab/>
      </w:r>
      <w:r w:rsidR="008B3A6B">
        <w:t>Staff has no position at this time.</w:t>
      </w:r>
    </w:p>
    <w:p w14:paraId="088B59AF" w14:textId="77777777" w:rsidR="00A4526E" w:rsidRPr="0029161C" w:rsidRDefault="00A4526E" w:rsidP="00A4526E">
      <w:pPr>
        <w:jc w:val="both"/>
      </w:pPr>
    </w:p>
    <w:p w14:paraId="64FC3E27" w14:textId="77777777" w:rsidR="00A4526E" w:rsidRDefault="00A4526E" w:rsidP="00A4526E">
      <w:pPr>
        <w:jc w:val="both"/>
      </w:pPr>
    </w:p>
    <w:p w14:paraId="3BE9451F" w14:textId="77777777" w:rsidR="00A4526E" w:rsidRPr="0029161C" w:rsidRDefault="00A4526E" w:rsidP="00A4526E">
      <w:pPr>
        <w:ind w:left="1440" w:hanging="1440"/>
        <w:jc w:val="both"/>
      </w:pPr>
      <w:r>
        <w:rPr>
          <w:b/>
          <w:bCs/>
        </w:rPr>
        <w:lastRenderedPageBreak/>
        <w:t>ISSUE 6</w:t>
      </w:r>
      <w:r w:rsidRPr="0029161C">
        <w:rPr>
          <w:b/>
          <w:bCs/>
        </w:rPr>
        <w:t>:</w:t>
      </w:r>
      <w:r w:rsidRPr="0029161C">
        <w:tab/>
      </w:r>
      <w:r w:rsidR="00BD6CBA" w:rsidRPr="006611E9">
        <w:rPr>
          <w:b/>
        </w:rPr>
        <w:t>Are vehicle retirements, including salvage, properly matched with the prudent level of additional vehicles included in rate base? If not, what adjustments should be made?</w:t>
      </w:r>
    </w:p>
    <w:p w14:paraId="7F0D7FC3" w14:textId="77777777" w:rsidR="00A4526E" w:rsidRPr="0029161C" w:rsidRDefault="00A4526E" w:rsidP="00A4526E">
      <w:pPr>
        <w:jc w:val="both"/>
      </w:pPr>
    </w:p>
    <w:p w14:paraId="43EB634F" w14:textId="77777777" w:rsidR="00A4526E" w:rsidRPr="0029161C" w:rsidRDefault="00A4526E" w:rsidP="00A4526E">
      <w:pPr>
        <w:ind w:left="1440" w:hanging="1440"/>
        <w:jc w:val="both"/>
      </w:pPr>
      <w:r>
        <w:rPr>
          <w:b/>
          <w:bCs/>
        </w:rPr>
        <w:t>PGS</w:t>
      </w:r>
      <w:r w:rsidRPr="0029161C">
        <w:rPr>
          <w:b/>
          <w:bCs/>
        </w:rPr>
        <w:t>:</w:t>
      </w:r>
      <w:r w:rsidRPr="0029161C">
        <w:tab/>
      </w:r>
      <w:r w:rsidR="00FD6386">
        <w:rPr>
          <w:bCs/>
          <w:color w:val="000000"/>
          <w:kern w:val="2"/>
          <w:szCs w:val="22"/>
          <w14:ligatures w14:val="standardContextual"/>
        </w:rPr>
        <w:t>No; however, no adjustment should be made. While the company did not properly match vehicle retirements with associated forecasted additions, adding the retirements to 2023 and 2024 have no impact as they</w:t>
      </w:r>
      <w:r w:rsidR="00B3055D" w:rsidRPr="0069613F">
        <w:rPr>
          <w:bCs/>
          <w:color w:val="000000"/>
          <w:kern w:val="2"/>
          <w:szCs w:val="22"/>
          <w14:ligatures w14:val="standardContextual"/>
        </w:rPr>
        <w:t xml:space="preserve"> would equally reduce the plant in service and accumulated depreciation. Therefore, the 2024 test year rate base amount would not be </w:t>
      </w:r>
      <w:r w:rsidR="00FD6386">
        <w:rPr>
          <w:bCs/>
          <w:color w:val="000000"/>
          <w:kern w:val="2"/>
          <w:szCs w:val="22"/>
          <w14:ligatures w14:val="standardContextual"/>
        </w:rPr>
        <w:t xml:space="preserve">impacted by adding retirements. </w:t>
      </w:r>
      <w:r w:rsidR="00B3055D" w:rsidRPr="00F71D16">
        <w:rPr>
          <w:color w:val="000000"/>
          <w:kern w:val="2"/>
          <w:szCs w:val="22"/>
          <w14:ligatures w14:val="standardContextual"/>
        </w:rPr>
        <w:t>(Parsons)</w:t>
      </w:r>
    </w:p>
    <w:p w14:paraId="384DB720" w14:textId="77777777" w:rsidR="00A4526E" w:rsidRPr="0029161C" w:rsidRDefault="00A4526E" w:rsidP="00A4526E">
      <w:pPr>
        <w:jc w:val="both"/>
      </w:pPr>
    </w:p>
    <w:p w14:paraId="18770FE8" w14:textId="77777777" w:rsidR="00A4526E" w:rsidRDefault="00A4526E" w:rsidP="00A4526E">
      <w:pPr>
        <w:ind w:left="1440" w:hanging="1440"/>
        <w:jc w:val="both"/>
      </w:pPr>
      <w:r>
        <w:rPr>
          <w:b/>
          <w:bCs/>
        </w:rPr>
        <w:t>OPC</w:t>
      </w:r>
      <w:r w:rsidRPr="0029161C">
        <w:rPr>
          <w:b/>
          <w:bCs/>
        </w:rPr>
        <w:t>:</w:t>
      </w:r>
      <w:r>
        <w:tab/>
      </w:r>
      <w:r w:rsidR="00537D68">
        <w:rPr>
          <w:bCs/>
        </w:rPr>
        <w:t>No. T</w:t>
      </w:r>
      <w:r w:rsidR="00537D68" w:rsidRPr="00C746BF">
        <w:rPr>
          <w:bCs/>
        </w:rPr>
        <w:t>he company has</w:t>
      </w:r>
      <w:r w:rsidR="00537D68">
        <w:t xml:space="preserve"> failed to reflect retirements associated with the replacement of older vehicles which has the effect of overstated rate base and depreciation expense over time. </w:t>
      </w:r>
      <w:r w:rsidR="00537D68" w:rsidRPr="00C746BF">
        <w:t xml:space="preserve"> </w:t>
      </w:r>
      <w:r w:rsidR="00537D68" w:rsidRPr="00117478">
        <w:t>PGS</w:t>
      </w:r>
      <w:r w:rsidR="00537D68">
        <w:t>’s requested level of additional vehicles exceeds what PGS needs in order to provide safe and reliable service. Therefore, PGS</w:t>
      </w:r>
      <w:r w:rsidR="00537D68" w:rsidRPr="00117478">
        <w:t xml:space="preserve"> has failed to demonstrate </w:t>
      </w:r>
      <w:r w:rsidR="00537D68">
        <w:t>that vehicle retirements, including salvage, properly match a prudent</w:t>
      </w:r>
      <w:r w:rsidR="00537D68" w:rsidRPr="00117478">
        <w:t xml:space="preserve"> level of additional vehicles in rate base. The Commission should only approve the additional vehicles for which PGS has satisfied their burden of proof. (Kollen and Garrett)</w:t>
      </w:r>
    </w:p>
    <w:p w14:paraId="2AAA037C" w14:textId="77777777" w:rsidR="00A4526E" w:rsidRDefault="00A4526E" w:rsidP="00A4526E">
      <w:pPr>
        <w:jc w:val="both"/>
      </w:pPr>
    </w:p>
    <w:p w14:paraId="57547B78" w14:textId="77777777" w:rsidR="00A4526E" w:rsidRPr="00A4526E" w:rsidRDefault="00A4526E" w:rsidP="00A4526E">
      <w:pPr>
        <w:ind w:left="1440" w:hanging="1440"/>
        <w:jc w:val="both"/>
      </w:pPr>
      <w:r>
        <w:rPr>
          <w:b/>
        </w:rPr>
        <w:t>FIPUG:</w:t>
      </w:r>
      <w:r>
        <w:rPr>
          <w:b/>
        </w:rPr>
        <w:tab/>
      </w:r>
      <w:r w:rsidR="008E1978" w:rsidRPr="00BE2300">
        <w:rPr>
          <w:bCs/>
        </w:rPr>
        <w:t>Adopt position of OPC.</w:t>
      </w:r>
    </w:p>
    <w:p w14:paraId="5F11991D" w14:textId="77777777" w:rsidR="00A4526E" w:rsidRPr="0029161C" w:rsidRDefault="00A4526E" w:rsidP="00A4526E">
      <w:pPr>
        <w:jc w:val="both"/>
      </w:pPr>
    </w:p>
    <w:p w14:paraId="412BC44D" w14:textId="77777777" w:rsidR="00A4526E" w:rsidRDefault="00A4526E" w:rsidP="00A4526E">
      <w:pPr>
        <w:ind w:left="1440" w:hanging="1440"/>
        <w:jc w:val="both"/>
        <w:rPr>
          <w:b/>
          <w:bCs/>
        </w:rPr>
      </w:pPr>
      <w:r w:rsidRPr="0029161C">
        <w:rPr>
          <w:b/>
          <w:bCs/>
        </w:rPr>
        <w:t>STAFF:</w:t>
      </w:r>
      <w:r w:rsidRPr="0029161C">
        <w:rPr>
          <w:b/>
          <w:bCs/>
        </w:rPr>
        <w:tab/>
      </w:r>
      <w:r w:rsidR="008B3A6B">
        <w:t>Staff has no position at this time.</w:t>
      </w:r>
    </w:p>
    <w:p w14:paraId="4716A4D9" w14:textId="77777777" w:rsidR="00A4526E" w:rsidRDefault="00A4526E" w:rsidP="00A4526E">
      <w:pPr>
        <w:ind w:left="1440" w:hanging="1440"/>
        <w:jc w:val="both"/>
        <w:rPr>
          <w:b/>
          <w:bCs/>
        </w:rPr>
      </w:pPr>
    </w:p>
    <w:p w14:paraId="4ABF01BB" w14:textId="77777777" w:rsidR="00A4526E" w:rsidRDefault="00A4526E" w:rsidP="00A4526E">
      <w:pPr>
        <w:ind w:left="1440" w:hanging="1440"/>
        <w:jc w:val="both"/>
        <w:rPr>
          <w:b/>
          <w:bCs/>
        </w:rPr>
      </w:pPr>
    </w:p>
    <w:p w14:paraId="1CB2482A" w14:textId="77777777" w:rsidR="00A4526E" w:rsidRPr="0029161C" w:rsidRDefault="00A4526E" w:rsidP="00A4526E">
      <w:pPr>
        <w:ind w:left="1440" w:hanging="1440"/>
        <w:jc w:val="both"/>
      </w:pPr>
      <w:r>
        <w:rPr>
          <w:b/>
          <w:bCs/>
        </w:rPr>
        <w:t>ISSUE 7</w:t>
      </w:r>
      <w:r w:rsidRPr="0029161C">
        <w:rPr>
          <w:b/>
          <w:bCs/>
        </w:rPr>
        <w:t>:</w:t>
      </w:r>
      <w:r w:rsidRPr="0029161C">
        <w:tab/>
      </w:r>
      <w:r w:rsidR="00BD6CBA" w:rsidRPr="006611E9">
        <w:rPr>
          <w:b/>
        </w:rPr>
        <w:t>What depreciation parameters (remaining life, net salvage percentage, and reserve percentage) and resulting depreciation rates for each distribution and general plant account should be approved?</w:t>
      </w:r>
    </w:p>
    <w:p w14:paraId="7E8735F1" w14:textId="77777777" w:rsidR="00A4526E" w:rsidRPr="0029161C" w:rsidRDefault="00A4526E" w:rsidP="00A4526E">
      <w:pPr>
        <w:jc w:val="both"/>
      </w:pPr>
    </w:p>
    <w:p w14:paraId="242D51B8" w14:textId="77777777" w:rsidR="00A4526E" w:rsidRPr="0029161C" w:rsidRDefault="00A4526E" w:rsidP="00A4526E">
      <w:pPr>
        <w:ind w:left="1440" w:hanging="1440"/>
        <w:jc w:val="both"/>
      </w:pPr>
      <w:r>
        <w:rPr>
          <w:b/>
          <w:bCs/>
        </w:rPr>
        <w:t>PGS</w:t>
      </w:r>
      <w:r w:rsidRPr="0029161C">
        <w:rPr>
          <w:b/>
          <w:bCs/>
        </w:rPr>
        <w:t>:</w:t>
      </w:r>
      <w:r w:rsidRPr="0029161C">
        <w:tab/>
      </w:r>
      <w:r w:rsidR="00B3055D" w:rsidRPr="00F71D16">
        <w:t>The appropriate depreciation parameters and rates are those set forth in the depreciation study submitted as Exhibit DAW-</w:t>
      </w:r>
      <w:r w:rsidR="00B3055D">
        <w:t>2</w:t>
      </w:r>
      <w:r w:rsidR="00B3055D" w:rsidRPr="00F71D16">
        <w:t xml:space="preserve"> </w:t>
      </w:r>
      <w:r w:rsidR="00C810C8">
        <w:t xml:space="preserve">(Document No. 2) </w:t>
      </w:r>
      <w:r w:rsidR="00B3055D" w:rsidRPr="00F71D16">
        <w:t xml:space="preserve">to the </w:t>
      </w:r>
      <w:r w:rsidR="00B3055D">
        <w:t xml:space="preserve">rebuttal </w:t>
      </w:r>
      <w:r w:rsidR="00B3055D" w:rsidRPr="00F71D16">
        <w:t xml:space="preserve">testimony of Dane Watson. </w:t>
      </w:r>
      <w:r w:rsidR="00B3055D">
        <w:t xml:space="preserve">The Commission should reject the five life parameter changes proposed by OPC. </w:t>
      </w:r>
      <w:r w:rsidR="00B3055D" w:rsidRPr="00F71D16">
        <w:t>(Watson)</w:t>
      </w:r>
    </w:p>
    <w:p w14:paraId="79A4BA5C" w14:textId="77777777" w:rsidR="00A4526E" w:rsidRPr="0029161C" w:rsidRDefault="00A4526E" w:rsidP="00A4526E">
      <w:pPr>
        <w:jc w:val="both"/>
      </w:pPr>
    </w:p>
    <w:p w14:paraId="3F8E564E" w14:textId="77777777" w:rsidR="00A4526E" w:rsidRDefault="00A4526E" w:rsidP="00A4526E">
      <w:pPr>
        <w:ind w:left="1440" w:hanging="1440"/>
        <w:jc w:val="both"/>
      </w:pPr>
      <w:r>
        <w:rPr>
          <w:b/>
          <w:bCs/>
        </w:rPr>
        <w:t>OPC</w:t>
      </w:r>
      <w:r w:rsidRPr="0029161C">
        <w:rPr>
          <w:b/>
          <w:bCs/>
        </w:rPr>
        <w:t>:</w:t>
      </w:r>
      <w:r>
        <w:tab/>
      </w:r>
      <w:r w:rsidR="00537D68" w:rsidRPr="00DA1651">
        <w:t>The depreciation parameters and resulting depreciation rates are shown in OPC Witness Garrett’s testimony and Exhibits DJG-18 and DJG-24 – DJG-26. (</w:t>
      </w:r>
      <w:r w:rsidR="00537D68" w:rsidRPr="00117478">
        <w:t>Garrett)</w:t>
      </w:r>
    </w:p>
    <w:p w14:paraId="5291C3FA" w14:textId="77777777" w:rsidR="00A4526E" w:rsidRDefault="00A4526E" w:rsidP="00A4526E">
      <w:pPr>
        <w:jc w:val="both"/>
      </w:pPr>
    </w:p>
    <w:p w14:paraId="3D183F43" w14:textId="77777777" w:rsidR="00A4526E" w:rsidRPr="00A4526E" w:rsidRDefault="00A4526E" w:rsidP="00A4526E">
      <w:pPr>
        <w:ind w:left="1440" w:hanging="1440"/>
        <w:jc w:val="both"/>
      </w:pPr>
      <w:r>
        <w:rPr>
          <w:b/>
        </w:rPr>
        <w:t>FIPUG:</w:t>
      </w:r>
      <w:r>
        <w:rPr>
          <w:b/>
        </w:rPr>
        <w:tab/>
      </w:r>
      <w:r w:rsidR="008E1978" w:rsidRPr="00BE2300">
        <w:rPr>
          <w:bCs/>
        </w:rPr>
        <w:t>Adopt position of OPC.</w:t>
      </w:r>
    </w:p>
    <w:p w14:paraId="663FC754" w14:textId="77777777" w:rsidR="00A4526E" w:rsidRPr="0029161C" w:rsidRDefault="00A4526E" w:rsidP="00A4526E">
      <w:pPr>
        <w:jc w:val="both"/>
      </w:pPr>
    </w:p>
    <w:p w14:paraId="37CEC120" w14:textId="77777777" w:rsidR="00A4526E" w:rsidRPr="0029161C" w:rsidRDefault="00A4526E" w:rsidP="00A4526E">
      <w:pPr>
        <w:ind w:left="1440" w:hanging="1440"/>
        <w:jc w:val="both"/>
        <w:rPr>
          <w:b/>
          <w:bCs/>
        </w:rPr>
      </w:pPr>
      <w:r w:rsidRPr="0029161C">
        <w:rPr>
          <w:b/>
          <w:bCs/>
        </w:rPr>
        <w:t>STAFF:</w:t>
      </w:r>
      <w:r w:rsidRPr="0029161C">
        <w:rPr>
          <w:b/>
          <w:bCs/>
        </w:rPr>
        <w:tab/>
      </w:r>
      <w:r w:rsidR="008B3A6B">
        <w:t>Staff has no position at this time.</w:t>
      </w:r>
    </w:p>
    <w:p w14:paraId="11D3B9C7" w14:textId="77777777" w:rsidR="00A4526E" w:rsidRPr="0029161C" w:rsidRDefault="00A4526E" w:rsidP="00A4526E">
      <w:pPr>
        <w:jc w:val="both"/>
      </w:pPr>
    </w:p>
    <w:p w14:paraId="028AAFE8" w14:textId="77777777" w:rsidR="0008774E" w:rsidRDefault="0008774E" w:rsidP="00A4526E">
      <w:pPr>
        <w:jc w:val="both"/>
      </w:pPr>
    </w:p>
    <w:p w14:paraId="23C04392" w14:textId="0B2851D2" w:rsidR="00A4526E" w:rsidRDefault="00A4526E" w:rsidP="00EC4766">
      <w:pPr>
        <w:ind w:left="1440" w:hanging="1440"/>
        <w:jc w:val="both"/>
        <w:rPr>
          <w:b/>
        </w:rPr>
      </w:pPr>
      <w:r>
        <w:rPr>
          <w:b/>
          <w:bCs/>
        </w:rPr>
        <w:t>ISSUE 8</w:t>
      </w:r>
      <w:r w:rsidRPr="0029161C">
        <w:rPr>
          <w:b/>
          <w:bCs/>
        </w:rPr>
        <w:t>:</w:t>
      </w:r>
      <w:r w:rsidRPr="0029161C">
        <w:tab/>
      </w:r>
      <w:r w:rsidR="00EC4766">
        <w:rPr>
          <w:b/>
        </w:rPr>
        <w:t>Proposed Type 2 Stipulation; see Section X.</w:t>
      </w:r>
    </w:p>
    <w:p w14:paraId="24D7A115" w14:textId="77777777" w:rsidR="00EC4766" w:rsidRPr="0029161C" w:rsidRDefault="00EC4766" w:rsidP="00EC4766">
      <w:pPr>
        <w:ind w:left="1440" w:hanging="1440"/>
        <w:jc w:val="both"/>
        <w:rPr>
          <w:b/>
          <w:bCs/>
        </w:rPr>
      </w:pPr>
    </w:p>
    <w:p w14:paraId="21ED0930" w14:textId="77777777" w:rsidR="00A4526E" w:rsidRPr="0029161C" w:rsidRDefault="00A4526E" w:rsidP="00A4526E">
      <w:pPr>
        <w:jc w:val="both"/>
      </w:pPr>
    </w:p>
    <w:p w14:paraId="1D86456A" w14:textId="77777777" w:rsidR="008B07F9" w:rsidRPr="0029161C" w:rsidRDefault="008B07F9" w:rsidP="008B07F9">
      <w:pPr>
        <w:ind w:left="1440" w:hanging="1440"/>
        <w:jc w:val="both"/>
      </w:pPr>
      <w:r>
        <w:rPr>
          <w:b/>
          <w:bCs/>
        </w:rPr>
        <w:lastRenderedPageBreak/>
        <w:t>ISSUE 9</w:t>
      </w:r>
      <w:r w:rsidRPr="0029161C">
        <w:rPr>
          <w:b/>
          <w:bCs/>
        </w:rPr>
        <w:t>:</w:t>
      </w:r>
      <w:r w:rsidRPr="0029161C">
        <w:tab/>
      </w:r>
      <w:r w:rsidR="00BD6CBA" w:rsidRPr="006611E9">
        <w:rPr>
          <w:b/>
        </w:rPr>
        <w:t>Based on the application of the depreciation parameters to PGS’s data that the Commission has adopted, and a comparison of the theoretical reserves to the book reserves, what, if any, are the resulting</w:t>
      </w:r>
      <w:r w:rsidR="00BD6CBA" w:rsidRPr="006611E9">
        <w:rPr>
          <w:b/>
          <w:spacing w:val="-17"/>
        </w:rPr>
        <w:t xml:space="preserve"> </w:t>
      </w:r>
      <w:r w:rsidR="00BD6CBA" w:rsidRPr="006611E9">
        <w:rPr>
          <w:b/>
        </w:rPr>
        <w:t>imbalances?</w:t>
      </w:r>
    </w:p>
    <w:p w14:paraId="4321B838" w14:textId="77777777" w:rsidR="008B07F9" w:rsidRPr="0029161C" w:rsidRDefault="008B07F9" w:rsidP="008B07F9">
      <w:pPr>
        <w:jc w:val="both"/>
      </w:pPr>
    </w:p>
    <w:p w14:paraId="7FA50578" w14:textId="77777777" w:rsidR="008B07F9" w:rsidRPr="0029161C" w:rsidRDefault="008B07F9" w:rsidP="008B07F9">
      <w:pPr>
        <w:ind w:left="1440" w:hanging="1440"/>
        <w:jc w:val="both"/>
      </w:pPr>
      <w:r>
        <w:rPr>
          <w:b/>
          <w:bCs/>
        </w:rPr>
        <w:t>PGS</w:t>
      </w:r>
      <w:r w:rsidRPr="0029161C">
        <w:rPr>
          <w:b/>
          <w:bCs/>
        </w:rPr>
        <w:t>:</w:t>
      </w:r>
      <w:r w:rsidRPr="0029161C">
        <w:tab/>
      </w:r>
      <w:r w:rsidR="00B3055D" w:rsidRPr="00F71D16">
        <w:t>The appropriate theoretical reserve imbalance is a surplus of $</w:t>
      </w:r>
      <w:r w:rsidR="00035E63">
        <w:t>160.4</w:t>
      </w:r>
      <w:r w:rsidR="00B3055D" w:rsidRPr="00F71D16">
        <w:t xml:space="preserve"> million as of December 31, 202</w:t>
      </w:r>
      <w:r w:rsidR="00C810C8">
        <w:t>3</w:t>
      </w:r>
      <w:r w:rsidR="00B3055D" w:rsidRPr="00F71D16">
        <w:t xml:space="preserve"> based on the recommended life and net salvage parameters as reflected in Exhibit DAW-2. (Watson)</w:t>
      </w:r>
    </w:p>
    <w:p w14:paraId="78CFD795" w14:textId="77777777" w:rsidR="008B07F9" w:rsidRPr="0029161C" w:rsidRDefault="008B07F9" w:rsidP="008B07F9">
      <w:pPr>
        <w:jc w:val="both"/>
      </w:pPr>
    </w:p>
    <w:p w14:paraId="588E6D3B" w14:textId="77777777" w:rsidR="008B07F9" w:rsidRDefault="008B07F9" w:rsidP="008B07F9">
      <w:pPr>
        <w:ind w:left="1440" w:hanging="1440"/>
        <w:jc w:val="both"/>
      </w:pPr>
      <w:r>
        <w:rPr>
          <w:b/>
          <w:bCs/>
        </w:rPr>
        <w:t>OPC</w:t>
      </w:r>
      <w:r w:rsidRPr="0029161C">
        <w:rPr>
          <w:b/>
          <w:bCs/>
        </w:rPr>
        <w:t>:</w:t>
      </w:r>
      <w:r>
        <w:tab/>
      </w:r>
      <w:r w:rsidR="00537D68">
        <w:t xml:space="preserve">Based on the primary OPC expert recommendation, the resulting reserve imbalance is a surplus of </w:t>
      </w:r>
      <w:r w:rsidR="00537D68">
        <w:rPr>
          <w:sz w:val="23"/>
          <w:szCs w:val="23"/>
        </w:rPr>
        <w:t>$221.024 million. For the other resulting imbalances based on different scenarios, s</w:t>
      </w:r>
      <w:r w:rsidR="00537D68">
        <w:t>ee also OPC witness Garrett’s exhibits DJG-22, DJG-23, DJG-27. (Garrett and Kollen)</w:t>
      </w:r>
    </w:p>
    <w:p w14:paraId="6B01653F" w14:textId="77777777" w:rsidR="008B07F9" w:rsidRDefault="008B07F9" w:rsidP="008B07F9">
      <w:pPr>
        <w:jc w:val="both"/>
      </w:pPr>
    </w:p>
    <w:p w14:paraId="2F96028C" w14:textId="77777777" w:rsidR="008B07F9" w:rsidRPr="00A4526E" w:rsidRDefault="008B07F9" w:rsidP="008B07F9">
      <w:pPr>
        <w:ind w:left="1440" w:hanging="1440"/>
        <w:jc w:val="both"/>
      </w:pPr>
      <w:r>
        <w:rPr>
          <w:b/>
        </w:rPr>
        <w:t>FIPUG:</w:t>
      </w:r>
      <w:r>
        <w:rPr>
          <w:b/>
        </w:rPr>
        <w:tab/>
      </w:r>
      <w:r w:rsidR="008E1978" w:rsidRPr="00BE2300">
        <w:rPr>
          <w:bCs/>
        </w:rPr>
        <w:t>Adopt position of OPC.</w:t>
      </w:r>
    </w:p>
    <w:p w14:paraId="28EC74A0" w14:textId="77777777" w:rsidR="008B07F9" w:rsidRPr="0029161C" w:rsidRDefault="008B07F9" w:rsidP="008B07F9">
      <w:pPr>
        <w:jc w:val="both"/>
      </w:pPr>
    </w:p>
    <w:p w14:paraId="1242E7B5" w14:textId="77777777" w:rsidR="008B07F9" w:rsidRPr="0029161C" w:rsidRDefault="008B07F9" w:rsidP="008B07F9">
      <w:pPr>
        <w:ind w:left="1440" w:hanging="1440"/>
        <w:jc w:val="both"/>
        <w:rPr>
          <w:b/>
          <w:bCs/>
        </w:rPr>
      </w:pPr>
      <w:r w:rsidRPr="0029161C">
        <w:rPr>
          <w:b/>
          <w:bCs/>
        </w:rPr>
        <w:t>STAFF:</w:t>
      </w:r>
      <w:r w:rsidRPr="0029161C">
        <w:rPr>
          <w:b/>
          <w:bCs/>
        </w:rPr>
        <w:tab/>
      </w:r>
      <w:r w:rsidR="008B3A6B">
        <w:t>Staff has no position at this time.</w:t>
      </w:r>
    </w:p>
    <w:p w14:paraId="2BBFCC78" w14:textId="77777777" w:rsidR="008B07F9" w:rsidRPr="0029161C" w:rsidRDefault="008B07F9" w:rsidP="008B07F9">
      <w:pPr>
        <w:jc w:val="both"/>
      </w:pPr>
    </w:p>
    <w:p w14:paraId="7813D688" w14:textId="77777777" w:rsidR="008B07F9" w:rsidRPr="0029161C" w:rsidRDefault="008B07F9" w:rsidP="008B07F9">
      <w:pPr>
        <w:jc w:val="both"/>
      </w:pPr>
    </w:p>
    <w:p w14:paraId="2C1A0F6D" w14:textId="77777777" w:rsidR="008B07F9" w:rsidRPr="0029161C" w:rsidRDefault="008B07F9" w:rsidP="008B07F9">
      <w:pPr>
        <w:ind w:left="1440" w:hanging="1440"/>
        <w:jc w:val="both"/>
      </w:pPr>
      <w:r w:rsidRPr="0029161C">
        <w:rPr>
          <w:b/>
          <w:bCs/>
        </w:rPr>
        <w:t>ISSUE 1</w:t>
      </w:r>
      <w:r>
        <w:rPr>
          <w:b/>
          <w:bCs/>
        </w:rPr>
        <w:t>0</w:t>
      </w:r>
      <w:r w:rsidRPr="0029161C">
        <w:rPr>
          <w:b/>
          <w:bCs/>
        </w:rPr>
        <w:t>:</w:t>
      </w:r>
      <w:r w:rsidRPr="0029161C">
        <w:tab/>
      </w:r>
      <w:r w:rsidR="00D2397D" w:rsidRPr="006611E9">
        <w:rPr>
          <w:b/>
        </w:rPr>
        <w:t>What, if any, corrective depreciation reserve measures should be taken with respect to any imbalances identified in Issue 9?</w:t>
      </w:r>
    </w:p>
    <w:p w14:paraId="7ECE9159" w14:textId="77777777" w:rsidR="008B07F9" w:rsidRPr="0029161C" w:rsidRDefault="008B07F9" w:rsidP="008B07F9">
      <w:pPr>
        <w:jc w:val="both"/>
      </w:pPr>
    </w:p>
    <w:p w14:paraId="55AB11D8" w14:textId="77777777" w:rsidR="008B07F9" w:rsidRPr="0029161C" w:rsidRDefault="008B07F9" w:rsidP="008B07F9">
      <w:pPr>
        <w:ind w:left="1440" w:hanging="1440"/>
        <w:jc w:val="both"/>
      </w:pPr>
      <w:r>
        <w:rPr>
          <w:b/>
          <w:bCs/>
        </w:rPr>
        <w:t>PGS</w:t>
      </w:r>
      <w:r w:rsidRPr="0029161C">
        <w:rPr>
          <w:b/>
          <w:bCs/>
        </w:rPr>
        <w:t>:</w:t>
      </w:r>
      <w:r w:rsidRPr="0029161C">
        <w:tab/>
      </w:r>
      <w:r w:rsidR="000B36A2" w:rsidRPr="00F71D16">
        <w:t xml:space="preserve">The surplus </w:t>
      </w:r>
      <w:r w:rsidR="000B36A2" w:rsidRPr="00D9045F">
        <w:rPr>
          <w:color w:val="000000"/>
          <w:kern w:val="2"/>
          <w:szCs w:val="22"/>
          <w14:ligatures w14:val="standardContextual"/>
        </w:rPr>
        <w:t>should</w:t>
      </w:r>
      <w:r w:rsidR="000B36A2" w:rsidRPr="00F71D16">
        <w:t xml:space="preserve"> be amortized over the remaining life of the assets. (Watson, Parsons)</w:t>
      </w:r>
    </w:p>
    <w:p w14:paraId="1ED877E4" w14:textId="77777777" w:rsidR="008B07F9" w:rsidRPr="0029161C" w:rsidRDefault="008B07F9" w:rsidP="008B07F9">
      <w:pPr>
        <w:jc w:val="both"/>
      </w:pPr>
    </w:p>
    <w:p w14:paraId="717C394C" w14:textId="77777777" w:rsidR="008B07F9" w:rsidRDefault="008B07F9" w:rsidP="008B07F9">
      <w:pPr>
        <w:ind w:left="1440" w:hanging="1440"/>
        <w:jc w:val="both"/>
      </w:pPr>
      <w:r>
        <w:rPr>
          <w:b/>
          <w:bCs/>
        </w:rPr>
        <w:t>OPC</w:t>
      </w:r>
      <w:r w:rsidRPr="0029161C">
        <w:rPr>
          <w:b/>
          <w:bCs/>
        </w:rPr>
        <w:t>:</w:t>
      </w:r>
      <w:r>
        <w:tab/>
      </w:r>
      <w:r w:rsidR="00537D68">
        <w:t xml:space="preserve">The reserve imbalances resulting as described in Issue 9 should be amortized over 10 years as explained in the testimony of OPC witnesses Garrett and Kollen. </w:t>
      </w:r>
      <w:r w:rsidR="00537D68" w:rsidRPr="00375692">
        <w:t>(</w:t>
      </w:r>
      <w:r w:rsidR="00537D68">
        <w:t xml:space="preserve">Kollen and </w:t>
      </w:r>
      <w:r w:rsidR="00537D68" w:rsidRPr="00375692">
        <w:t>Garrett)</w:t>
      </w:r>
    </w:p>
    <w:p w14:paraId="45AEFFC9" w14:textId="77777777" w:rsidR="008B07F9" w:rsidRDefault="008B07F9" w:rsidP="008B07F9">
      <w:pPr>
        <w:jc w:val="both"/>
      </w:pPr>
    </w:p>
    <w:p w14:paraId="6597A081" w14:textId="77777777" w:rsidR="008B07F9" w:rsidRPr="00A4526E" w:rsidRDefault="008B07F9" w:rsidP="008B07F9">
      <w:pPr>
        <w:ind w:left="1440" w:hanging="1440"/>
        <w:jc w:val="both"/>
      </w:pPr>
      <w:r>
        <w:rPr>
          <w:b/>
        </w:rPr>
        <w:t>FIPUG:</w:t>
      </w:r>
      <w:r>
        <w:rPr>
          <w:b/>
        </w:rPr>
        <w:tab/>
      </w:r>
      <w:r w:rsidR="008E1978" w:rsidRPr="00BE2300">
        <w:rPr>
          <w:bCs/>
        </w:rPr>
        <w:t>Adopt position of OPC.</w:t>
      </w:r>
    </w:p>
    <w:p w14:paraId="04F55094" w14:textId="77777777" w:rsidR="008B07F9" w:rsidRPr="0029161C" w:rsidRDefault="008B07F9" w:rsidP="008B07F9">
      <w:pPr>
        <w:jc w:val="both"/>
      </w:pPr>
    </w:p>
    <w:p w14:paraId="5220FDD4" w14:textId="77777777" w:rsidR="008B07F9" w:rsidRPr="0029161C" w:rsidRDefault="008B07F9" w:rsidP="008B07F9">
      <w:pPr>
        <w:ind w:left="1440" w:hanging="1440"/>
        <w:jc w:val="both"/>
        <w:rPr>
          <w:b/>
          <w:bCs/>
        </w:rPr>
      </w:pPr>
      <w:r w:rsidRPr="0029161C">
        <w:rPr>
          <w:b/>
          <w:bCs/>
        </w:rPr>
        <w:t>STAFF:</w:t>
      </w:r>
      <w:r w:rsidRPr="0029161C">
        <w:rPr>
          <w:b/>
          <w:bCs/>
        </w:rPr>
        <w:tab/>
      </w:r>
      <w:r w:rsidR="008B3A6B">
        <w:t>Staff has no position at this time.</w:t>
      </w:r>
    </w:p>
    <w:p w14:paraId="56B69378" w14:textId="77777777" w:rsidR="008B07F9" w:rsidRPr="0029161C" w:rsidRDefault="008B07F9" w:rsidP="008B07F9">
      <w:pPr>
        <w:jc w:val="both"/>
      </w:pPr>
    </w:p>
    <w:p w14:paraId="35443A30" w14:textId="77777777" w:rsidR="008B07F9" w:rsidRPr="0029161C" w:rsidRDefault="008B07F9" w:rsidP="008B07F9">
      <w:pPr>
        <w:jc w:val="both"/>
      </w:pPr>
    </w:p>
    <w:p w14:paraId="157903E1" w14:textId="77777777" w:rsidR="008B07F9" w:rsidRPr="0029161C" w:rsidRDefault="008B07F9" w:rsidP="008B07F9">
      <w:pPr>
        <w:ind w:left="1440" w:hanging="1440"/>
        <w:jc w:val="both"/>
      </w:pPr>
      <w:r w:rsidRPr="0029161C">
        <w:rPr>
          <w:b/>
          <w:bCs/>
        </w:rPr>
        <w:t>ISSUE 1</w:t>
      </w:r>
      <w:r>
        <w:rPr>
          <w:b/>
          <w:bCs/>
        </w:rPr>
        <w:t>1</w:t>
      </w:r>
      <w:r w:rsidRPr="0029161C">
        <w:rPr>
          <w:b/>
          <w:bCs/>
        </w:rPr>
        <w:t>:</w:t>
      </w:r>
      <w:r w:rsidRPr="0029161C">
        <w:tab/>
      </w:r>
      <w:r w:rsidR="00D2397D" w:rsidRPr="006611E9">
        <w:rPr>
          <w:b/>
        </w:rPr>
        <w:t>What should be the implementation date for revised depreciation rates, capital recovery schedules, and amortization</w:t>
      </w:r>
      <w:r w:rsidR="00D2397D" w:rsidRPr="006611E9">
        <w:rPr>
          <w:b/>
          <w:spacing w:val="-13"/>
        </w:rPr>
        <w:t xml:space="preserve"> </w:t>
      </w:r>
      <w:r w:rsidR="00D2397D" w:rsidRPr="006611E9">
        <w:rPr>
          <w:b/>
        </w:rPr>
        <w:t>schedules?</w:t>
      </w:r>
    </w:p>
    <w:p w14:paraId="5E968A4E" w14:textId="77777777" w:rsidR="008B07F9" w:rsidRPr="0029161C" w:rsidRDefault="008B07F9" w:rsidP="008B07F9">
      <w:pPr>
        <w:jc w:val="both"/>
      </w:pPr>
    </w:p>
    <w:p w14:paraId="5044BBAF" w14:textId="77777777" w:rsidR="008B07F9" w:rsidRPr="0029161C" w:rsidRDefault="008B07F9" w:rsidP="008B07F9">
      <w:pPr>
        <w:ind w:left="1440" w:hanging="1440"/>
        <w:jc w:val="both"/>
      </w:pPr>
      <w:r>
        <w:rPr>
          <w:b/>
          <w:bCs/>
        </w:rPr>
        <w:t>PGS</w:t>
      </w:r>
      <w:r w:rsidRPr="0029161C">
        <w:rPr>
          <w:b/>
          <w:bCs/>
        </w:rPr>
        <w:t>:</w:t>
      </w:r>
      <w:r w:rsidRPr="0029161C">
        <w:tab/>
      </w:r>
      <w:r w:rsidR="000B36A2" w:rsidRPr="00F71D16">
        <w:t>The implementation date should be January 1, 2024. (</w:t>
      </w:r>
      <w:r w:rsidR="000B36A2" w:rsidRPr="00D9045F">
        <w:rPr>
          <w:color w:val="000000"/>
          <w:kern w:val="2"/>
          <w:szCs w:val="22"/>
          <w14:ligatures w14:val="standardContextual"/>
        </w:rPr>
        <w:t>Parsons</w:t>
      </w:r>
      <w:r w:rsidR="000B36A2" w:rsidRPr="00F71D16">
        <w:t>, Watson)</w:t>
      </w:r>
    </w:p>
    <w:p w14:paraId="77E1113F" w14:textId="77777777" w:rsidR="008B07F9" w:rsidRPr="0029161C" w:rsidRDefault="008B07F9" w:rsidP="008B07F9">
      <w:pPr>
        <w:jc w:val="both"/>
      </w:pPr>
    </w:p>
    <w:p w14:paraId="105F9494" w14:textId="77777777" w:rsidR="008B07F9" w:rsidRDefault="008B07F9" w:rsidP="008B07F9">
      <w:pPr>
        <w:ind w:left="1440" w:hanging="1440"/>
        <w:jc w:val="both"/>
      </w:pPr>
      <w:r>
        <w:rPr>
          <w:b/>
          <w:bCs/>
        </w:rPr>
        <w:t>OPC</w:t>
      </w:r>
      <w:r w:rsidRPr="0029161C">
        <w:rPr>
          <w:b/>
          <w:bCs/>
        </w:rPr>
        <w:t>:</w:t>
      </w:r>
      <w:r>
        <w:tab/>
      </w:r>
      <w:r w:rsidR="00537D68" w:rsidRPr="00375692">
        <w:t>The depreciation parameters and resulting depreciation rates are as shown in OPC Witness Garrett’s testimony and exhibits and should be implemented upon approval by the Commission, effective January 1, 2024. (Garrett)</w:t>
      </w:r>
    </w:p>
    <w:p w14:paraId="3DD39A74" w14:textId="77777777" w:rsidR="008B07F9" w:rsidRDefault="008B07F9" w:rsidP="008B07F9">
      <w:pPr>
        <w:jc w:val="both"/>
      </w:pPr>
    </w:p>
    <w:p w14:paraId="79D91FD1" w14:textId="77777777" w:rsidR="008B07F9" w:rsidRPr="00A4526E" w:rsidRDefault="008B07F9" w:rsidP="008B07F9">
      <w:pPr>
        <w:ind w:left="1440" w:hanging="1440"/>
        <w:jc w:val="both"/>
      </w:pPr>
      <w:r>
        <w:rPr>
          <w:b/>
        </w:rPr>
        <w:t>FIPUG:</w:t>
      </w:r>
      <w:r>
        <w:rPr>
          <w:b/>
        </w:rPr>
        <w:tab/>
      </w:r>
      <w:r w:rsidR="008E1978" w:rsidRPr="00BE2300">
        <w:rPr>
          <w:bCs/>
        </w:rPr>
        <w:t>Adopt position of OPC.</w:t>
      </w:r>
    </w:p>
    <w:p w14:paraId="19A6804D" w14:textId="77777777" w:rsidR="008B07F9" w:rsidRPr="0029161C" w:rsidRDefault="008B07F9" w:rsidP="008B07F9">
      <w:pPr>
        <w:jc w:val="both"/>
      </w:pPr>
    </w:p>
    <w:p w14:paraId="2394C8B1" w14:textId="4F487B90" w:rsidR="008B07F9" w:rsidRDefault="008B07F9" w:rsidP="008B07F9">
      <w:pPr>
        <w:ind w:left="1440" w:hanging="1440"/>
        <w:jc w:val="both"/>
      </w:pPr>
      <w:r w:rsidRPr="0029161C">
        <w:rPr>
          <w:b/>
          <w:bCs/>
        </w:rPr>
        <w:t>STAFF:</w:t>
      </w:r>
      <w:r w:rsidRPr="0029161C">
        <w:rPr>
          <w:b/>
          <w:bCs/>
        </w:rPr>
        <w:tab/>
      </w:r>
      <w:r w:rsidR="008B3A6B">
        <w:t>Staff has no position at this time.</w:t>
      </w:r>
    </w:p>
    <w:p w14:paraId="1DE3E30D" w14:textId="77777777" w:rsidR="00D2397D" w:rsidRPr="0029161C" w:rsidRDefault="00D2397D" w:rsidP="00D2397D">
      <w:pPr>
        <w:jc w:val="center"/>
      </w:pPr>
      <w:r>
        <w:rPr>
          <w:b/>
          <w:u w:val="single"/>
        </w:rPr>
        <w:lastRenderedPageBreak/>
        <w:t>RATE BASE</w:t>
      </w:r>
    </w:p>
    <w:p w14:paraId="4A8A3EC4" w14:textId="77777777" w:rsidR="008B07F9" w:rsidRPr="0029161C" w:rsidRDefault="008B07F9" w:rsidP="008B07F9">
      <w:pPr>
        <w:jc w:val="both"/>
      </w:pPr>
    </w:p>
    <w:p w14:paraId="3496C543" w14:textId="1E4D6B8E" w:rsidR="008B07F9" w:rsidRPr="0029161C" w:rsidRDefault="008B07F9" w:rsidP="008B07F9">
      <w:pPr>
        <w:ind w:left="1440" w:hanging="1440"/>
        <w:jc w:val="both"/>
      </w:pPr>
      <w:r w:rsidRPr="0029161C">
        <w:rPr>
          <w:b/>
          <w:bCs/>
        </w:rPr>
        <w:t>ISSUE 1</w:t>
      </w:r>
      <w:r>
        <w:rPr>
          <w:b/>
          <w:bCs/>
        </w:rPr>
        <w:t>2</w:t>
      </w:r>
      <w:r w:rsidRPr="0029161C">
        <w:rPr>
          <w:b/>
          <w:bCs/>
        </w:rPr>
        <w:t>:</w:t>
      </w:r>
      <w:r w:rsidRPr="0029161C">
        <w:tab/>
      </w:r>
      <w:r w:rsidR="00EC4766">
        <w:rPr>
          <w:b/>
        </w:rPr>
        <w:t>Proposed Type 2 Stipulation; see Section X.</w:t>
      </w:r>
    </w:p>
    <w:p w14:paraId="0211B304" w14:textId="19AC87F7" w:rsidR="008B07F9" w:rsidRDefault="008B07F9" w:rsidP="008B07F9">
      <w:pPr>
        <w:jc w:val="both"/>
      </w:pPr>
    </w:p>
    <w:p w14:paraId="0AE8D265" w14:textId="77777777" w:rsidR="00EC4766" w:rsidRPr="0029161C" w:rsidRDefault="00EC4766" w:rsidP="008B07F9">
      <w:pPr>
        <w:jc w:val="both"/>
      </w:pPr>
    </w:p>
    <w:p w14:paraId="7C0D5B32" w14:textId="77777777" w:rsidR="008B07F9" w:rsidRPr="0029161C" w:rsidRDefault="008B07F9" w:rsidP="008B07F9">
      <w:pPr>
        <w:ind w:left="1440" w:hanging="1440"/>
        <w:jc w:val="both"/>
      </w:pPr>
      <w:r w:rsidRPr="0029161C">
        <w:rPr>
          <w:b/>
          <w:bCs/>
        </w:rPr>
        <w:t>ISSUE 1</w:t>
      </w:r>
      <w:r>
        <w:rPr>
          <w:b/>
          <w:bCs/>
        </w:rPr>
        <w:t>3</w:t>
      </w:r>
      <w:r w:rsidRPr="0029161C">
        <w:rPr>
          <w:b/>
          <w:bCs/>
        </w:rPr>
        <w:t>:</w:t>
      </w:r>
      <w:r w:rsidRPr="0029161C">
        <w:tab/>
      </w:r>
      <w:r w:rsidR="00D2397D" w:rsidRPr="006611E9">
        <w:rPr>
          <w:b/>
        </w:rPr>
        <w:t>Has PGS made the proper adjustments to remove all costs attributable to the operations of Seacoast Gas Transmission (SGT)? If not, what adjustments should be made?</w:t>
      </w:r>
    </w:p>
    <w:p w14:paraId="27707698" w14:textId="77777777" w:rsidR="008B07F9" w:rsidRPr="0029161C" w:rsidRDefault="008B07F9" w:rsidP="008B07F9">
      <w:pPr>
        <w:jc w:val="both"/>
      </w:pPr>
    </w:p>
    <w:p w14:paraId="20825F24" w14:textId="77777777" w:rsidR="008B07F9" w:rsidRPr="0029161C" w:rsidRDefault="008B07F9" w:rsidP="008B07F9">
      <w:pPr>
        <w:ind w:left="1440" w:hanging="1440"/>
        <w:jc w:val="both"/>
      </w:pPr>
      <w:r>
        <w:rPr>
          <w:b/>
          <w:bCs/>
        </w:rPr>
        <w:t>PGS</w:t>
      </w:r>
      <w:r w:rsidRPr="0029161C">
        <w:rPr>
          <w:b/>
          <w:bCs/>
        </w:rPr>
        <w:t>:</w:t>
      </w:r>
      <w:r w:rsidRPr="0029161C">
        <w:tab/>
      </w:r>
      <w:r w:rsidR="00035E63">
        <w:rPr>
          <w:color w:val="000000"/>
          <w:kern w:val="2"/>
          <w:szCs w:val="22"/>
          <w14:ligatures w14:val="standardContextual"/>
        </w:rPr>
        <w:t>Yes.</w:t>
      </w:r>
      <w:r w:rsidR="000B36A2">
        <w:rPr>
          <w:color w:val="000000"/>
          <w:kern w:val="2"/>
          <w:szCs w:val="22"/>
          <w14:ligatures w14:val="standardContextual"/>
        </w:rPr>
        <w:t xml:space="preserve"> </w:t>
      </w:r>
      <w:r w:rsidR="00035E63">
        <w:rPr>
          <w:color w:val="000000"/>
          <w:kern w:val="2"/>
          <w:szCs w:val="22"/>
          <w14:ligatures w14:val="standardContextual"/>
        </w:rPr>
        <w:t>I</w:t>
      </w:r>
      <w:r w:rsidR="000B36A2">
        <w:rPr>
          <w:color w:val="000000"/>
          <w:kern w:val="2"/>
          <w:szCs w:val="22"/>
          <w14:ligatures w14:val="standardContextual"/>
        </w:rPr>
        <w:t xml:space="preserve">n rebuttal testimony of Witness Parsons, the company has proposed an adjustment to its calculation of corporate overhead costs to SGT from PGS that would increase the allocation by $189,347, which is set forth in Exhibit RBP-2, Document No. 7. This adjustment is being proposed to revise the Modified Massachusetts Method (“MMM”) used for determining the overhead allocation to include directly charged payroll and benefit costs from the company and Tampa Electric. With no employees at SGT, the company has concluded an adjustment to the MMM calculation was appropriate to fairly allocate PGS overhead costs to SGT. </w:t>
      </w:r>
      <w:r w:rsidR="000B36A2" w:rsidRPr="00F71D16">
        <w:rPr>
          <w:color w:val="000000"/>
          <w:kern w:val="2"/>
          <w:szCs w:val="22"/>
          <w14:ligatures w14:val="standardContextual"/>
        </w:rPr>
        <w:t>(Parsons)</w:t>
      </w:r>
    </w:p>
    <w:p w14:paraId="4488AB37" w14:textId="77777777" w:rsidR="008B07F9" w:rsidRPr="0029161C" w:rsidRDefault="008B07F9" w:rsidP="008B07F9">
      <w:pPr>
        <w:jc w:val="both"/>
      </w:pPr>
    </w:p>
    <w:p w14:paraId="4A1D2D3A" w14:textId="77777777" w:rsidR="008B07F9" w:rsidRDefault="008B07F9" w:rsidP="008B07F9">
      <w:pPr>
        <w:ind w:left="1440" w:hanging="1440"/>
        <w:jc w:val="both"/>
      </w:pPr>
      <w:r>
        <w:rPr>
          <w:b/>
          <w:bCs/>
        </w:rPr>
        <w:t>OPC</w:t>
      </w:r>
      <w:r w:rsidRPr="0029161C">
        <w:rPr>
          <w:b/>
          <w:bCs/>
        </w:rPr>
        <w:t>:</w:t>
      </w:r>
      <w:r>
        <w:tab/>
      </w:r>
      <w:r w:rsidR="00537D68" w:rsidRPr="00375692">
        <w:t xml:space="preserve">PGS has not demonstrated that all costs attributable to </w:t>
      </w:r>
      <w:r w:rsidR="00537D68">
        <w:t>SGT</w:t>
      </w:r>
      <w:r w:rsidR="00537D68" w:rsidRPr="00375692">
        <w:t xml:space="preserve"> have been removed from the projected test year. </w:t>
      </w:r>
      <w:r w:rsidR="00537D68">
        <w:t>Stated another way, PGS has budgeted and forecast costs for recovery in rates that should have been allocated or attributed to SGT.</w:t>
      </w:r>
      <w:r w:rsidR="00537D68" w:rsidRPr="004F45EE">
        <w:t xml:space="preserve"> </w:t>
      </w:r>
      <w:r w:rsidR="00537D68">
        <w:t>Discovery is still pending on this issue.</w:t>
      </w:r>
      <w:r w:rsidR="00537D68" w:rsidRPr="004C3865">
        <w:t xml:space="preserve"> </w:t>
      </w:r>
      <w:r w:rsidR="00537D68" w:rsidRPr="00DA0A74">
        <w:t xml:space="preserve">OPC continues to work with PGS </w:t>
      </w:r>
      <w:r w:rsidR="00537D68">
        <w:t xml:space="preserve">to determine </w:t>
      </w:r>
      <w:r w:rsidR="00537D68" w:rsidRPr="00DA0A74">
        <w:t>a resolution to this issue.</w:t>
      </w:r>
    </w:p>
    <w:p w14:paraId="5C5CF883" w14:textId="77777777" w:rsidR="008B07F9" w:rsidRDefault="008B07F9" w:rsidP="008B07F9">
      <w:pPr>
        <w:jc w:val="both"/>
      </w:pPr>
    </w:p>
    <w:p w14:paraId="75B6AFC0" w14:textId="77777777" w:rsidR="008B07F9" w:rsidRPr="00A4526E" w:rsidRDefault="008B07F9" w:rsidP="008B07F9">
      <w:pPr>
        <w:ind w:left="1440" w:hanging="1440"/>
        <w:jc w:val="both"/>
      </w:pPr>
      <w:r>
        <w:rPr>
          <w:b/>
        </w:rPr>
        <w:t>FIPUG:</w:t>
      </w:r>
      <w:r>
        <w:rPr>
          <w:b/>
        </w:rPr>
        <w:tab/>
      </w:r>
      <w:r w:rsidR="008E1978" w:rsidRPr="00BE2300">
        <w:rPr>
          <w:bCs/>
        </w:rPr>
        <w:t>Adopt position of OPC.</w:t>
      </w:r>
    </w:p>
    <w:p w14:paraId="7C8143BF" w14:textId="77777777" w:rsidR="008B07F9" w:rsidRPr="0029161C" w:rsidRDefault="008B07F9" w:rsidP="008B07F9">
      <w:pPr>
        <w:jc w:val="both"/>
      </w:pPr>
    </w:p>
    <w:p w14:paraId="0610DEEA" w14:textId="77777777" w:rsidR="008B07F9" w:rsidRPr="0029161C" w:rsidRDefault="008B07F9" w:rsidP="008B07F9">
      <w:pPr>
        <w:ind w:left="1440" w:hanging="1440"/>
        <w:jc w:val="both"/>
        <w:rPr>
          <w:b/>
          <w:bCs/>
        </w:rPr>
      </w:pPr>
      <w:r w:rsidRPr="0029161C">
        <w:rPr>
          <w:b/>
          <w:bCs/>
        </w:rPr>
        <w:t>STAFF:</w:t>
      </w:r>
      <w:r w:rsidRPr="0029161C">
        <w:rPr>
          <w:b/>
          <w:bCs/>
        </w:rPr>
        <w:tab/>
      </w:r>
      <w:r w:rsidR="008B3A6B">
        <w:t>Staff has no position at this time.</w:t>
      </w:r>
    </w:p>
    <w:p w14:paraId="50447978" w14:textId="77777777" w:rsidR="008B07F9" w:rsidRPr="0029161C" w:rsidRDefault="008B07F9" w:rsidP="008B07F9">
      <w:pPr>
        <w:jc w:val="both"/>
      </w:pPr>
    </w:p>
    <w:p w14:paraId="6DF4CEDA" w14:textId="77777777" w:rsidR="008B07F9" w:rsidRPr="0029161C" w:rsidRDefault="008B07F9" w:rsidP="008B07F9">
      <w:pPr>
        <w:jc w:val="both"/>
      </w:pPr>
    </w:p>
    <w:p w14:paraId="23656F22" w14:textId="6C48895A" w:rsidR="008B07F9" w:rsidRDefault="008B07F9" w:rsidP="00EC4766">
      <w:pPr>
        <w:ind w:left="1440" w:hanging="1440"/>
        <w:jc w:val="both"/>
        <w:rPr>
          <w:b/>
        </w:rPr>
      </w:pPr>
      <w:r w:rsidRPr="0029161C">
        <w:rPr>
          <w:b/>
          <w:bCs/>
        </w:rPr>
        <w:t>ISSUE 1</w:t>
      </w:r>
      <w:r w:rsidR="003722B6">
        <w:rPr>
          <w:b/>
          <w:bCs/>
        </w:rPr>
        <w:t>4</w:t>
      </w:r>
      <w:r w:rsidRPr="0029161C">
        <w:rPr>
          <w:b/>
          <w:bCs/>
        </w:rPr>
        <w:t>:</w:t>
      </w:r>
      <w:r w:rsidRPr="0029161C">
        <w:tab/>
      </w:r>
      <w:r w:rsidR="00EC4766">
        <w:rPr>
          <w:b/>
        </w:rPr>
        <w:t>Proposed Type 2 Stipulation; see Section X.</w:t>
      </w:r>
    </w:p>
    <w:p w14:paraId="35CA2ABF" w14:textId="0DA8F510" w:rsidR="00242699" w:rsidRDefault="00242699" w:rsidP="00EC4766">
      <w:pPr>
        <w:ind w:left="1440" w:hanging="1440"/>
        <w:jc w:val="both"/>
        <w:rPr>
          <w:b/>
        </w:rPr>
      </w:pPr>
    </w:p>
    <w:p w14:paraId="25CE1798" w14:textId="77777777" w:rsidR="00242699" w:rsidRPr="0029161C" w:rsidRDefault="00242699" w:rsidP="00EC4766">
      <w:pPr>
        <w:ind w:left="1440" w:hanging="1440"/>
        <w:jc w:val="both"/>
        <w:rPr>
          <w:b/>
          <w:bCs/>
        </w:rPr>
      </w:pPr>
    </w:p>
    <w:p w14:paraId="360D853C" w14:textId="77777777" w:rsidR="003722B6" w:rsidRPr="0029161C" w:rsidRDefault="003722B6" w:rsidP="003722B6">
      <w:pPr>
        <w:ind w:left="1440" w:hanging="1440"/>
        <w:jc w:val="both"/>
      </w:pPr>
      <w:r w:rsidRPr="0029161C">
        <w:rPr>
          <w:b/>
          <w:bCs/>
        </w:rPr>
        <w:t>ISSUE 1</w:t>
      </w:r>
      <w:r>
        <w:rPr>
          <w:b/>
          <w:bCs/>
        </w:rPr>
        <w:t>5</w:t>
      </w:r>
      <w:r w:rsidRPr="0029161C">
        <w:rPr>
          <w:b/>
          <w:bCs/>
        </w:rPr>
        <w:t>:</w:t>
      </w:r>
      <w:r w:rsidRPr="0029161C">
        <w:tab/>
      </w:r>
      <w:r w:rsidR="00D2397D" w:rsidRPr="006611E9">
        <w:rPr>
          <w:b/>
        </w:rPr>
        <w:t>Should PGS’s proposed Advanced Metering Infrastructure (AMI) Pilot be approved? If not, what adjustments should be made?</w:t>
      </w:r>
    </w:p>
    <w:p w14:paraId="3FBD13CE" w14:textId="77777777" w:rsidR="003722B6" w:rsidRPr="0029161C" w:rsidRDefault="003722B6" w:rsidP="003722B6">
      <w:pPr>
        <w:jc w:val="both"/>
      </w:pPr>
    </w:p>
    <w:p w14:paraId="53ADAAD7" w14:textId="77777777" w:rsidR="003722B6" w:rsidRPr="0029161C" w:rsidRDefault="003722B6" w:rsidP="003722B6">
      <w:pPr>
        <w:ind w:left="1440" w:hanging="1440"/>
        <w:jc w:val="both"/>
      </w:pPr>
      <w:r>
        <w:rPr>
          <w:b/>
          <w:bCs/>
        </w:rPr>
        <w:t>PGS</w:t>
      </w:r>
      <w:r w:rsidRPr="0029161C">
        <w:rPr>
          <w:b/>
          <w:bCs/>
        </w:rPr>
        <w:t>:</w:t>
      </w:r>
      <w:r w:rsidRPr="0029161C">
        <w:tab/>
      </w:r>
      <w:r w:rsidR="000B36A2" w:rsidRPr="00F71D16">
        <w:t>Yes. The proposed AMI Pilot is prudent and should be included in rate base</w:t>
      </w:r>
      <w:r w:rsidR="000B36A2">
        <w:t xml:space="preserve"> and Net Operating Income. </w:t>
      </w:r>
      <w:r w:rsidR="000B36A2" w:rsidRPr="00F71D16">
        <w:t xml:space="preserve"> The </w:t>
      </w:r>
      <w:r w:rsidR="000B36A2">
        <w:t xml:space="preserve">company’s MFR reflect $2.2 million for capital expenditures and $100,000 of O&amp;M expenses associated with the pilot and should be approved. </w:t>
      </w:r>
      <w:r w:rsidR="000B36A2" w:rsidRPr="00F71D16">
        <w:rPr>
          <w:color w:val="000000"/>
          <w:kern w:val="2"/>
          <w:szCs w:val="22"/>
          <w14:ligatures w14:val="standardContextual"/>
        </w:rPr>
        <w:t>(O’Connor, Parsons)</w:t>
      </w:r>
    </w:p>
    <w:p w14:paraId="487FCE40" w14:textId="77777777" w:rsidR="003722B6" w:rsidRPr="0029161C" w:rsidRDefault="003722B6" w:rsidP="003722B6">
      <w:pPr>
        <w:jc w:val="both"/>
      </w:pPr>
    </w:p>
    <w:p w14:paraId="6A18466A" w14:textId="77777777" w:rsidR="003722B6" w:rsidRDefault="003722B6" w:rsidP="003722B6">
      <w:pPr>
        <w:ind w:left="1440" w:hanging="1440"/>
        <w:jc w:val="both"/>
      </w:pPr>
      <w:r>
        <w:rPr>
          <w:b/>
          <w:bCs/>
        </w:rPr>
        <w:t>OPC</w:t>
      </w:r>
      <w:r w:rsidRPr="0029161C">
        <w:rPr>
          <w:b/>
          <w:bCs/>
        </w:rPr>
        <w:t>:</w:t>
      </w:r>
      <w:r>
        <w:tab/>
      </w:r>
      <w:r w:rsidR="00537D68" w:rsidRPr="00B810C9">
        <w:t>No.</w:t>
      </w:r>
      <w:r w:rsidR="00537D68">
        <w:rPr>
          <w:b/>
        </w:rPr>
        <w:t xml:space="preserve"> </w:t>
      </w:r>
      <w:r w:rsidR="00537D68" w:rsidRPr="00042BAE">
        <w:t xml:space="preserve">PGS bears the burden of proof to demonstrate the prudence of the proposed AMI pilot. </w:t>
      </w:r>
      <w:r w:rsidR="00537D68">
        <w:t xml:space="preserve">Any approval of an AMI pilot should not be a basis for approval of wholesale implementation of an AMI project, especially if circumstances underlying the rate case filing materially change. </w:t>
      </w:r>
      <w:r w:rsidR="00537D68" w:rsidRPr="00042BAE">
        <w:t>(Kollen)</w:t>
      </w:r>
    </w:p>
    <w:p w14:paraId="40523031" w14:textId="77777777" w:rsidR="003722B6" w:rsidRDefault="003722B6" w:rsidP="003722B6">
      <w:pPr>
        <w:jc w:val="both"/>
      </w:pPr>
    </w:p>
    <w:p w14:paraId="2C0F9FEB"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6E76C539" w14:textId="77777777" w:rsidR="003722B6" w:rsidRPr="0029161C" w:rsidRDefault="003722B6" w:rsidP="003722B6">
      <w:pPr>
        <w:jc w:val="both"/>
      </w:pPr>
    </w:p>
    <w:p w14:paraId="5D790727"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07144F4B" w14:textId="77777777" w:rsidR="003722B6" w:rsidRPr="0029161C" w:rsidRDefault="003722B6" w:rsidP="003722B6">
      <w:pPr>
        <w:jc w:val="both"/>
      </w:pPr>
    </w:p>
    <w:p w14:paraId="3132A7D8" w14:textId="77777777" w:rsidR="003722B6" w:rsidRPr="0029161C" w:rsidRDefault="003722B6" w:rsidP="003722B6">
      <w:pPr>
        <w:jc w:val="both"/>
      </w:pPr>
    </w:p>
    <w:p w14:paraId="7DFA0C27" w14:textId="7A0CDFE5" w:rsidR="003722B6" w:rsidRPr="0029161C" w:rsidRDefault="003722B6" w:rsidP="00EC4766">
      <w:pPr>
        <w:ind w:left="1440" w:hanging="1440"/>
        <w:jc w:val="both"/>
        <w:rPr>
          <w:b/>
          <w:bCs/>
        </w:rPr>
      </w:pPr>
      <w:r w:rsidRPr="0029161C">
        <w:rPr>
          <w:b/>
          <w:bCs/>
        </w:rPr>
        <w:t>ISSUE 1</w:t>
      </w:r>
      <w:r>
        <w:rPr>
          <w:b/>
          <w:bCs/>
        </w:rPr>
        <w:t>6</w:t>
      </w:r>
      <w:r w:rsidRPr="0029161C">
        <w:rPr>
          <w:b/>
          <w:bCs/>
        </w:rPr>
        <w:t>:</w:t>
      </w:r>
      <w:r w:rsidRPr="0029161C">
        <w:tab/>
      </w:r>
      <w:r w:rsidR="00EC4766">
        <w:rPr>
          <w:b/>
        </w:rPr>
        <w:t>Proposed Type 1 Stipulation; see Section X.</w:t>
      </w:r>
    </w:p>
    <w:p w14:paraId="7CB12C0D" w14:textId="77777777" w:rsidR="003722B6" w:rsidRPr="0029161C" w:rsidRDefault="003722B6" w:rsidP="003722B6">
      <w:pPr>
        <w:jc w:val="both"/>
      </w:pPr>
    </w:p>
    <w:p w14:paraId="33F3E08A" w14:textId="77777777" w:rsidR="003722B6" w:rsidRPr="0029161C" w:rsidRDefault="003722B6" w:rsidP="003722B6">
      <w:pPr>
        <w:jc w:val="both"/>
      </w:pPr>
    </w:p>
    <w:p w14:paraId="2DF9E4AD" w14:textId="5EDD3147" w:rsidR="00EC4766" w:rsidRPr="00BC17F5" w:rsidRDefault="003722B6" w:rsidP="00EC4766">
      <w:pPr>
        <w:ind w:left="1440" w:hanging="1440"/>
        <w:jc w:val="both"/>
      </w:pPr>
      <w:r w:rsidRPr="0029161C">
        <w:rPr>
          <w:b/>
          <w:bCs/>
        </w:rPr>
        <w:t>ISSUE 1</w:t>
      </w:r>
      <w:r>
        <w:rPr>
          <w:b/>
          <w:bCs/>
        </w:rPr>
        <w:t>7</w:t>
      </w:r>
      <w:r w:rsidRPr="0029161C">
        <w:rPr>
          <w:b/>
          <w:bCs/>
        </w:rPr>
        <w:t>:</w:t>
      </w:r>
      <w:r w:rsidRPr="0029161C">
        <w:tab/>
      </w:r>
      <w:r w:rsidR="00EC4766">
        <w:rPr>
          <w:b/>
        </w:rPr>
        <w:t>Proposed Type 1 Stipulation; see Section X.</w:t>
      </w:r>
    </w:p>
    <w:p w14:paraId="3C8C4C57" w14:textId="77777777" w:rsidR="003722B6" w:rsidRPr="0029161C" w:rsidRDefault="003722B6" w:rsidP="003722B6">
      <w:pPr>
        <w:jc w:val="both"/>
      </w:pPr>
    </w:p>
    <w:p w14:paraId="6D597EB1" w14:textId="77777777" w:rsidR="003722B6" w:rsidRPr="0029161C" w:rsidRDefault="003722B6" w:rsidP="003722B6">
      <w:pPr>
        <w:jc w:val="both"/>
      </w:pPr>
    </w:p>
    <w:p w14:paraId="414D42A9" w14:textId="26433EED" w:rsidR="003722B6" w:rsidRPr="0029161C" w:rsidRDefault="003722B6" w:rsidP="006E1F0C">
      <w:pPr>
        <w:ind w:left="1440" w:hanging="1440"/>
        <w:jc w:val="both"/>
        <w:rPr>
          <w:b/>
          <w:bCs/>
        </w:rPr>
      </w:pPr>
      <w:r w:rsidRPr="0029161C">
        <w:rPr>
          <w:b/>
          <w:bCs/>
        </w:rPr>
        <w:t>ISSUE 1</w:t>
      </w:r>
      <w:r>
        <w:rPr>
          <w:b/>
          <w:bCs/>
        </w:rPr>
        <w:t>8</w:t>
      </w:r>
      <w:r w:rsidRPr="0029161C">
        <w:rPr>
          <w:b/>
          <w:bCs/>
        </w:rPr>
        <w:t>:</w:t>
      </w:r>
      <w:r w:rsidRPr="0029161C">
        <w:tab/>
      </w:r>
      <w:r w:rsidR="006E1F0C">
        <w:rPr>
          <w:b/>
        </w:rPr>
        <w:t>Proposed Type 1 Stipulation; see Section X.</w:t>
      </w:r>
      <w:r w:rsidR="00D2397D" w:rsidRPr="006611E9">
        <w:rPr>
          <w:b/>
        </w:rPr>
        <w:t xml:space="preserve"> </w:t>
      </w:r>
    </w:p>
    <w:p w14:paraId="4C032C67" w14:textId="77777777" w:rsidR="003722B6" w:rsidRPr="0029161C" w:rsidRDefault="003722B6" w:rsidP="003722B6">
      <w:pPr>
        <w:jc w:val="both"/>
      </w:pPr>
    </w:p>
    <w:p w14:paraId="30CB518C" w14:textId="77777777" w:rsidR="003722B6" w:rsidRPr="0029161C" w:rsidRDefault="003722B6" w:rsidP="003722B6">
      <w:pPr>
        <w:jc w:val="both"/>
      </w:pPr>
    </w:p>
    <w:p w14:paraId="03043171" w14:textId="77777777" w:rsidR="003722B6" w:rsidRPr="0029161C" w:rsidRDefault="003722B6" w:rsidP="003722B6">
      <w:pPr>
        <w:ind w:left="1440" w:hanging="1440"/>
        <w:jc w:val="both"/>
      </w:pPr>
      <w:r w:rsidRPr="0029161C">
        <w:rPr>
          <w:b/>
          <w:bCs/>
        </w:rPr>
        <w:t>ISSUE 1</w:t>
      </w:r>
      <w:r>
        <w:rPr>
          <w:b/>
          <w:bCs/>
        </w:rPr>
        <w:t>9</w:t>
      </w:r>
      <w:r w:rsidRPr="0029161C">
        <w:rPr>
          <w:b/>
          <w:bCs/>
        </w:rPr>
        <w:t>:</w:t>
      </w:r>
      <w:r w:rsidRPr="0029161C">
        <w:tab/>
      </w:r>
      <w:r w:rsidR="00D2397D" w:rsidRPr="006611E9">
        <w:rPr>
          <w:b/>
        </w:rPr>
        <w:t>Has PGS properly reflected in the projected test year the cost saving benefits to be gained from implementation of the Work and Asset Management (WAM) system? If not, what adjustments should be made?</w:t>
      </w:r>
    </w:p>
    <w:p w14:paraId="52E97DC3" w14:textId="77777777" w:rsidR="003722B6" w:rsidRPr="0029161C" w:rsidRDefault="003722B6" w:rsidP="003722B6">
      <w:pPr>
        <w:jc w:val="both"/>
      </w:pPr>
    </w:p>
    <w:p w14:paraId="628A8725"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Yes, in its initial filing based on its 2024 forecast, PGS properly reflected no cost savings benefits associated with WAM in the projected test year; however, for ratemaking purposes in this case, the company proposes to reduce test year O&amp;M expenses by $750,000 to give customers the O&amp;M value benefits for the first two years of implementation (2024 and 2025) identified when the company decided to implement the WAM.</w:t>
      </w:r>
      <w:r w:rsidR="000C0D78">
        <w:rPr>
          <w:color w:val="000000"/>
          <w:kern w:val="2"/>
          <w:szCs w:val="22"/>
          <w14:ligatures w14:val="standardContextual"/>
        </w:rPr>
        <w:t xml:space="preserve"> </w:t>
      </w:r>
      <w:r w:rsidR="000C0D78" w:rsidRPr="00F71D16">
        <w:rPr>
          <w:color w:val="000000"/>
          <w:kern w:val="2"/>
          <w:szCs w:val="22"/>
          <w14:ligatures w14:val="standardContextual"/>
        </w:rPr>
        <w:t>(</w:t>
      </w:r>
      <w:r w:rsidR="000C0D78">
        <w:rPr>
          <w:color w:val="000000"/>
          <w:kern w:val="2"/>
          <w:szCs w:val="22"/>
          <w14:ligatures w14:val="standardContextual"/>
        </w:rPr>
        <w:t xml:space="preserve">O’Connor, </w:t>
      </w:r>
      <w:r w:rsidR="000C0D78" w:rsidRPr="00F71D16">
        <w:rPr>
          <w:color w:val="000000"/>
          <w:kern w:val="2"/>
          <w:szCs w:val="22"/>
          <w14:ligatures w14:val="standardContextual"/>
        </w:rPr>
        <w:t>Richard, Parsons)</w:t>
      </w:r>
    </w:p>
    <w:p w14:paraId="776F7719" w14:textId="77777777" w:rsidR="003722B6" w:rsidRPr="0029161C" w:rsidRDefault="003722B6" w:rsidP="003722B6">
      <w:pPr>
        <w:jc w:val="both"/>
      </w:pPr>
    </w:p>
    <w:p w14:paraId="0A38E010" w14:textId="77777777" w:rsidR="003722B6" w:rsidRDefault="003722B6" w:rsidP="003722B6">
      <w:pPr>
        <w:ind w:left="1440" w:hanging="1440"/>
        <w:jc w:val="both"/>
      </w:pPr>
      <w:r>
        <w:rPr>
          <w:b/>
          <w:bCs/>
        </w:rPr>
        <w:t>OPC</w:t>
      </w:r>
      <w:r w:rsidRPr="0029161C">
        <w:rPr>
          <w:b/>
          <w:bCs/>
        </w:rPr>
        <w:t>:</w:t>
      </w:r>
      <w:r>
        <w:tab/>
      </w:r>
      <w:r w:rsidR="00537D68" w:rsidRPr="00721285">
        <w:t xml:space="preserve">No. PGS has incurred $34.4 million in capital costs for the new WAM system, yet it claims that WAM will not result in any savings whatsoever from efficiencies in the test year. </w:t>
      </w:r>
      <w:r w:rsidR="00537D68" w:rsidRPr="00FD2090">
        <w:t xml:space="preserve">OPC expects </w:t>
      </w:r>
      <w:r w:rsidR="00537D68">
        <w:t xml:space="preserve">that the operation of the WAM system, in conjunction with other potential near-term actions, will lead to operational efficiencies that are not captured in the Company’s projection of employee additions or savings in the level of contract labor expense. </w:t>
      </w:r>
      <w:r w:rsidR="00537D68" w:rsidRPr="00721285">
        <w:t>(Kollen)</w:t>
      </w:r>
    </w:p>
    <w:p w14:paraId="42F88188" w14:textId="77777777" w:rsidR="003722B6" w:rsidRDefault="003722B6" w:rsidP="003722B6">
      <w:pPr>
        <w:jc w:val="both"/>
      </w:pPr>
    </w:p>
    <w:p w14:paraId="528E0F54"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2EEEE9F3" w14:textId="77777777" w:rsidR="003722B6" w:rsidRPr="0029161C" w:rsidRDefault="003722B6" w:rsidP="003722B6">
      <w:pPr>
        <w:jc w:val="both"/>
      </w:pPr>
    </w:p>
    <w:p w14:paraId="1E91E05A"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5D58A4B3" w14:textId="77777777" w:rsidR="003722B6" w:rsidRPr="0029161C" w:rsidRDefault="003722B6" w:rsidP="003722B6">
      <w:pPr>
        <w:jc w:val="both"/>
      </w:pPr>
    </w:p>
    <w:p w14:paraId="2CB35639" w14:textId="77777777" w:rsidR="003722B6" w:rsidRPr="0029161C" w:rsidRDefault="003722B6" w:rsidP="003722B6">
      <w:pPr>
        <w:jc w:val="both"/>
      </w:pPr>
    </w:p>
    <w:p w14:paraId="7A66F021" w14:textId="6530994E" w:rsidR="00EC4766" w:rsidRDefault="003722B6" w:rsidP="00EC4766">
      <w:pPr>
        <w:ind w:left="1440" w:hanging="1440"/>
        <w:jc w:val="both"/>
        <w:rPr>
          <w:b/>
        </w:rPr>
      </w:pPr>
      <w:r>
        <w:rPr>
          <w:b/>
          <w:bCs/>
        </w:rPr>
        <w:t>ISSUE 20</w:t>
      </w:r>
      <w:r w:rsidRPr="0029161C">
        <w:rPr>
          <w:b/>
          <w:bCs/>
        </w:rPr>
        <w:t>:</w:t>
      </w:r>
      <w:r w:rsidRPr="0029161C">
        <w:tab/>
      </w:r>
      <w:r w:rsidR="006E1F0C">
        <w:rPr>
          <w:b/>
        </w:rPr>
        <w:t xml:space="preserve">Proposed Type </w:t>
      </w:r>
      <w:r w:rsidR="00E873CD">
        <w:rPr>
          <w:b/>
        </w:rPr>
        <w:t>1</w:t>
      </w:r>
      <w:r w:rsidR="00EC4766">
        <w:rPr>
          <w:b/>
        </w:rPr>
        <w:t xml:space="preserve"> Stipulation; see Section X.</w:t>
      </w:r>
    </w:p>
    <w:p w14:paraId="0D9836C4" w14:textId="77777777" w:rsidR="00EC4766" w:rsidRDefault="00EC4766" w:rsidP="00EC4766">
      <w:pPr>
        <w:ind w:left="1440" w:hanging="1440"/>
        <w:jc w:val="both"/>
      </w:pPr>
    </w:p>
    <w:p w14:paraId="4B79427C" w14:textId="77777777" w:rsidR="00EC4766" w:rsidRPr="0029161C" w:rsidRDefault="00EC4766" w:rsidP="00EC4766">
      <w:pPr>
        <w:ind w:left="1440" w:hanging="1440"/>
        <w:jc w:val="both"/>
        <w:rPr>
          <w:b/>
          <w:bCs/>
        </w:rPr>
      </w:pPr>
    </w:p>
    <w:p w14:paraId="4F78C7BA" w14:textId="77777777" w:rsidR="003722B6" w:rsidRPr="0029161C" w:rsidRDefault="003722B6" w:rsidP="003722B6">
      <w:pPr>
        <w:ind w:left="1440" w:hanging="1440"/>
        <w:jc w:val="both"/>
      </w:pPr>
      <w:r w:rsidRPr="0029161C">
        <w:rPr>
          <w:b/>
          <w:bCs/>
        </w:rPr>
        <w:t xml:space="preserve">ISSUE </w:t>
      </w:r>
      <w:r>
        <w:rPr>
          <w:b/>
          <w:bCs/>
        </w:rPr>
        <w:t>2</w:t>
      </w:r>
      <w:r w:rsidRPr="0029161C">
        <w:rPr>
          <w:b/>
          <w:bCs/>
        </w:rPr>
        <w:t>1:</w:t>
      </w:r>
      <w:r w:rsidRPr="0029161C">
        <w:tab/>
      </w:r>
      <w:r w:rsidR="00D2397D" w:rsidRPr="006611E9">
        <w:rPr>
          <w:b/>
        </w:rPr>
        <w:t>What level of projected test year plant in service should be approved?</w:t>
      </w:r>
    </w:p>
    <w:p w14:paraId="67930D40" w14:textId="77777777" w:rsidR="003722B6" w:rsidRPr="0029161C" w:rsidRDefault="003722B6" w:rsidP="003722B6">
      <w:pPr>
        <w:jc w:val="both"/>
      </w:pPr>
    </w:p>
    <w:p w14:paraId="0F70328F"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 xml:space="preserve">The appropriate projected test year plant in service is $3,298,318,785 which is a reduction of $11,530,336 from the $3,309,849,121 shown on MFR Schedule G-1, </w:t>
      </w:r>
      <w:r w:rsidR="009C0097" w:rsidRPr="009C0097">
        <w:rPr>
          <w:color w:val="000000"/>
          <w:kern w:val="2"/>
          <w:szCs w:val="22"/>
          <w14:ligatures w14:val="standardContextual"/>
        </w:rPr>
        <w:lastRenderedPageBreak/>
        <w:t>page 1, line 1 due to the removal of Alliance plant in service. The Commission should reject OPC’s proposed adjustment to forecasted 2024 plant in service.</w:t>
      </w:r>
      <w:r w:rsidR="000C0D78">
        <w:rPr>
          <w:color w:val="000000"/>
          <w:kern w:val="2"/>
          <w:szCs w:val="22"/>
          <w14:ligatures w14:val="standardContextual"/>
        </w:rPr>
        <w:t xml:space="preserve"> </w:t>
      </w:r>
      <w:r w:rsidR="000C0D78" w:rsidRPr="00F71D16">
        <w:rPr>
          <w:color w:val="000000"/>
          <w:kern w:val="2"/>
          <w:szCs w:val="22"/>
          <w14:ligatures w14:val="standardContextual"/>
        </w:rPr>
        <w:t>(Parsons</w:t>
      </w:r>
      <w:r w:rsidR="000C0D78">
        <w:rPr>
          <w:color w:val="000000"/>
          <w:kern w:val="2"/>
          <w:szCs w:val="22"/>
          <w14:ligatures w14:val="standardContextual"/>
        </w:rPr>
        <w:t>, Richard, Rutkin, O’Connor</w:t>
      </w:r>
      <w:r w:rsidR="000C0D78" w:rsidRPr="00F71D16">
        <w:rPr>
          <w:color w:val="000000"/>
          <w:kern w:val="2"/>
          <w:szCs w:val="22"/>
          <w14:ligatures w14:val="standardContextual"/>
        </w:rPr>
        <w:t>)</w:t>
      </w:r>
    </w:p>
    <w:p w14:paraId="5E505769" w14:textId="77777777" w:rsidR="003722B6" w:rsidRPr="0029161C" w:rsidRDefault="003722B6" w:rsidP="003722B6">
      <w:pPr>
        <w:jc w:val="both"/>
      </w:pPr>
    </w:p>
    <w:p w14:paraId="4B365194" w14:textId="77777777" w:rsidR="003722B6" w:rsidRDefault="003722B6" w:rsidP="003722B6">
      <w:pPr>
        <w:ind w:left="1440" w:hanging="1440"/>
        <w:jc w:val="both"/>
      </w:pPr>
      <w:r>
        <w:rPr>
          <w:b/>
          <w:bCs/>
        </w:rPr>
        <w:t>OPC</w:t>
      </w:r>
      <w:r w:rsidRPr="0029161C">
        <w:rPr>
          <w:b/>
          <w:bCs/>
        </w:rPr>
        <w:t>:</w:t>
      </w:r>
      <w:r>
        <w:tab/>
      </w:r>
      <w:r w:rsidR="00537D68">
        <w:t xml:space="preserve">The Commission should approve no more than $3,274,834,064 </w:t>
      </w:r>
      <w:r w:rsidR="00537D68" w:rsidRPr="00CA548C">
        <w:t>of projected test year plant in service</w:t>
      </w:r>
      <w:r w:rsidR="00537D68">
        <w:t>, unless circumstances underlying the rate case filing materially change. (Kollen</w:t>
      </w:r>
      <w:r w:rsidR="00537D68" w:rsidRPr="008577A2">
        <w:t>)</w:t>
      </w:r>
    </w:p>
    <w:p w14:paraId="7DE46CF5" w14:textId="77777777" w:rsidR="003722B6" w:rsidRDefault="003722B6" w:rsidP="003722B6">
      <w:pPr>
        <w:jc w:val="both"/>
      </w:pPr>
    </w:p>
    <w:p w14:paraId="3F34FD2C"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6EE158B9" w14:textId="77777777" w:rsidR="003722B6" w:rsidRPr="0029161C" w:rsidRDefault="003722B6" w:rsidP="003722B6">
      <w:pPr>
        <w:jc w:val="both"/>
      </w:pPr>
    </w:p>
    <w:p w14:paraId="5615A5F2"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178C0EC2" w14:textId="77777777" w:rsidR="003722B6" w:rsidRPr="0029161C" w:rsidRDefault="003722B6" w:rsidP="003722B6">
      <w:pPr>
        <w:jc w:val="both"/>
      </w:pPr>
    </w:p>
    <w:p w14:paraId="731ED3C8" w14:textId="77777777" w:rsidR="003722B6" w:rsidRPr="0029161C" w:rsidRDefault="003722B6" w:rsidP="003722B6">
      <w:pPr>
        <w:jc w:val="both"/>
      </w:pPr>
    </w:p>
    <w:p w14:paraId="00AF9F6A" w14:textId="77777777" w:rsidR="003722B6" w:rsidRPr="0029161C" w:rsidRDefault="003722B6" w:rsidP="003722B6">
      <w:pPr>
        <w:ind w:left="1440" w:hanging="1440"/>
        <w:jc w:val="both"/>
      </w:pPr>
      <w:r>
        <w:rPr>
          <w:b/>
          <w:bCs/>
        </w:rPr>
        <w:t>ISSUE 22</w:t>
      </w:r>
      <w:r w:rsidRPr="0029161C">
        <w:rPr>
          <w:b/>
          <w:bCs/>
        </w:rPr>
        <w:t>:</w:t>
      </w:r>
      <w:r w:rsidRPr="0029161C">
        <w:tab/>
      </w:r>
      <w:r w:rsidR="00D2397D" w:rsidRPr="006611E9">
        <w:rPr>
          <w:b/>
        </w:rPr>
        <w:t>What level of projected test year plant accumulated depreciation and amortization should be approved?</w:t>
      </w:r>
    </w:p>
    <w:p w14:paraId="6C834D71" w14:textId="77777777" w:rsidR="003722B6" w:rsidRPr="0029161C" w:rsidRDefault="003722B6" w:rsidP="003722B6">
      <w:pPr>
        <w:jc w:val="both"/>
      </w:pPr>
    </w:p>
    <w:p w14:paraId="043EE124"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The appropriate projected test year accumulated depreciation and amortization is $922,537,986. This amount reflects the $922,826,284 shown on MFR Schedule G-1, page 1, line 7, and the company’s proposed net adjustment to decrease accumulated depreciation by $288,298.  The $288,298 net adjustment to decrease accumulated depreciation is related to the following items: (i) updates to reflect the December 31, 2023 depreciation study date ($127,144 decrease) (ii) removal of the Alliance RNG project ($507,203 decrease), correction to the New River RNG project accounts and related depreciation ($101,319 decrease), and revision to Brightmark RNG Project pipeline extension account and related depreciation ($447,369 increase).</w:t>
      </w:r>
      <w:r w:rsidR="000C0D78">
        <w:rPr>
          <w:color w:val="000000"/>
          <w:kern w:val="2"/>
          <w:szCs w:val="22"/>
          <w14:ligatures w14:val="standardContextual"/>
        </w:rPr>
        <w:t xml:space="preserve"> </w:t>
      </w:r>
      <w:r w:rsidR="000C0D78" w:rsidRPr="00F71D16">
        <w:rPr>
          <w:color w:val="000000"/>
          <w:kern w:val="2"/>
          <w:szCs w:val="22"/>
          <w14:ligatures w14:val="standardContextual"/>
        </w:rPr>
        <w:t>(Watson, Parsons)</w:t>
      </w:r>
    </w:p>
    <w:p w14:paraId="7B4FCF1B" w14:textId="77777777" w:rsidR="003722B6" w:rsidRPr="0029161C" w:rsidRDefault="003722B6" w:rsidP="003722B6">
      <w:pPr>
        <w:jc w:val="both"/>
      </w:pPr>
    </w:p>
    <w:p w14:paraId="3FC94561" w14:textId="77777777" w:rsidR="003722B6" w:rsidRDefault="003722B6" w:rsidP="003722B6">
      <w:pPr>
        <w:ind w:left="1440" w:hanging="1440"/>
        <w:jc w:val="both"/>
      </w:pPr>
      <w:r>
        <w:rPr>
          <w:b/>
          <w:bCs/>
        </w:rPr>
        <w:t>OPC</w:t>
      </w:r>
      <w:r w:rsidRPr="0029161C">
        <w:rPr>
          <w:b/>
          <w:bCs/>
        </w:rPr>
        <w:t>:</w:t>
      </w:r>
      <w:r>
        <w:tab/>
      </w:r>
      <w:r w:rsidR="00537D68" w:rsidRPr="00C42754">
        <w:t>The Commission should approve $904,439,158 of projected test year accumulated depreciation and amortization</w:t>
      </w:r>
      <w:r w:rsidR="00537D68">
        <w:t xml:space="preserve">, unless circumstances underlying the rate case filing materially change. </w:t>
      </w:r>
      <w:r w:rsidR="00537D68" w:rsidRPr="00C42754">
        <w:t>(Kollen and Garrett)</w:t>
      </w:r>
    </w:p>
    <w:p w14:paraId="27777CC5" w14:textId="77777777" w:rsidR="003722B6" w:rsidRDefault="003722B6" w:rsidP="003722B6">
      <w:pPr>
        <w:jc w:val="both"/>
      </w:pPr>
    </w:p>
    <w:p w14:paraId="2DFA65F0"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7A256FE4" w14:textId="77777777" w:rsidR="003722B6" w:rsidRPr="0029161C" w:rsidRDefault="003722B6" w:rsidP="003722B6">
      <w:pPr>
        <w:jc w:val="both"/>
      </w:pPr>
    </w:p>
    <w:p w14:paraId="09427784"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55EFB5D4" w14:textId="77777777" w:rsidR="003722B6" w:rsidRPr="0029161C" w:rsidRDefault="003722B6" w:rsidP="003722B6">
      <w:pPr>
        <w:jc w:val="both"/>
      </w:pPr>
    </w:p>
    <w:p w14:paraId="681F6CAA" w14:textId="77777777" w:rsidR="003722B6" w:rsidRPr="0029161C" w:rsidRDefault="003722B6" w:rsidP="003722B6">
      <w:pPr>
        <w:jc w:val="both"/>
      </w:pPr>
    </w:p>
    <w:p w14:paraId="1898B01E" w14:textId="77777777" w:rsidR="003722B6" w:rsidRPr="0029161C" w:rsidRDefault="003722B6" w:rsidP="003722B6">
      <w:pPr>
        <w:ind w:left="1440" w:hanging="1440"/>
        <w:jc w:val="both"/>
      </w:pPr>
      <w:r>
        <w:rPr>
          <w:b/>
          <w:bCs/>
        </w:rPr>
        <w:t>ISSUE 23</w:t>
      </w:r>
      <w:r w:rsidRPr="0029161C">
        <w:rPr>
          <w:b/>
          <w:bCs/>
        </w:rPr>
        <w:t>:</w:t>
      </w:r>
      <w:r w:rsidRPr="0029161C">
        <w:tab/>
      </w:r>
      <w:r w:rsidR="00D2397D" w:rsidRPr="006611E9">
        <w:rPr>
          <w:b/>
        </w:rPr>
        <w:t>What level of projected test year Construction Work in Progress (CWIP) should be approved?</w:t>
      </w:r>
    </w:p>
    <w:p w14:paraId="34A93A21" w14:textId="77777777" w:rsidR="003722B6" w:rsidRPr="0029161C" w:rsidRDefault="003722B6" w:rsidP="003722B6">
      <w:pPr>
        <w:jc w:val="both"/>
      </w:pPr>
    </w:p>
    <w:p w14:paraId="5B27C58D" w14:textId="77777777" w:rsidR="003722B6" w:rsidRPr="0029161C" w:rsidRDefault="003722B6" w:rsidP="003722B6">
      <w:pPr>
        <w:ind w:left="1440" w:hanging="1440"/>
        <w:jc w:val="both"/>
      </w:pPr>
      <w:r>
        <w:rPr>
          <w:b/>
          <w:bCs/>
        </w:rPr>
        <w:t>PGS</w:t>
      </w:r>
      <w:r w:rsidRPr="0029161C">
        <w:rPr>
          <w:b/>
          <w:bCs/>
        </w:rPr>
        <w:t>:</w:t>
      </w:r>
      <w:r w:rsidRPr="0029161C">
        <w:tab/>
      </w:r>
      <w:r w:rsidR="000C0D78">
        <w:rPr>
          <w:color w:val="000000"/>
          <w:kern w:val="2"/>
          <w:szCs w:val="22"/>
          <w14:ligatures w14:val="standardContextual"/>
        </w:rPr>
        <w:t xml:space="preserve">The appropriate projected test year CWIP is $24,309,448 as shown on MFR Schedule G-1, page 1, line 2. </w:t>
      </w:r>
      <w:r w:rsidR="000C0D78" w:rsidRPr="00F71D16">
        <w:rPr>
          <w:color w:val="000000"/>
          <w:kern w:val="2"/>
          <w:szCs w:val="22"/>
          <w14:ligatures w14:val="standardContextual"/>
        </w:rPr>
        <w:t>(Parsons</w:t>
      </w:r>
      <w:r w:rsidR="000C0D78">
        <w:rPr>
          <w:color w:val="000000"/>
          <w:kern w:val="2"/>
          <w:szCs w:val="22"/>
          <w14:ligatures w14:val="standardContextual"/>
        </w:rPr>
        <w:t>, Richard</w:t>
      </w:r>
      <w:r w:rsidR="000C0D78" w:rsidRPr="00F71D16">
        <w:rPr>
          <w:color w:val="000000"/>
          <w:kern w:val="2"/>
          <w:szCs w:val="22"/>
          <w14:ligatures w14:val="standardContextual"/>
        </w:rPr>
        <w:t>)</w:t>
      </w:r>
    </w:p>
    <w:p w14:paraId="1FD28997" w14:textId="77777777" w:rsidR="003722B6" w:rsidRPr="0029161C" w:rsidRDefault="003722B6" w:rsidP="003722B6">
      <w:pPr>
        <w:jc w:val="both"/>
      </w:pPr>
    </w:p>
    <w:p w14:paraId="6AF537C0" w14:textId="18E256B0" w:rsidR="003722B6" w:rsidRDefault="003722B6" w:rsidP="00DB16F3">
      <w:pPr>
        <w:ind w:left="1440" w:hanging="1440"/>
        <w:jc w:val="both"/>
      </w:pPr>
      <w:r>
        <w:rPr>
          <w:b/>
          <w:bCs/>
        </w:rPr>
        <w:t>OPC</w:t>
      </w:r>
      <w:r w:rsidRPr="0029161C">
        <w:rPr>
          <w:b/>
          <w:bCs/>
        </w:rPr>
        <w:t>:</w:t>
      </w:r>
      <w:r>
        <w:tab/>
      </w:r>
      <w:r w:rsidR="00DB16F3">
        <w:t xml:space="preserve">The level of CWIP to be approved may be dependent upon the resolution of Issue 21 and the ultimate decision on the level of plant-in-service as it is affected by the accuracy of the PGS’s budget process. PGS has not adequately demonstrated that </w:t>
      </w:r>
      <w:r w:rsidR="00DB16F3">
        <w:lastRenderedPageBreak/>
        <w:t>the level of CWIP is justified based on the deficiencies in the budgets for 2023 and 2024 that were prepared in 2022.</w:t>
      </w:r>
    </w:p>
    <w:p w14:paraId="3E2461D3" w14:textId="77777777" w:rsidR="00242699" w:rsidRDefault="00242699" w:rsidP="00DB16F3">
      <w:pPr>
        <w:ind w:left="1440" w:hanging="1440"/>
        <w:jc w:val="both"/>
      </w:pPr>
    </w:p>
    <w:p w14:paraId="5C68AF0B"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37102139" w14:textId="77777777" w:rsidR="003722B6" w:rsidRPr="0029161C" w:rsidRDefault="003722B6" w:rsidP="003722B6">
      <w:pPr>
        <w:jc w:val="both"/>
      </w:pPr>
    </w:p>
    <w:p w14:paraId="00D75496"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5FD4BFE7" w14:textId="77777777" w:rsidR="003722B6" w:rsidRPr="0029161C" w:rsidRDefault="003722B6" w:rsidP="003722B6">
      <w:pPr>
        <w:jc w:val="both"/>
      </w:pPr>
    </w:p>
    <w:p w14:paraId="7FD2F0B5" w14:textId="77777777" w:rsidR="003722B6" w:rsidRPr="0029161C" w:rsidRDefault="003722B6" w:rsidP="003722B6">
      <w:pPr>
        <w:jc w:val="both"/>
      </w:pPr>
    </w:p>
    <w:p w14:paraId="5A695BB8" w14:textId="1358B34C" w:rsidR="00EC4766" w:rsidRPr="0029161C" w:rsidRDefault="003722B6" w:rsidP="00EC4766">
      <w:pPr>
        <w:ind w:left="1440" w:hanging="1440"/>
        <w:jc w:val="both"/>
        <w:rPr>
          <w:b/>
          <w:bCs/>
        </w:rPr>
      </w:pPr>
      <w:r>
        <w:rPr>
          <w:b/>
          <w:bCs/>
        </w:rPr>
        <w:t>ISSUE 24</w:t>
      </w:r>
      <w:r w:rsidRPr="0029161C">
        <w:rPr>
          <w:b/>
          <w:bCs/>
        </w:rPr>
        <w:t>:</w:t>
      </w:r>
      <w:r w:rsidRPr="0029161C">
        <w:tab/>
      </w:r>
      <w:r w:rsidR="00EC4766">
        <w:rPr>
          <w:b/>
        </w:rPr>
        <w:t>Proposed Type 2 Stipulation; see Section X.</w:t>
      </w:r>
    </w:p>
    <w:p w14:paraId="4D173DF2" w14:textId="77777777" w:rsidR="003722B6" w:rsidRPr="0029161C" w:rsidRDefault="003722B6" w:rsidP="003722B6">
      <w:pPr>
        <w:jc w:val="both"/>
      </w:pPr>
    </w:p>
    <w:p w14:paraId="0FB03B4B" w14:textId="77777777" w:rsidR="003722B6" w:rsidRPr="0029161C" w:rsidRDefault="003722B6" w:rsidP="003722B6">
      <w:pPr>
        <w:jc w:val="both"/>
      </w:pPr>
    </w:p>
    <w:p w14:paraId="6F478728" w14:textId="0E7CA9ED" w:rsidR="003722B6" w:rsidRPr="0029161C" w:rsidRDefault="003722B6" w:rsidP="00EC4766">
      <w:pPr>
        <w:ind w:left="1440" w:hanging="1440"/>
        <w:jc w:val="both"/>
        <w:rPr>
          <w:b/>
          <w:bCs/>
        </w:rPr>
      </w:pPr>
      <w:r>
        <w:rPr>
          <w:b/>
          <w:bCs/>
        </w:rPr>
        <w:t>ISSUE 25</w:t>
      </w:r>
      <w:r w:rsidRPr="0029161C">
        <w:rPr>
          <w:b/>
          <w:bCs/>
        </w:rPr>
        <w:t>:</w:t>
      </w:r>
      <w:r w:rsidRPr="0029161C">
        <w:tab/>
      </w:r>
      <w:r w:rsidR="006E1F0C">
        <w:rPr>
          <w:b/>
        </w:rPr>
        <w:t xml:space="preserve">Proposed Type </w:t>
      </w:r>
      <w:r w:rsidR="00E873CD">
        <w:rPr>
          <w:b/>
        </w:rPr>
        <w:t>1</w:t>
      </w:r>
      <w:r w:rsidR="00EC4766">
        <w:rPr>
          <w:b/>
        </w:rPr>
        <w:t xml:space="preserve"> Stipulation; see Section X.</w:t>
      </w:r>
    </w:p>
    <w:p w14:paraId="2618F129" w14:textId="77777777" w:rsidR="003722B6" w:rsidRPr="0029161C" w:rsidRDefault="003722B6" w:rsidP="003722B6">
      <w:pPr>
        <w:jc w:val="both"/>
      </w:pPr>
    </w:p>
    <w:p w14:paraId="7449C475" w14:textId="77777777" w:rsidR="00866FC8" w:rsidRDefault="00866FC8" w:rsidP="003722B6">
      <w:pPr>
        <w:ind w:left="1440" w:hanging="1440"/>
        <w:jc w:val="both"/>
        <w:rPr>
          <w:b/>
          <w:bCs/>
        </w:rPr>
      </w:pPr>
    </w:p>
    <w:p w14:paraId="60F29F56" w14:textId="54B5E9E4" w:rsidR="003722B6" w:rsidRPr="0029161C" w:rsidRDefault="003722B6" w:rsidP="00EC4766">
      <w:pPr>
        <w:ind w:left="1440" w:hanging="1440"/>
        <w:jc w:val="both"/>
        <w:rPr>
          <w:b/>
          <w:bCs/>
        </w:rPr>
      </w:pPr>
      <w:r>
        <w:rPr>
          <w:b/>
          <w:bCs/>
        </w:rPr>
        <w:t>ISSUE 26</w:t>
      </w:r>
      <w:r w:rsidRPr="0029161C">
        <w:rPr>
          <w:b/>
          <w:bCs/>
        </w:rPr>
        <w:t>:</w:t>
      </w:r>
      <w:r w:rsidRPr="0029161C">
        <w:tab/>
      </w:r>
      <w:r w:rsidR="00EC4766">
        <w:rPr>
          <w:b/>
        </w:rPr>
        <w:t>Proposed Type 2 Stipulation; see Section X.</w:t>
      </w:r>
    </w:p>
    <w:p w14:paraId="56D77F68" w14:textId="77777777" w:rsidR="003722B6" w:rsidRPr="0029161C" w:rsidRDefault="003722B6" w:rsidP="003722B6">
      <w:pPr>
        <w:jc w:val="both"/>
      </w:pPr>
    </w:p>
    <w:p w14:paraId="243F9877" w14:textId="77777777" w:rsidR="003722B6" w:rsidRPr="0029161C" w:rsidRDefault="003722B6" w:rsidP="003722B6">
      <w:pPr>
        <w:jc w:val="both"/>
      </w:pPr>
    </w:p>
    <w:p w14:paraId="36C8E559" w14:textId="77777777" w:rsidR="003722B6" w:rsidRPr="0029161C" w:rsidRDefault="003722B6" w:rsidP="003722B6">
      <w:pPr>
        <w:ind w:left="1440" w:hanging="1440"/>
        <w:jc w:val="both"/>
      </w:pPr>
      <w:r>
        <w:rPr>
          <w:b/>
          <w:bCs/>
        </w:rPr>
        <w:t>ISSUE 27</w:t>
      </w:r>
      <w:r w:rsidRPr="0029161C">
        <w:rPr>
          <w:b/>
          <w:bCs/>
        </w:rPr>
        <w:t>:</w:t>
      </w:r>
      <w:r w:rsidRPr="0029161C">
        <w:tab/>
      </w:r>
      <w:r w:rsidR="00D2397D" w:rsidRPr="006611E9">
        <w:rPr>
          <w:b/>
        </w:rPr>
        <w:t>What level of projected test year rate base should be approved?</w:t>
      </w:r>
    </w:p>
    <w:p w14:paraId="5413522F" w14:textId="77777777" w:rsidR="003722B6" w:rsidRPr="0029161C" w:rsidRDefault="003722B6" w:rsidP="003722B6">
      <w:pPr>
        <w:jc w:val="both"/>
      </w:pPr>
    </w:p>
    <w:p w14:paraId="0444C086"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 xml:space="preserve">The appropriate amount of projected test year rate base is $2,355,546,414. This amount reflects the $2,366,788,452 of adjusted rate base shown on MFR Schedule G-1, page 1, and the $288,298 adjustment included in Issue 22 to decrease accumulated depreciation and amortization and the removal of the Alliance project plant in service of </w:t>
      </w:r>
      <w:r w:rsidR="0070461A">
        <w:rPr>
          <w:color w:val="000000"/>
          <w:kern w:val="2"/>
          <w:szCs w:val="22"/>
          <w14:ligatures w14:val="standardContextual"/>
        </w:rPr>
        <w:t>$</w:t>
      </w:r>
      <w:r w:rsidR="009C0097" w:rsidRPr="009C0097">
        <w:rPr>
          <w:color w:val="000000"/>
          <w:kern w:val="2"/>
          <w:szCs w:val="22"/>
          <w14:ligatures w14:val="standardContextual"/>
        </w:rPr>
        <w:t>11,530,336 in Issue 21.</w:t>
      </w:r>
      <w:r w:rsidR="000C0D78">
        <w:rPr>
          <w:color w:val="000000"/>
          <w:kern w:val="2"/>
          <w:szCs w:val="22"/>
          <w14:ligatures w14:val="standardContextual"/>
        </w:rPr>
        <w:t xml:space="preserve"> </w:t>
      </w:r>
      <w:r w:rsidR="000C0D78" w:rsidRPr="00F71D16">
        <w:rPr>
          <w:color w:val="000000"/>
          <w:kern w:val="2"/>
          <w:szCs w:val="22"/>
          <w14:ligatures w14:val="standardContextual"/>
        </w:rPr>
        <w:t>(Parsons</w:t>
      </w:r>
      <w:r w:rsidR="000C0D78">
        <w:rPr>
          <w:color w:val="000000"/>
          <w:kern w:val="2"/>
          <w:szCs w:val="22"/>
          <w14:ligatures w14:val="standardContextual"/>
        </w:rPr>
        <w:t>, Richard, O’Connor, Rutkin</w:t>
      </w:r>
      <w:r w:rsidR="000C0D78" w:rsidRPr="00F71D16">
        <w:rPr>
          <w:color w:val="000000"/>
          <w:kern w:val="2"/>
          <w:szCs w:val="22"/>
          <w14:ligatures w14:val="standardContextual"/>
        </w:rPr>
        <w:t>)</w:t>
      </w:r>
    </w:p>
    <w:p w14:paraId="5C9A9A49" w14:textId="77777777" w:rsidR="003722B6" w:rsidRPr="0029161C" w:rsidRDefault="003722B6" w:rsidP="003722B6">
      <w:pPr>
        <w:jc w:val="both"/>
      </w:pPr>
    </w:p>
    <w:p w14:paraId="321DD8E8" w14:textId="77777777" w:rsidR="003722B6" w:rsidRDefault="003722B6" w:rsidP="003722B6">
      <w:pPr>
        <w:ind w:left="1440" w:hanging="1440"/>
        <w:jc w:val="both"/>
      </w:pPr>
      <w:r>
        <w:rPr>
          <w:b/>
          <w:bCs/>
        </w:rPr>
        <w:t>OPC</w:t>
      </w:r>
      <w:r w:rsidRPr="0029161C">
        <w:rPr>
          <w:b/>
          <w:bCs/>
        </w:rPr>
        <w:t>:</w:t>
      </w:r>
      <w:r>
        <w:tab/>
      </w:r>
      <w:r w:rsidR="00537D68" w:rsidRPr="00E86BB7">
        <w:t xml:space="preserve">The Commission should approve </w:t>
      </w:r>
      <w:r w:rsidR="00537D68">
        <w:t xml:space="preserve">no more than </w:t>
      </w:r>
      <w:r w:rsidR="00537D68" w:rsidRPr="00E86BB7">
        <w:t>$2,346,211,000 of projected test year rate base</w:t>
      </w:r>
      <w:r w:rsidR="00537D68">
        <w:t>, unless circumstances underlying the rate case filing materially change</w:t>
      </w:r>
      <w:r w:rsidR="00537D68" w:rsidRPr="00E86BB7">
        <w:t>. (Kollen)</w:t>
      </w:r>
    </w:p>
    <w:p w14:paraId="3E1715D2" w14:textId="77777777" w:rsidR="003722B6" w:rsidRDefault="003722B6" w:rsidP="003722B6">
      <w:pPr>
        <w:jc w:val="both"/>
      </w:pPr>
    </w:p>
    <w:p w14:paraId="16ACF574"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045126A8" w14:textId="77777777" w:rsidR="003722B6" w:rsidRPr="0029161C" w:rsidRDefault="003722B6" w:rsidP="003722B6">
      <w:pPr>
        <w:jc w:val="both"/>
      </w:pPr>
    </w:p>
    <w:p w14:paraId="3844A165"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3BF07988" w14:textId="77777777" w:rsidR="00D2397D" w:rsidRDefault="00D2397D" w:rsidP="003722B6">
      <w:pPr>
        <w:jc w:val="both"/>
      </w:pPr>
    </w:p>
    <w:p w14:paraId="13732815" w14:textId="77777777" w:rsidR="00D2397D" w:rsidRPr="0029161C" w:rsidRDefault="00D2397D" w:rsidP="00D2397D">
      <w:pPr>
        <w:jc w:val="center"/>
      </w:pPr>
      <w:r>
        <w:rPr>
          <w:b/>
          <w:u w:val="single"/>
        </w:rPr>
        <w:t>COST OF CAPITAL</w:t>
      </w:r>
    </w:p>
    <w:p w14:paraId="43D560A8" w14:textId="77777777" w:rsidR="003722B6" w:rsidRPr="0029161C" w:rsidRDefault="003722B6" w:rsidP="003722B6">
      <w:pPr>
        <w:jc w:val="both"/>
      </w:pPr>
    </w:p>
    <w:p w14:paraId="6BE9DB41" w14:textId="77777777" w:rsidR="003722B6" w:rsidRPr="0029161C" w:rsidRDefault="003722B6" w:rsidP="003722B6">
      <w:pPr>
        <w:ind w:left="1440" w:hanging="1440"/>
        <w:jc w:val="both"/>
      </w:pPr>
      <w:r>
        <w:rPr>
          <w:b/>
          <w:bCs/>
        </w:rPr>
        <w:t>ISSUE 28</w:t>
      </w:r>
      <w:r w:rsidRPr="0029161C">
        <w:rPr>
          <w:b/>
          <w:bCs/>
        </w:rPr>
        <w:t>:</w:t>
      </w:r>
      <w:r w:rsidRPr="0029161C">
        <w:tab/>
      </w:r>
      <w:r w:rsidR="00D2397D" w:rsidRPr="006611E9">
        <w:rPr>
          <w:b/>
        </w:rPr>
        <w:t>What amount of projected accumulated deferred taxes should be approved for the projected test year capital structure?</w:t>
      </w:r>
    </w:p>
    <w:p w14:paraId="058D3EBC" w14:textId="77777777" w:rsidR="003722B6" w:rsidRPr="0029161C" w:rsidRDefault="003722B6" w:rsidP="003722B6">
      <w:pPr>
        <w:jc w:val="both"/>
      </w:pPr>
    </w:p>
    <w:p w14:paraId="16AC57FD"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 xml:space="preserve">The amount of accumulated deferred taxes to be included in the capital structure for the projected test year is $279,720,428. This amount reflects three adjustments to the $280,240,209 shown on MFR Schedule G-3, page 2. The first adjustment ($4,486 decrease) is related to the changes in depreciation expense that are also impacting accumulated depreciation and amortization in Issue 22.  This decrease in accumulated deferred taxes is offset by adjustments to increase investor sources </w:t>
      </w:r>
      <w:r w:rsidR="009C0097" w:rsidRPr="009C0097">
        <w:rPr>
          <w:color w:val="000000"/>
          <w:kern w:val="2"/>
          <w:szCs w:val="22"/>
          <w14:ligatures w14:val="standardContextual"/>
        </w:rPr>
        <w:lastRenderedPageBreak/>
        <w:t>of capital. The second adjustment is to remove the deferred taxes associated with Alliance of $489,300. The third adjustment is for the decrease in rate base in Issue 27 allocated pro rata over all sources ($25,995 decrease).</w:t>
      </w:r>
      <w:r w:rsidR="000C0D78">
        <w:rPr>
          <w:color w:val="000000"/>
          <w:kern w:val="2"/>
          <w:szCs w:val="22"/>
          <w14:ligatures w14:val="standardContextual"/>
        </w:rPr>
        <w:t xml:space="preserve"> (</w:t>
      </w:r>
      <w:r w:rsidR="000C0D78" w:rsidRPr="00F71D16">
        <w:rPr>
          <w:color w:val="000000"/>
          <w:kern w:val="2"/>
          <w:szCs w:val="22"/>
          <w14:ligatures w14:val="standardContextual"/>
        </w:rPr>
        <w:t>Parsons)</w:t>
      </w:r>
    </w:p>
    <w:p w14:paraId="6CB84665" w14:textId="77777777" w:rsidR="003722B6" w:rsidRPr="0029161C" w:rsidRDefault="003722B6" w:rsidP="003722B6">
      <w:pPr>
        <w:jc w:val="both"/>
      </w:pPr>
    </w:p>
    <w:p w14:paraId="74718773" w14:textId="77777777" w:rsidR="003722B6" w:rsidRDefault="003722B6" w:rsidP="003722B6">
      <w:pPr>
        <w:ind w:left="1440" w:hanging="1440"/>
        <w:jc w:val="both"/>
      </w:pPr>
      <w:r>
        <w:rPr>
          <w:b/>
          <w:bCs/>
        </w:rPr>
        <w:t>OPC</w:t>
      </w:r>
      <w:r w:rsidRPr="0029161C">
        <w:rPr>
          <w:b/>
          <w:bCs/>
        </w:rPr>
        <w:t>:</w:t>
      </w:r>
      <w:r>
        <w:tab/>
      </w:r>
      <w:r w:rsidR="00537D68" w:rsidRPr="00C86A71">
        <w:t xml:space="preserve">The Commission should approve </w:t>
      </w:r>
      <w:r w:rsidR="00537D68">
        <w:t xml:space="preserve">at least </w:t>
      </w:r>
      <w:r w:rsidR="00537D68" w:rsidRPr="00C86A71">
        <w:t>$286,705,000 in accumulated deferred taxes for the projected test year capital structure. (Kollen)</w:t>
      </w:r>
    </w:p>
    <w:p w14:paraId="4266433C" w14:textId="77777777" w:rsidR="003722B6" w:rsidRDefault="003722B6" w:rsidP="003722B6">
      <w:pPr>
        <w:jc w:val="both"/>
      </w:pPr>
    </w:p>
    <w:p w14:paraId="682E2365"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4D10C849" w14:textId="77777777" w:rsidR="003722B6" w:rsidRPr="0029161C" w:rsidRDefault="003722B6" w:rsidP="003722B6">
      <w:pPr>
        <w:jc w:val="both"/>
      </w:pPr>
    </w:p>
    <w:p w14:paraId="17E07642"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4877602E" w14:textId="77777777" w:rsidR="008D2EC4" w:rsidRDefault="008D2EC4" w:rsidP="003722B6">
      <w:pPr>
        <w:ind w:left="1440" w:hanging="1440"/>
        <w:jc w:val="both"/>
        <w:rPr>
          <w:b/>
          <w:bCs/>
        </w:rPr>
      </w:pPr>
    </w:p>
    <w:p w14:paraId="79BCC627" w14:textId="77777777" w:rsidR="008D2EC4" w:rsidRDefault="008D2EC4" w:rsidP="003722B6">
      <w:pPr>
        <w:ind w:left="1440" w:hanging="1440"/>
        <w:jc w:val="both"/>
        <w:rPr>
          <w:b/>
          <w:bCs/>
        </w:rPr>
      </w:pPr>
    </w:p>
    <w:p w14:paraId="19257E5F" w14:textId="438FABC0" w:rsidR="003722B6" w:rsidRPr="0029161C" w:rsidRDefault="003722B6" w:rsidP="003722B6">
      <w:pPr>
        <w:ind w:left="1440" w:hanging="1440"/>
        <w:jc w:val="both"/>
      </w:pPr>
      <w:r>
        <w:rPr>
          <w:b/>
          <w:bCs/>
        </w:rPr>
        <w:t>ISSUE 29</w:t>
      </w:r>
      <w:r w:rsidRPr="0029161C">
        <w:rPr>
          <w:b/>
          <w:bCs/>
        </w:rPr>
        <w:t>:</w:t>
      </w:r>
      <w:r w:rsidRPr="0029161C">
        <w:tab/>
      </w:r>
      <w:r w:rsidR="00D2397D" w:rsidRPr="006611E9">
        <w:rPr>
          <w:b/>
        </w:rPr>
        <w:t>What cost rate should be approved for the unamortized investment tax credits for the projected test year capital structure?</w:t>
      </w:r>
    </w:p>
    <w:p w14:paraId="4E6DC56C" w14:textId="77777777" w:rsidR="003722B6" w:rsidRPr="0029161C" w:rsidRDefault="003722B6" w:rsidP="003722B6">
      <w:pPr>
        <w:jc w:val="both"/>
      </w:pPr>
    </w:p>
    <w:p w14:paraId="643BA1F0" w14:textId="77777777" w:rsidR="003722B6" w:rsidRPr="0029161C" w:rsidRDefault="003722B6" w:rsidP="003722B6">
      <w:pPr>
        <w:ind w:left="1440" w:hanging="1440"/>
        <w:jc w:val="both"/>
      </w:pPr>
      <w:r>
        <w:rPr>
          <w:b/>
          <w:bCs/>
        </w:rPr>
        <w:t>PGS</w:t>
      </w:r>
      <w:r w:rsidRPr="0029161C">
        <w:rPr>
          <w:b/>
          <w:bCs/>
        </w:rPr>
        <w:t>:</w:t>
      </w:r>
      <w:r w:rsidRPr="0029161C">
        <w:tab/>
      </w:r>
      <w:r w:rsidR="0070461A">
        <w:t>Moving the Alliance Dairies RNG project below the line (Issue 18) means that there will be no unamortized ITC in the projected test year capital structure.</w:t>
      </w:r>
      <w:r w:rsidR="000C0D78" w:rsidRPr="00F71D16">
        <w:t xml:space="preserve"> </w:t>
      </w:r>
      <w:r w:rsidR="000C0D78" w:rsidRPr="00F71D16">
        <w:rPr>
          <w:color w:val="000000"/>
          <w:kern w:val="2"/>
          <w:szCs w:val="22"/>
          <w14:ligatures w14:val="standardContextual"/>
        </w:rPr>
        <w:t>(Parsons)</w:t>
      </w:r>
    </w:p>
    <w:p w14:paraId="5EC06EFE" w14:textId="77777777" w:rsidR="003722B6" w:rsidRPr="0029161C" w:rsidRDefault="003722B6" w:rsidP="003722B6">
      <w:pPr>
        <w:jc w:val="both"/>
      </w:pPr>
    </w:p>
    <w:p w14:paraId="176EFB50" w14:textId="77777777" w:rsidR="003722B6" w:rsidRDefault="003722B6" w:rsidP="003722B6">
      <w:pPr>
        <w:ind w:left="1440" w:hanging="1440"/>
        <w:jc w:val="both"/>
      </w:pPr>
      <w:r>
        <w:rPr>
          <w:b/>
          <w:bCs/>
        </w:rPr>
        <w:t>OPC</w:t>
      </w:r>
      <w:r w:rsidRPr="0029161C">
        <w:rPr>
          <w:b/>
          <w:bCs/>
        </w:rPr>
        <w:t>:</w:t>
      </w:r>
      <w:r>
        <w:tab/>
      </w:r>
      <w:r w:rsidR="00537D68" w:rsidRPr="002D460F">
        <w:t>The Commission should approve a 6.73% cost rate for the unamortized investment tax credits in the projected test year. (Kollen)</w:t>
      </w:r>
    </w:p>
    <w:p w14:paraId="17ABFB44" w14:textId="77777777" w:rsidR="003722B6" w:rsidRDefault="003722B6" w:rsidP="003722B6">
      <w:pPr>
        <w:jc w:val="both"/>
      </w:pPr>
    </w:p>
    <w:p w14:paraId="3BD312F4"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2B8AFDC6" w14:textId="77777777" w:rsidR="003722B6" w:rsidRPr="0029161C" w:rsidRDefault="003722B6" w:rsidP="003722B6">
      <w:pPr>
        <w:jc w:val="both"/>
      </w:pPr>
    </w:p>
    <w:p w14:paraId="0E365453"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554D9AE4" w14:textId="77777777" w:rsidR="003722B6" w:rsidRPr="0029161C" w:rsidRDefault="003722B6" w:rsidP="003722B6">
      <w:pPr>
        <w:jc w:val="both"/>
      </w:pPr>
    </w:p>
    <w:p w14:paraId="1D3BF326" w14:textId="77777777" w:rsidR="003722B6" w:rsidRPr="0029161C" w:rsidRDefault="003722B6" w:rsidP="003722B6">
      <w:pPr>
        <w:jc w:val="both"/>
      </w:pPr>
    </w:p>
    <w:p w14:paraId="1FEBB5E0" w14:textId="12477838" w:rsidR="00EC4766" w:rsidRPr="0029161C" w:rsidRDefault="003722B6" w:rsidP="00EC4766">
      <w:pPr>
        <w:ind w:left="1440" w:hanging="1440"/>
        <w:jc w:val="both"/>
        <w:rPr>
          <w:b/>
          <w:bCs/>
        </w:rPr>
      </w:pPr>
      <w:r>
        <w:rPr>
          <w:b/>
          <w:bCs/>
        </w:rPr>
        <w:t>ISSUE 30</w:t>
      </w:r>
      <w:r w:rsidRPr="0029161C">
        <w:rPr>
          <w:b/>
          <w:bCs/>
        </w:rPr>
        <w:t>:</w:t>
      </w:r>
      <w:r w:rsidRPr="0029161C">
        <w:tab/>
      </w:r>
      <w:r w:rsidR="006E1F0C">
        <w:rPr>
          <w:b/>
        </w:rPr>
        <w:t xml:space="preserve">Proposed Type </w:t>
      </w:r>
      <w:r w:rsidR="00E873CD">
        <w:rPr>
          <w:b/>
        </w:rPr>
        <w:t>1</w:t>
      </w:r>
      <w:r w:rsidR="00EC4766">
        <w:rPr>
          <w:b/>
        </w:rPr>
        <w:t xml:space="preserve"> Stipulation; see Section X.</w:t>
      </w:r>
    </w:p>
    <w:p w14:paraId="2619C3D4" w14:textId="38CFCB8A" w:rsidR="003722B6" w:rsidRDefault="003722B6" w:rsidP="003722B6">
      <w:pPr>
        <w:ind w:left="1440" w:hanging="1440"/>
        <w:jc w:val="both"/>
        <w:rPr>
          <w:b/>
          <w:bCs/>
        </w:rPr>
      </w:pPr>
    </w:p>
    <w:p w14:paraId="16C04D58" w14:textId="77777777" w:rsidR="006E1F0C" w:rsidRPr="0029161C" w:rsidRDefault="006E1F0C" w:rsidP="003722B6">
      <w:pPr>
        <w:ind w:left="1440" w:hanging="1440"/>
        <w:jc w:val="both"/>
        <w:rPr>
          <w:b/>
          <w:bCs/>
        </w:rPr>
      </w:pPr>
    </w:p>
    <w:p w14:paraId="48683A5E" w14:textId="30C0CF99" w:rsidR="003722B6" w:rsidRPr="0029161C" w:rsidRDefault="003722B6" w:rsidP="003722B6">
      <w:pPr>
        <w:ind w:left="1440" w:hanging="1440"/>
        <w:jc w:val="both"/>
      </w:pPr>
      <w:r w:rsidRPr="0029161C">
        <w:rPr>
          <w:b/>
          <w:bCs/>
        </w:rPr>
        <w:t xml:space="preserve">ISSUE </w:t>
      </w:r>
      <w:r>
        <w:rPr>
          <w:b/>
          <w:bCs/>
        </w:rPr>
        <w:t>3</w:t>
      </w:r>
      <w:r w:rsidRPr="0029161C">
        <w:rPr>
          <w:b/>
          <w:bCs/>
        </w:rPr>
        <w:t>1:</w:t>
      </w:r>
      <w:r w:rsidRPr="0029161C">
        <w:tab/>
      </w:r>
      <w:r w:rsidR="00D2397D" w:rsidRPr="006611E9">
        <w:rPr>
          <w:b/>
        </w:rPr>
        <w:t>What cost rate of short-term debt should be approved for the projected test year capital structure?</w:t>
      </w:r>
    </w:p>
    <w:p w14:paraId="619402E3" w14:textId="77777777" w:rsidR="003722B6" w:rsidRPr="0029161C" w:rsidRDefault="003722B6" w:rsidP="003722B6">
      <w:pPr>
        <w:jc w:val="both"/>
      </w:pPr>
    </w:p>
    <w:p w14:paraId="063F9709" w14:textId="77777777" w:rsidR="003722B6" w:rsidRPr="0029161C" w:rsidRDefault="003722B6" w:rsidP="003722B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The appropriate amount of short-term debt for the projected test year is $99,662,408 and the cost rate is 4.85 percent.  The $99.7 million amount reflects the $99,671,451 of short-term debt on MFR G-3, page 2, adjusted for the decrease in rate base in Issue 27 ($9,262 decrease) and increased for pro rata allocation over investor sources of offset for change in accumulated deferred income taxes in Issue 28 ($219 increase). The 4.85 percent cost rate is shown on MFR G-3, page 4. OPC’s proposal to disallow the company’s incremental short-term interest expense associated with the 2023 Transaction should be rejected.</w:t>
      </w:r>
      <w:bookmarkStart w:id="7" w:name="_Hlk141779011"/>
      <w:r w:rsidR="000C0D78">
        <w:rPr>
          <w:color w:val="000000"/>
          <w:kern w:val="2"/>
          <w:szCs w:val="22"/>
          <w14:ligatures w14:val="standardContextual"/>
        </w:rPr>
        <w:t xml:space="preserve"> </w:t>
      </w:r>
      <w:bookmarkEnd w:id="7"/>
      <w:r w:rsidR="000C0D78" w:rsidRPr="00F71D16">
        <w:rPr>
          <w:color w:val="000000"/>
          <w:kern w:val="2"/>
          <w:szCs w:val="22"/>
          <w14:ligatures w14:val="standardContextual"/>
        </w:rPr>
        <w:t>(</w:t>
      </w:r>
      <w:r w:rsidR="000C0D78">
        <w:rPr>
          <w:color w:val="000000"/>
          <w:kern w:val="2"/>
          <w:szCs w:val="22"/>
          <w14:ligatures w14:val="standardContextual"/>
        </w:rPr>
        <w:t xml:space="preserve">Parsons, </w:t>
      </w:r>
      <w:r w:rsidR="000C0D78" w:rsidRPr="00F71D16">
        <w:rPr>
          <w:color w:val="000000"/>
          <w:kern w:val="2"/>
          <w:szCs w:val="22"/>
          <w14:ligatures w14:val="standardContextual"/>
        </w:rPr>
        <w:t>McOnie)</w:t>
      </w:r>
    </w:p>
    <w:p w14:paraId="5091DC35" w14:textId="77777777" w:rsidR="003722B6" w:rsidRPr="0029161C" w:rsidRDefault="003722B6" w:rsidP="003722B6">
      <w:pPr>
        <w:jc w:val="both"/>
      </w:pPr>
    </w:p>
    <w:p w14:paraId="06B9AFFB" w14:textId="77777777" w:rsidR="003722B6" w:rsidRDefault="003722B6" w:rsidP="003722B6">
      <w:pPr>
        <w:ind w:left="1440" w:hanging="1440"/>
        <w:jc w:val="both"/>
      </w:pPr>
      <w:r>
        <w:rPr>
          <w:b/>
          <w:bCs/>
        </w:rPr>
        <w:t>OPC</w:t>
      </w:r>
      <w:r w:rsidRPr="0029161C">
        <w:rPr>
          <w:b/>
          <w:bCs/>
        </w:rPr>
        <w:t>:</w:t>
      </w:r>
      <w:r>
        <w:tab/>
      </w:r>
      <w:r w:rsidR="00537D68" w:rsidRPr="002D460F">
        <w:t xml:space="preserve">The Commission should approve a 3.81% cost rate for short-term debt for the </w:t>
      </w:r>
      <w:r w:rsidR="00537D68">
        <w:t xml:space="preserve">  </w:t>
      </w:r>
      <w:r w:rsidR="00537D68" w:rsidRPr="002D460F">
        <w:t>projected test year. (Kollen)</w:t>
      </w:r>
    </w:p>
    <w:p w14:paraId="1CA0D1AE" w14:textId="77777777" w:rsidR="003722B6" w:rsidRDefault="003722B6" w:rsidP="003722B6">
      <w:pPr>
        <w:jc w:val="both"/>
      </w:pPr>
    </w:p>
    <w:p w14:paraId="6098BB1A" w14:textId="77777777" w:rsidR="003722B6" w:rsidRPr="00A4526E" w:rsidRDefault="003722B6" w:rsidP="003722B6">
      <w:pPr>
        <w:ind w:left="1440" w:hanging="1440"/>
        <w:jc w:val="both"/>
      </w:pPr>
      <w:r>
        <w:rPr>
          <w:b/>
        </w:rPr>
        <w:t>FIPUG:</w:t>
      </w:r>
      <w:r>
        <w:rPr>
          <w:b/>
        </w:rPr>
        <w:tab/>
      </w:r>
      <w:r w:rsidR="008E1978" w:rsidRPr="00BE2300">
        <w:rPr>
          <w:bCs/>
        </w:rPr>
        <w:t>Adopt position of OPC.</w:t>
      </w:r>
    </w:p>
    <w:p w14:paraId="5E4ECBCE" w14:textId="77777777" w:rsidR="003722B6" w:rsidRPr="0029161C" w:rsidRDefault="003722B6" w:rsidP="003722B6">
      <w:pPr>
        <w:jc w:val="both"/>
      </w:pPr>
    </w:p>
    <w:p w14:paraId="0FED853E" w14:textId="77777777" w:rsidR="003722B6" w:rsidRPr="0029161C" w:rsidRDefault="003722B6" w:rsidP="003722B6">
      <w:pPr>
        <w:ind w:left="1440" w:hanging="1440"/>
        <w:jc w:val="both"/>
        <w:rPr>
          <w:b/>
          <w:bCs/>
        </w:rPr>
      </w:pPr>
      <w:r w:rsidRPr="0029161C">
        <w:rPr>
          <w:b/>
          <w:bCs/>
        </w:rPr>
        <w:t>STAFF:</w:t>
      </w:r>
      <w:r w:rsidRPr="0029161C">
        <w:rPr>
          <w:b/>
          <w:bCs/>
        </w:rPr>
        <w:tab/>
      </w:r>
      <w:r w:rsidR="008B3A6B">
        <w:t>Staff has no position at this time.</w:t>
      </w:r>
    </w:p>
    <w:p w14:paraId="261D421D" w14:textId="77777777" w:rsidR="003722B6" w:rsidRPr="0029161C" w:rsidRDefault="003722B6" w:rsidP="003722B6">
      <w:pPr>
        <w:jc w:val="both"/>
      </w:pPr>
    </w:p>
    <w:p w14:paraId="4B7E1AEA" w14:textId="77777777" w:rsidR="003722B6" w:rsidRPr="0029161C" w:rsidRDefault="003722B6" w:rsidP="003722B6">
      <w:pPr>
        <w:jc w:val="both"/>
      </w:pPr>
    </w:p>
    <w:p w14:paraId="3FDB6EAE" w14:textId="77777777" w:rsidR="00E80956" w:rsidRPr="0029161C" w:rsidRDefault="00E80956" w:rsidP="00E80956">
      <w:pPr>
        <w:ind w:left="1440" w:hanging="1440"/>
        <w:jc w:val="both"/>
      </w:pPr>
      <w:r>
        <w:rPr>
          <w:b/>
          <w:bCs/>
        </w:rPr>
        <w:t>ISSUE 32</w:t>
      </w:r>
      <w:r w:rsidRPr="0029161C">
        <w:rPr>
          <w:b/>
          <w:bCs/>
        </w:rPr>
        <w:t>:</w:t>
      </w:r>
      <w:r w:rsidRPr="0029161C">
        <w:tab/>
      </w:r>
      <w:r w:rsidR="00D2397D" w:rsidRPr="006611E9">
        <w:rPr>
          <w:b/>
        </w:rPr>
        <w:t>What cost rate of long-term debt should be approved for the projected test year capital structure?</w:t>
      </w:r>
    </w:p>
    <w:p w14:paraId="6031E3B9" w14:textId="77777777" w:rsidR="00E80956" w:rsidRPr="0029161C" w:rsidRDefault="00E80956" w:rsidP="00E80956">
      <w:pPr>
        <w:jc w:val="both"/>
      </w:pPr>
    </w:p>
    <w:p w14:paraId="74FA1A3A" w14:textId="77777777" w:rsidR="00E80956" w:rsidRPr="0029161C" w:rsidRDefault="00E80956" w:rsidP="00E80956">
      <w:pPr>
        <w:ind w:left="1440" w:hanging="1440"/>
        <w:jc w:val="both"/>
      </w:pPr>
      <w:r>
        <w:rPr>
          <w:b/>
          <w:bCs/>
        </w:rPr>
        <w:t>PGS</w:t>
      </w:r>
      <w:r w:rsidRPr="0029161C">
        <w:rPr>
          <w:b/>
          <w:bCs/>
        </w:rPr>
        <w:t>:</w:t>
      </w:r>
      <w:r w:rsidRPr="0029161C">
        <w:tab/>
      </w:r>
      <w:r w:rsidR="009C0097" w:rsidRPr="009C0097">
        <w:rPr>
          <w:color w:val="000000"/>
          <w:kern w:val="2"/>
          <w:szCs w:val="22"/>
          <w14:ligatures w14:val="standardContextual"/>
        </w:rPr>
        <w:t>The appropriate amount of long-term debt for the projected test year is $827,335,811 and the cost rate is 5.54 percent. This amount reflects the company’s forecasted long-term interest expense on a stand-alone basis based on its credit quality. The amount reflects the $832,185,531 of long-term debt on MFR G-3, page 2, adjusted for the decrease in rate base in Issue 27 ($4,851,535 decrease) and increased for pro rata allocation over investor sources of offset for change in accumulated deferred income taxes in Issue 28 ($1,815 increase). The 5.54 percent cost rate is shown on MFR G-3, page 3.  OPC’s proposal to disallow the company’s incremental long-term interest expense associated with the 2023 Transaction should be rejected.</w:t>
      </w:r>
      <w:r w:rsidR="000C0D78">
        <w:rPr>
          <w:color w:val="000000"/>
          <w:kern w:val="2"/>
          <w:szCs w:val="22"/>
          <w14:ligatures w14:val="standardContextual"/>
        </w:rPr>
        <w:t xml:space="preserve"> </w:t>
      </w:r>
      <w:r w:rsidR="000C0D78" w:rsidRPr="00F71D16">
        <w:rPr>
          <w:color w:val="000000"/>
          <w:kern w:val="2"/>
          <w:szCs w:val="22"/>
          <w14:ligatures w14:val="standardContextual"/>
        </w:rPr>
        <w:t>(</w:t>
      </w:r>
      <w:r w:rsidR="000C0D78">
        <w:rPr>
          <w:color w:val="000000"/>
          <w:kern w:val="2"/>
          <w:szCs w:val="22"/>
          <w14:ligatures w14:val="standardContextual"/>
        </w:rPr>
        <w:t xml:space="preserve">Parsons, </w:t>
      </w:r>
      <w:r w:rsidR="000C0D78" w:rsidRPr="00F71D16">
        <w:rPr>
          <w:color w:val="000000"/>
          <w:kern w:val="2"/>
          <w:szCs w:val="22"/>
          <w14:ligatures w14:val="standardContextual"/>
        </w:rPr>
        <w:t>McOnie)</w:t>
      </w:r>
    </w:p>
    <w:p w14:paraId="39CD2419" w14:textId="77777777" w:rsidR="00E80956" w:rsidRPr="0029161C" w:rsidRDefault="00E80956" w:rsidP="00E80956">
      <w:pPr>
        <w:jc w:val="both"/>
      </w:pPr>
    </w:p>
    <w:p w14:paraId="0DEEA4D5" w14:textId="77777777" w:rsidR="00E80956" w:rsidRDefault="00E80956" w:rsidP="00E80956">
      <w:pPr>
        <w:ind w:left="1440" w:hanging="1440"/>
        <w:jc w:val="both"/>
      </w:pPr>
      <w:r>
        <w:rPr>
          <w:b/>
          <w:bCs/>
        </w:rPr>
        <w:t>OPC</w:t>
      </w:r>
      <w:r w:rsidRPr="0029161C">
        <w:rPr>
          <w:b/>
          <w:bCs/>
        </w:rPr>
        <w:t>:</w:t>
      </w:r>
      <w:r>
        <w:tab/>
      </w:r>
      <w:r w:rsidR="00537D68" w:rsidRPr="002D460F">
        <w:t xml:space="preserve">The Commission should approve a 4.61% cost rate for long-term debt for the </w:t>
      </w:r>
      <w:r w:rsidR="00537D68" w:rsidRPr="00D63016">
        <w:t>projected test year. (Kollen)</w:t>
      </w:r>
    </w:p>
    <w:p w14:paraId="17363960" w14:textId="77777777" w:rsidR="00E80956" w:rsidRDefault="00E80956" w:rsidP="00E80956">
      <w:pPr>
        <w:jc w:val="both"/>
      </w:pPr>
    </w:p>
    <w:p w14:paraId="1643E1FB"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45412650" w14:textId="77777777" w:rsidR="00E80956" w:rsidRPr="0029161C" w:rsidRDefault="00E80956" w:rsidP="00E80956">
      <w:pPr>
        <w:jc w:val="both"/>
      </w:pPr>
    </w:p>
    <w:p w14:paraId="6F679384"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73932197" w14:textId="77777777" w:rsidR="00E80956" w:rsidRPr="0029161C" w:rsidRDefault="00E80956" w:rsidP="00E80956">
      <w:pPr>
        <w:jc w:val="both"/>
      </w:pPr>
    </w:p>
    <w:p w14:paraId="6E7C9AC2" w14:textId="77777777" w:rsidR="00E80956" w:rsidRPr="0029161C" w:rsidRDefault="00E80956" w:rsidP="00E80956">
      <w:pPr>
        <w:jc w:val="both"/>
      </w:pPr>
    </w:p>
    <w:p w14:paraId="3D49FCE3" w14:textId="77777777" w:rsidR="00E80956" w:rsidRPr="0029161C" w:rsidRDefault="00E80956" w:rsidP="00E80956">
      <w:pPr>
        <w:ind w:left="1440" w:hanging="1440"/>
        <w:jc w:val="both"/>
      </w:pPr>
      <w:r>
        <w:rPr>
          <w:b/>
          <w:bCs/>
        </w:rPr>
        <w:t>ISSUE 33</w:t>
      </w:r>
      <w:r w:rsidRPr="0029161C">
        <w:rPr>
          <w:b/>
          <w:bCs/>
        </w:rPr>
        <w:t>:</w:t>
      </w:r>
      <w:r w:rsidRPr="0029161C">
        <w:tab/>
      </w:r>
      <w:r w:rsidR="00D2397D" w:rsidRPr="006611E9">
        <w:rPr>
          <w:b/>
        </w:rPr>
        <w:t>Has PGS made the proper adjustments to remove all non-utility investments from the projected test year common equity balance? If not, what adjustments should be made?</w:t>
      </w:r>
    </w:p>
    <w:p w14:paraId="5A776668" w14:textId="77777777" w:rsidR="00E80956" w:rsidRPr="0029161C" w:rsidRDefault="00E80956" w:rsidP="00E80956">
      <w:pPr>
        <w:jc w:val="both"/>
      </w:pPr>
    </w:p>
    <w:p w14:paraId="31A08ABC" w14:textId="77777777" w:rsidR="00E80956" w:rsidRPr="0029161C" w:rsidRDefault="00E80956" w:rsidP="00E80956">
      <w:pPr>
        <w:ind w:left="1440" w:hanging="1440"/>
        <w:jc w:val="both"/>
      </w:pPr>
      <w:r>
        <w:rPr>
          <w:b/>
          <w:bCs/>
        </w:rPr>
        <w:t>PGS</w:t>
      </w:r>
      <w:r w:rsidRPr="0029161C">
        <w:rPr>
          <w:b/>
          <w:bCs/>
        </w:rPr>
        <w:t>:</w:t>
      </w:r>
      <w:r w:rsidRPr="0029161C">
        <w:tab/>
      </w:r>
      <w:r w:rsidR="000C0D78">
        <w:rPr>
          <w:color w:val="000000"/>
          <w:kern w:val="2"/>
          <w:szCs w:val="22"/>
          <w14:ligatures w14:val="standardContextual"/>
        </w:rPr>
        <w:t xml:space="preserve">Yes. PGS has </w:t>
      </w:r>
      <w:r w:rsidR="000C0D78" w:rsidRPr="00AA3B81">
        <w:rPr>
          <w:color w:val="000000"/>
          <w:kern w:val="2"/>
          <w:szCs w:val="22"/>
          <w14:ligatures w14:val="standardContextual"/>
        </w:rPr>
        <w:t>made the proper adjustments to remove all non-utility investments from the projected test year common equity balance</w:t>
      </w:r>
      <w:r w:rsidR="000C0D78" w:rsidRPr="00AA3B81" w:rsidDel="00AA3B81">
        <w:rPr>
          <w:color w:val="000000"/>
          <w:kern w:val="2"/>
          <w:szCs w:val="22"/>
          <w14:ligatures w14:val="standardContextual"/>
        </w:rPr>
        <w:t xml:space="preserve"> </w:t>
      </w:r>
      <w:r w:rsidR="000C0D78">
        <w:rPr>
          <w:color w:val="000000"/>
          <w:kern w:val="2"/>
          <w:szCs w:val="22"/>
          <w14:ligatures w14:val="standardContextual"/>
        </w:rPr>
        <w:t xml:space="preserve">as shown on MFR G-3, page 2 and Exhibit RBP-1, Document No. 9 to witness Parsons direct testimony. </w:t>
      </w:r>
      <w:r w:rsidR="000C0D78" w:rsidRPr="00F71D16">
        <w:rPr>
          <w:color w:val="000000"/>
          <w:kern w:val="2"/>
          <w:szCs w:val="22"/>
          <w14:ligatures w14:val="standardContextual"/>
        </w:rPr>
        <w:t>(Parsons</w:t>
      </w:r>
      <w:r w:rsidR="000C0D78">
        <w:rPr>
          <w:color w:val="000000"/>
          <w:kern w:val="2"/>
          <w:szCs w:val="22"/>
          <w14:ligatures w14:val="standardContextual"/>
        </w:rPr>
        <w:t>, Buzard</w:t>
      </w:r>
      <w:r w:rsidR="000C0D78" w:rsidRPr="00F71D16">
        <w:rPr>
          <w:color w:val="000000"/>
          <w:kern w:val="2"/>
          <w:szCs w:val="22"/>
          <w14:ligatures w14:val="standardContextual"/>
        </w:rPr>
        <w:t>)</w:t>
      </w:r>
    </w:p>
    <w:p w14:paraId="76F717CC" w14:textId="77777777" w:rsidR="00E80956" w:rsidRPr="0029161C" w:rsidRDefault="00E80956" w:rsidP="00E80956">
      <w:pPr>
        <w:jc w:val="both"/>
      </w:pPr>
    </w:p>
    <w:p w14:paraId="0058F495" w14:textId="77777777" w:rsidR="00E80956" w:rsidRDefault="00E80956" w:rsidP="00E80956">
      <w:pPr>
        <w:ind w:left="1440" w:hanging="1440"/>
        <w:jc w:val="both"/>
      </w:pPr>
      <w:r>
        <w:rPr>
          <w:b/>
          <w:bCs/>
        </w:rPr>
        <w:t>OPC</w:t>
      </w:r>
      <w:r w:rsidRPr="0029161C">
        <w:rPr>
          <w:b/>
          <w:bCs/>
        </w:rPr>
        <w:t>:</w:t>
      </w:r>
      <w:r>
        <w:tab/>
      </w:r>
      <w:r w:rsidR="00DB16F3" w:rsidRPr="0074449E">
        <w:t>No.</w:t>
      </w:r>
      <w:r w:rsidR="00DB16F3">
        <w:t xml:space="preserve"> The removal of the Alliance Dairies Project from rate base in resolution of Issue 18, should properly be reflected in a corresponding adjustment to equity </w:t>
      </w:r>
      <w:r w:rsidR="00DB16F3" w:rsidRPr="0074449E">
        <w:rPr>
          <w:b/>
          <w:i/>
        </w:rPr>
        <w:t>after</w:t>
      </w:r>
      <w:r w:rsidR="00DB16F3">
        <w:t xml:space="preserve"> the establishment of the regulatory-authorized equity ratio.  The OPC has agreed to the removal of the project and the revenue requirement impact calculated by the Company.</w:t>
      </w:r>
    </w:p>
    <w:p w14:paraId="6FABBB30" w14:textId="77777777" w:rsidR="00E80956" w:rsidRDefault="00E80956" w:rsidP="00E80956">
      <w:pPr>
        <w:jc w:val="both"/>
      </w:pPr>
    </w:p>
    <w:p w14:paraId="2A391015"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6A2AD037" w14:textId="77777777" w:rsidR="00E80956" w:rsidRPr="0029161C" w:rsidRDefault="00E80956" w:rsidP="00E80956">
      <w:pPr>
        <w:jc w:val="both"/>
      </w:pPr>
    </w:p>
    <w:p w14:paraId="0782BEFA" w14:textId="77777777" w:rsidR="00E80956" w:rsidRPr="0029161C" w:rsidRDefault="00E80956" w:rsidP="00E80956">
      <w:pPr>
        <w:ind w:left="1440" w:hanging="1440"/>
        <w:jc w:val="both"/>
        <w:rPr>
          <w:b/>
          <w:bCs/>
        </w:rPr>
      </w:pPr>
      <w:r w:rsidRPr="0029161C">
        <w:rPr>
          <w:b/>
          <w:bCs/>
        </w:rPr>
        <w:lastRenderedPageBreak/>
        <w:t>STAFF:</w:t>
      </w:r>
      <w:r w:rsidRPr="0029161C">
        <w:rPr>
          <w:b/>
          <w:bCs/>
        </w:rPr>
        <w:tab/>
      </w:r>
      <w:r w:rsidR="008B3A6B">
        <w:t>Staff has no position at this time.</w:t>
      </w:r>
    </w:p>
    <w:p w14:paraId="3DE52D00" w14:textId="77777777" w:rsidR="00E80956" w:rsidRPr="0029161C" w:rsidRDefault="00E80956" w:rsidP="00E80956">
      <w:pPr>
        <w:jc w:val="both"/>
      </w:pPr>
    </w:p>
    <w:p w14:paraId="1BFC2AF9" w14:textId="77777777" w:rsidR="00E80956" w:rsidRPr="0029161C" w:rsidRDefault="00E80956" w:rsidP="00E80956">
      <w:pPr>
        <w:jc w:val="both"/>
      </w:pPr>
    </w:p>
    <w:p w14:paraId="3409615C" w14:textId="77777777" w:rsidR="00E80956" w:rsidRPr="0029161C" w:rsidRDefault="00E80956" w:rsidP="00E80956">
      <w:pPr>
        <w:ind w:left="1440" w:hanging="1440"/>
        <w:jc w:val="both"/>
      </w:pPr>
      <w:r>
        <w:rPr>
          <w:b/>
          <w:bCs/>
        </w:rPr>
        <w:t>ISSUE 34</w:t>
      </w:r>
      <w:r w:rsidRPr="0029161C">
        <w:rPr>
          <w:b/>
          <w:bCs/>
        </w:rPr>
        <w:t>:</w:t>
      </w:r>
      <w:r w:rsidRPr="0029161C">
        <w:tab/>
      </w:r>
      <w:r w:rsidR="00D2397D" w:rsidRPr="006611E9">
        <w:rPr>
          <w:b/>
        </w:rPr>
        <w:t>What equity ratio should be approved for the projected test year capital structure?</w:t>
      </w:r>
    </w:p>
    <w:p w14:paraId="66E8C429" w14:textId="77777777" w:rsidR="00E80956" w:rsidRPr="0029161C" w:rsidRDefault="00E80956" w:rsidP="00E80956">
      <w:pPr>
        <w:jc w:val="both"/>
      </w:pPr>
    </w:p>
    <w:p w14:paraId="0ABA4C83" w14:textId="77777777" w:rsidR="00E80956" w:rsidRPr="0029161C" w:rsidRDefault="00E80956" w:rsidP="00E80956">
      <w:pPr>
        <w:ind w:left="1440" w:hanging="1440"/>
        <w:jc w:val="both"/>
      </w:pPr>
      <w:r>
        <w:rPr>
          <w:b/>
          <w:bCs/>
        </w:rPr>
        <w:t>PGS</w:t>
      </w:r>
      <w:r w:rsidRPr="0029161C">
        <w:rPr>
          <w:b/>
          <w:bCs/>
        </w:rPr>
        <w:t>:</w:t>
      </w:r>
      <w:r w:rsidRPr="0029161C">
        <w:tab/>
      </w:r>
      <w:r w:rsidR="000C0D78" w:rsidRPr="00F71D16">
        <w:rPr>
          <w:color w:val="000000"/>
          <w:kern w:val="2"/>
          <w:szCs w:val="22"/>
          <w14:ligatures w14:val="standardContextual"/>
        </w:rPr>
        <w:t>The appropriate equity ratio for the projected test year capital structure is 54.7 percent (investor sources)</w:t>
      </w:r>
      <w:r w:rsidR="000C0D78">
        <w:rPr>
          <w:color w:val="000000"/>
          <w:kern w:val="2"/>
          <w:szCs w:val="22"/>
          <w14:ligatures w14:val="standardContextual"/>
        </w:rPr>
        <w:t xml:space="preserve">. OPC’s proposed equity ratio would not be sufficient to maintain the company’s financial integrity, is far below actual levels since 1998, and should be rejected. </w:t>
      </w:r>
      <w:r w:rsidR="000C0D78" w:rsidRPr="00F71D16">
        <w:rPr>
          <w:color w:val="000000"/>
          <w:kern w:val="2"/>
          <w:szCs w:val="22"/>
          <w14:ligatures w14:val="standardContextual"/>
        </w:rPr>
        <w:t>(McOnie)</w:t>
      </w:r>
    </w:p>
    <w:p w14:paraId="2815FB7B" w14:textId="77777777" w:rsidR="00E80956" w:rsidRPr="0029161C" w:rsidRDefault="00E80956" w:rsidP="00E80956">
      <w:pPr>
        <w:jc w:val="both"/>
      </w:pPr>
    </w:p>
    <w:p w14:paraId="6E5D78DE" w14:textId="77777777" w:rsidR="00E80956" w:rsidRDefault="00E80956" w:rsidP="00E80956">
      <w:pPr>
        <w:ind w:left="1440" w:hanging="1440"/>
        <w:jc w:val="both"/>
      </w:pPr>
      <w:r>
        <w:rPr>
          <w:b/>
          <w:bCs/>
        </w:rPr>
        <w:t>OPC</w:t>
      </w:r>
      <w:r w:rsidRPr="0029161C">
        <w:rPr>
          <w:b/>
          <w:bCs/>
        </w:rPr>
        <w:t>:</w:t>
      </w:r>
      <w:r>
        <w:tab/>
      </w:r>
      <w:r w:rsidR="00537D68" w:rsidRPr="003E4625">
        <w:t>The Commission should approve a 4</w:t>
      </w:r>
      <w:r w:rsidR="00537D68">
        <w:t>9</w:t>
      </w:r>
      <w:r w:rsidR="00537D68" w:rsidRPr="003E4625">
        <w:t>.</w:t>
      </w:r>
      <w:r w:rsidR="00537D68">
        <w:t>2</w:t>
      </w:r>
      <w:r w:rsidR="00537D68" w:rsidRPr="003E4625">
        <w:t>6% equity ratio. (</w:t>
      </w:r>
      <w:r w:rsidR="00537D68">
        <w:t xml:space="preserve">Garrett and </w:t>
      </w:r>
      <w:r w:rsidR="00537D68" w:rsidRPr="003E4625">
        <w:t>Kollen)</w:t>
      </w:r>
    </w:p>
    <w:p w14:paraId="12F2DF07" w14:textId="77777777" w:rsidR="00E80956" w:rsidRDefault="00E80956" w:rsidP="00E80956">
      <w:pPr>
        <w:jc w:val="both"/>
      </w:pPr>
    </w:p>
    <w:p w14:paraId="0A62C51F"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0A30E4DF" w14:textId="77777777" w:rsidR="00E80956" w:rsidRPr="0029161C" w:rsidRDefault="00E80956" w:rsidP="00E80956">
      <w:pPr>
        <w:jc w:val="both"/>
      </w:pPr>
    </w:p>
    <w:p w14:paraId="10C8F1BE"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07EEB861" w14:textId="77777777" w:rsidR="00E80956" w:rsidRPr="0029161C" w:rsidRDefault="00E80956" w:rsidP="00E80956">
      <w:pPr>
        <w:jc w:val="both"/>
      </w:pPr>
    </w:p>
    <w:p w14:paraId="6C24171C" w14:textId="77777777" w:rsidR="00E80956" w:rsidRPr="0029161C" w:rsidRDefault="00E80956" w:rsidP="00E80956">
      <w:pPr>
        <w:jc w:val="both"/>
      </w:pPr>
    </w:p>
    <w:p w14:paraId="3F977E04" w14:textId="77777777" w:rsidR="00E80956" w:rsidRPr="0029161C" w:rsidRDefault="00D2397D" w:rsidP="00E80956">
      <w:pPr>
        <w:ind w:left="1440" w:hanging="1440"/>
        <w:jc w:val="both"/>
      </w:pPr>
      <w:r>
        <w:rPr>
          <w:b/>
          <w:bCs/>
        </w:rPr>
        <w:t>ISSUE 35</w:t>
      </w:r>
      <w:r w:rsidR="00E80956" w:rsidRPr="0029161C">
        <w:rPr>
          <w:b/>
          <w:bCs/>
        </w:rPr>
        <w:t>:</w:t>
      </w:r>
      <w:r w:rsidR="00E80956" w:rsidRPr="0029161C">
        <w:tab/>
      </w:r>
      <w:r w:rsidRPr="006611E9">
        <w:rPr>
          <w:b/>
        </w:rPr>
        <w:t>What return on equity (ROE) should be approved for establishing PGS’s projected test year revenue requirement?</w:t>
      </w:r>
    </w:p>
    <w:p w14:paraId="31CA2836" w14:textId="77777777" w:rsidR="00E80956" w:rsidRPr="0029161C" w:rsidRDefault="00E80956" w:rsidP="00E80956">
      <w:pPr>
        <w:jc w:val="both"/>
      </w:pPr>
    </w:p>
    <w:p w14:paraId="33756168" w14:textId="77777777" w:rsidR="00E80956" w:rsidRPr="0029161C" w:rsidRDefault="00E80956" w:rsidP="00E80956">
      <w:pPr>
        <w:ind w:left="1440" w:hanging="1440"/>
        <w:jc w:val="both"/>
      </w:pPr>
      <w:r>
        <w:rPr>
          <w:b/>
          <w:bCs/>
        </w:rPr>
        <w:t>PGS</w:t>
      </w:r>
      <w:r w:rsidRPr="0029161C">
        <w:rPr>
          <w:b/>
          <w:bCs/>
        </w:rPr>
        <w:t>:</w:t>
      </w:r>
      <w:r w:rsidRPr="0029161C">
        <w:tab/>
      </w:r>
      <w:r w:rsidR="000C0D78" w:rsidRPr="00F71D16">
        <w:rPr>
          <w:color w:val="000000"/>
          <w:kern w:val="2"/>
          <w:szCs w:val="22"/>
          <w14:ligatures w14:val="standardContextual"/>
        </w:rPr>
        <w:t xml:space="preserve">The appropriate authorized return on equity (ROE) for the projected test year is a midpoint of 11 percent with a range of plus or minus 100 basis points. </w:t>
      </w:r>
      <w:r w:rsidR="000C0D78">
        <w:rPr>
          <w:color w:val="000000"/>
          <w:kern w:val="2"/>
          <w:szCs w:val="22"/>
          <w14:ligatures w14:val="standardContextual"/>
        </w:rPr>
        <w:t xml:space="preserve">OPC’s proposed rate of return on equity is not reasonable and should be rejected. </w:t>
      </w:r>
      <w:r w:rsidR="000C0D78" w:rsidRPr="00F71D16">
        <w:rPr>
          <w:color w:val="000000"/>
          <w:kern w:val="2"/>
          <w:szCs w:val="22"/>
          <w14:ligatures w14:val="standardContextual"/>
        </w:rPr>
        <w:t>(D’Ascendis)</w:t>
      </w:r>
    </w:p>
    <w:p w14:paraId="392698B1" w14:textId="77777777" w:rsidR="00E80956" w:rsidRPr="0029161C" w:rsidRDefault="00E80956" w:rsidP="00E80956">
      <w:pPr>
        <w:jc w:val="both"/>
      </w:pPr>
    </w:p>
    <w:p w14:paraId="18BC83D6" w14:textId="77777777" w:rsidR="00E80956" w:rsidRDefault="00E80956" w:rsidP="00E80956">
      <w:pPr>
        <w:ind w:left="1440" w:hanging="1440"/>
        <w:jc w:val="both"/>
      </w:pPr>
      <w:r>
        <w:rPr>
          <w:b/>
          <w:bCs/>
        </w:rPr>
        <w:t>OPC</w:t>
      </w:r>
      <w:r w:rsidRPr="0029161C">
        <w:rPr>
          <w:b/>
          <w:bCs/>
        </w:rPr>
        <w:t>:</w:t>
      </w:r>
      <w:r>
        <w:tab/>
      </w:r>
      <w:r w:rsidR="00537D68" w:rsidRPr="003E4625">
        <w:t>The Commission should approve a 9.00% ROE. (Garrett)</w:t>
      </w:r>
    </w:p>
    <w:p w14:paraId="131A71CD" w14:textId="77777777" w:rsidR="00E80956" w:rsidRDefault="00E80956" w:rsidP="00E80956">
      <w:pPr>
        <w:jc w:val="both"/>
      </w:pPr>
    </w:p>
    <w:p w14:paraId="788C7CC4" w14:textId="77777777" w:rsidR="00E80956" w:rsidRPr="00A4526E" w:rsidRDefault="00E80956" w:rsidP="00E80956">
      <w:pPr>
        <w:ind w:left="1440" w:hanging="1440"/>
        <w:jc w:val="both"/>
      </w:pPr>
      <w:r>
        <w:rPr>
          <w:b/>
        </w:rPr>
        <w:t>FIPUG:</w:t>
      </w:r>
      <w:r>
        <w:rPr>
          <w:b/>
        </w:rPr>
        <w:tab/>
      </w:r>
      <w:r w:rsidR="008E1978">
        <w:t>Less than 10%.</w:t>
      </w:r>
    </w:p>
    <w:p w14:paraId="409B6D5B" w14:textId="77777777" w:rsidR="00E80956" w:rsidRPr="0029161C" w:rsidRDefault="00E80956" w:rsidP="00E80956">
      <w:pPr>
        <w:jc w:val="both"/>
      </w:pPr>
    </w:p>
    <w:p w14:paraId="25BF032B"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2BE94A8F" w14:textId="166D2BA9" w:rsidR="0070461A" w:rsidRDefault="0070461A"/>
    <w:p w14:paraId="7530AA5D" w14:textId="77777777" w:rsidR="00DC31BF" w:rsidRDefault="00DC31BF"/>
    <w:p w14:paraId="2FDE23CC" w14:textId="77777777" w:rsidR="00E80956" w:rsidRPr="0029161C" w:rsidRDefault="00E80956" w:rsidP="00E80956">
      <w:pPr>
        <w:ind w:left="1440" w:hanging="1440"/>
        <w:jc w:val="both"/>
      </w:pPr>
      <w:r>
        <w:rPr>
          <w:b/>
          <w:bCs/>
        </w:rPr>
        <w:t>ISSUE 36</w:t>
      </w:r>
      <w:r w:rsidRPr="0029161C">
        <w:rPr>
          <w:b/>
          <w:bCs/>
        </w:rPr>
        <w:t>:</w:t>
      </w:r>
      <w:r w:rsidRPr="0029161C">
        <w:tab/>
      </w:r>
      <w:r w:rsidR="00D2397D" w:rsidRPr="006611E9">
        <w:rPr>
          <w:b/>
        </w:rPr>
        <w:t>What capital structure and weighted average cost of capital should be approved for establishing PGS’s projected test year revenue requirement?</w:t>
      </w:r>
    </w:p>
    <w:p w14:paraId="78100666" w14:textId="77777777" w:rsidR="00E80956" w:rsidRPr="0029161C" w:rsidRDefault="00E80956" w:rsidP="00E80956">
      <w:pPr>
        <w:jc w:val="both"/>
      </w:pPr>
    </w:p>
    <w:p w14:paraId="19D2673A" w14:textId="77777777" w:rsidR="00E80956" w:rsidRDefault="00E80956" w:rsidP="00E80956">
      <w:pPr>
        <w:ind w:left="1440" w:hanging="1440"/>
        <w:jc w:val="both"/>
        <w:rPr>
          <w:color w:val="000000"/>
          <w:kern w:val="2"/>
          <w:szCs w:val="22"/>
          <w14:ligatures w14:val="standardContextual"/>
        </w:rPr>
      </w:pPr>
      <w:r>
        <w:rPr>
          <w:b/>
          <w:bCs/>
        </w:rPr>
        <w:t>PGS</w:t>
      </w:r>
      <w:r w:rsidRPr="0029161C">
        <w:rPr>
          <w:b/>
          <w:bCs/>
        </w:rPr>
        <w:t>:</w:t>
      </w:r>
      <w:r w:rsidRPr="0029161C">
        <w:tab/>
      </w:r>
      <w:r w:rsidR="000C0D78">
        <w:rPr>
          <w:color w:val="000000"/>
          <w:kern w:val="2"/>
          <w:szCs w:val="22"/>
          <w14:ligatures w14:val="standardContextual"/>
        </w:rPr>
        <w:t>The appropriate capital structure</w:t>
      </w:r>
      <w:r w:rsidR="000C0D78" w:rsidRPr="00F71D16">
        <w:rPr>
          <w:color w:val="000000"/>
          <w:kern w:val="2"/>
          <w:szCs w:val="22"/>
          <w14:ligatures w14:val="standardContextual"/>
        </w:rPr>
        <w:t xml:space="preserve"> </w:t>
      </w:r>
      <w:r w:rsidR="000C0D78">
        <w:rPr>
          <w:color w:val="000000"/>
          <w:kern w:val="2"/>
          <w:szCs w:val="22"/>
          <w14:ligatures w14:val="standardContextual"/>
        </w:rPr>
        <w:t>and average cost of capital is shown in the below table. The resulting average cost of capital is 7.4</w:t>
      </w:r>
      <w:r w:rsidR="009C0097">
        <w:rPr>
          <w:color w:val="000000"/>
          <w:kern w:val="2"/>
          <w:szCs w:val="22"/>
          <w14:ligatures w14:val="standardContextual"/>
        </w:rPr>
        <w:t>1</w:t>
      </w:r>
      <w:r w:rsidR="000C0D78">
        <w:rPr>
          <w:color w:val="000000"/>
          <w:kern w:val="2"/>
          <w:szCs w:val="22"/>
          <w14:ligatures w14:val="standardContextual"/>
        </w:rPr>
        <w:t xml:space="preserve"> percent. </w:t>
      </w:r>
      <w:r w:rsidR="000C0D78" w:rsidRPr="00F71D16">
        <w:rPr>
          <w:color w:val="000000"/>
          <w:kern w:val="2"/>
          <w:szCs w:val="22"/>
          <w14:ligatures w14:val="standardContextual"/>
        </w:rPr>
        <w:t>(Parsons)</w:t>
      </w:r>
    </w:p>
    <w:p w14:paraId="37CECC66" w14:textId="77777777" w:rsidR="009C0097" w:rsidRDefault="009C0097" w:rsidP="00E80956">
      <w:pPr>
        <w:ind w:left="1440" w:hanging="1440"/>
        <w:jc w:val="both"/>
        <w:rPr>
          <w:color w:val="000000"/>
          <w:kern w:val="2"/>
          <w:szCs w:val="22"/>
          <w14:ligatures w14:val="standardContextual"/>
        </w:rPr>
      </w:pPr>
    </w:p>
    <w:p w14:paraId="138444F7" w14:textId="77777777" w:rsidR="009C0097" w:rsidRDefault="0070461A" w:rsidP="00E80956">
      <w:pPr>
        <w:ind w:left="1440" w:hanging="1440"/>
        <w:jc w:val="both"/>
        <w:rPr>
          <w:color w:val="000000"/>
          <w:kern w:val="2"/>
          <w:szCs w:val="22"/>
          <w14:ligatures w14:val="standardContextual"/>
        </w:rPr>
      </w:pPr>
      <w:r w:rsidRPr="006E1F0C">
        <w:rPr>
          <w:noProof/>
        </w:rPr>
        <w:lastRenderedPageBreak/>
        <w:drawing>
          <wp:inline distT="0" distB="0" distL="0" distR="0" wp14:anchorId="2D82CD99" wp14:editId="0E1635C9">
            <wp:extent cx="5943600" cy="2209165"/>
            <wp:effectExtent l="0" t="0" r="0" b="635"/>
            <wp:docPr id="28278266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82669" name="Picture 1" descr="A screenshot of a computer scree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209165"/>
                    </a:xfrm>
                    <a:prstGeom prst="rect">
                      <a:avLst/>
                    </a:prstGeom>
                    <a:noFill/>
                    <a:ln>
                      <a:noFill/>
                    </a:ln>
                  </pic:spPr>
                </pic:pic>
              </a:graphicData>
            </a:graphic>
          </wp:inline>
        </w:drawing>
      </w:r>
    </w:p>
    <w:p w14:paraId="54567E63" w14:textId="77777777" w:rsidR="00E80956" w:rsidRPr="0029161C" w:rsidRDefault="00E80956" w:rsidP="00E80956">
      <w:pPr>
        <w:jc w:val="both"/>
      </w:pPr>
    </w:p>
    <w:p w14:paraId="153B80D2" w14:textId="49B23911" w:rsidR="00E80956" w:rsidRDefault="00E80956" w:rsidP="00E80956">
      <w:pPr>
        <w:ind w:left="1440" w:hanging="1440"/>
        <w:jc w:val="both"/>
      </w:pPr>
      <w:r>
        <w:rPr>
          <w:b/>
          <w:bCs/>
        </w:rPr>
        <w:t>OPC</w:t>
      </w:r>
      <w:r w:rsidRPr="0029161C">
        <w:rPr>
          <w:b/>
          <w:bCs/>
        </w:rPr>
        <w:t>:</w:t>
      </w:r>
      <w:r>
        <w:tab/>
      </w:r>
      <w:r w:rsidR="00537D68" w:rsidRPr="003E4625">
        <w:t>The Commission should approve a weighted average cost</w:t>
      </w:r>
      <w:r w:rsidR="00537D68">
        <w:t xml:space="preserve"> of capital of 5.87</w:t>
      </w:r>
      <w:r w:rsidR="00537D68" w:rsidRPr="003E4625">
        <w:t>%</w:t>
      </w:r>
      <w:r w:rsidR="00537D68">
        <w:t xml:space="preserve"> and the capital structure shown in the testimony of OPC’s experts</w:t>
      </w:r>
      <w:r w:rsidR="00537D68" w:rsidRPr="003E4625">
        <w:t>. (</w:t>
      </w:r>
      <w:r w:rsidR="00537D68">
        <w:t xml:space="preserve">Garrett and </w:t>
      </w:r>
      <w:r w:rsidR="00537D68" w:rsidRPr="003E4625">
        <w:t>Kollen)</w:t>
      </w:r>
    </w:p>
    <w:p w14:paraId="55440EE0" w14:textId="77777777" w:rsidR="006E1F0C" w:rsidRDefault="006E1F0C" w:rsidP="00E80956">
      <w:pPr>
        <w:ind w:left="1440" w:hanging="1440"/>
        <w:jc w:val="both"/>
      </w:pPr>
    </w:p>
    <w:p w14:paraId="249DEF8C"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59FB866E" w14:textId="77777777" w:rsidR="00E80956" w:rsidRPr="0029161C" w:rsidRDefault="00E80956" w:rsidP="00E80956">
      <w:pPr>
        <w:jc w:val="both"/>
      </w:pPr>
    </w:p>
    <w:p w14:paraId="2161091F"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22A7B7F7" w14:textId="77777777" w:rsidR="00E80956" w:rsidRDefault="00E80956" w:rsidP="00E80956">
      <w:pPr>
        <w:jc w:val="both"/>
      </w:pPr>
    </w:p>
    <w:p w14:paraId="17494012" w14:textId="77777777" w:rsidR="00D2397D" w:rsidRPr="0029161C" w:rsidRDefault="00D2397D" w:rsidP="00D2397D">
      <w:pPr>
        <w:jc w:val="center"/>
      </w:pPr>
      <w:r>
        <w:rPr>
          <w:b/>
          <w:u w:val="single"/>
        </w:rPr>
        <w:t>NET OPERATING INCOME</w:t>
      </w:r>
    </w:p>
    <w:p w14:paraId="702BB4FF" w14:textId="77777777" w:rsidR="00E80956" w:rsidRPr="0029161C" w:rsidRDefault="00E80956" w:rsidP="00E80956">
      <w:pPr>
        <w:jc w:val="both"/>
      </w:pPr>
    </w:p>
    <w:p w14:paraId="0103DD90" w14:textId="13059872" w:rsidR="00E80956" w:rsidRPr="0029161C" w:rsidRDefault="00E80956" w:rsidP="00EC4766">
      <w:pPr>
        <w:ind w:left="1440" w:hanging="1440"/>
        <w:jc w:val="both"/>
        <w:rPr>
          <w:b/>
          <w:bCs/>
        </w:rPr>
      </w:pPr>
      <w:r>
        <w:rPr>
          <w:b/>
          <w:bCs/>
        </w:rPr>
        <w:t>ISSUE 37</w:t>
      </w:r>
      <w:r w:rsidRPr="0029161C">
        <w:rPr>
          <w:b/>
          <w:bCs/>
        </w:rPr>
        <w:t>:</w:t>
      </w:r>
      <w:r w:rsidRPr="0029161C">
        <w:tab/>
      </w:r>
      <w:r w:rsidR="00EC4766">
        <w:rPr>
          <w:b/>
        </w:rPr>
        <w:t>Proposed Type 2 Stipulation; see Section X.</w:t>
      </w:r>
    </w:p>
    <w:p w14:paraId="0C57834E" w14:textId="77777777" w:rsidR="00E80956" w:rsidRPr="0029161C" w:rsidRDefault="00E80956" w:rsidP="00E80956">
      <w:pPr>
        <w:jc w:val="both"/>
      </w:pPr>
    </w:p>
    <w:p w14:paraId="1454FE56" w14:textId="77777777" w:rsidR="00E80956" w:rsidRPr="0029161C" w:rsidRDefault="00E80956" w:rsidP="00E80956">
      <w:pPr>
        <w:jc w:val="both"/>
      </w:pPr>
    </w:p>
    <w:p w14:paraId="1BADF4A9" w14:textId="77777777" w:rsidR="00E80956" w:rsidRPr="0029161C" w:rsidRDefault="00E80956" w:rsidP="00E80956">
      <w:pPr>
        <w:ind w:left="1440" w:hanging="1440"/>
        <w:jc w:val="both"/>
      </w:pPr>
      <w:r>
        <w:rPr>
          <w:b/>
          <w:bCs/>
        </w:rPr>
        <w:t>ISSUE 38</w:t>
      </w:r>
      <w:r w:rsidRPr="0029161C">
        <w:rPr>
          <w:b/>
          <w:bCs/>
        </w:rPr>
        <w:t>:</w:t>
      </w:r>
      <w:r w:rsidRPr="0029161C">
        <w:tab/>
      </w:r>
      <w:r w:rsidR="002247DD" w:rsidRPr="00810A45">
        <w:rPr>
          <w:b/>
        </w:rPr>
        <w:t>Has PGS made the proper adjustments to remove all non-utility activities from projected test year operating expenses, including depreciation and amortization expense? If not, what adjustments should be made?</w:t>
      </w:r>
    </w:p>
    <w:p w14:paraId="7B8FB731" w14:textId="77777777" w:rsidR="00E80956" w:rsidRPr="0029161C" w:rsidRDefault="00E80956" w:rsidP="00E80956">
      <w:pPr>
        <w:jc w:val="both"/>
      </w:pPr>
    </w:p>
    <w:p w14:paraId="5373D969" w14:textId="656F2F32" w:rsidR="00E80956" w:rsidRDefault="00E80956" w:rsidP="00E80956">
      <w:pPr>
        <w:ind w:left="1440" w:hanging="1440"/>
        <w:jc w:val="both"/>
      </w:pPr>
      <w:r>
        <w:rPr>
          <w:b/>
          <w:bCs/>
        </w:rPr>
        <w:t>PGS</w:t>
      </w:r>
      <w:r w:rsidRPr="0029161C">
        <w:rPr>
          <w:b/>
          <w:bCs/>
        </w:rPr>
        <w:t>:</w:t>
      </w:r>
      <w:r w:rsidRPr="0029161C">
        <w:tab/>
      </w:r>
      <w:r w:rsidR="006F69E2" w:rsidRPr="00F71D16">
        <w:t>Yes. The appropriate adjustments to remove all non-utility activities from operation expenses has been made, as shown on MFR Schedule G-2, pages 2-3</w:t>
      </w:r>
      <w:r w:rsidR="006F69E2">
        <w:t xml:space="preserve">. The Commission should reject OPC’s proposed adjustment to remove its Three RNG Projects from its regulated revenue requirement. </w:t>
      </w:r>
      <w:r w:rsidR="006F69E2" w:rsidRPr="00F71D16">
        <w:t>(Parsons</w:t>
      </w:r>
      <w:r w:rsidR="006F69E2">
        <w:t>, Buzard</w:t>
      </w:r>
      <w:r w:rsidR="006F69E2" w:rsidRPr="00F71D16">
        <w:t>)</w:t>
      </w:r>
    </w:p>
    <w:p w14:paraId="75726B00" w14:textId="77777777" w:rsidR="00DC31BF" w:rsidRPr="0029161C" w:rsidRDefault="00DC31BF" w:rsidP="00E80956">
      <w:pPr>
        <w:ind w:left="1440" w:hanging="1440"/>
        <w:jc w:val="both"/>
      </w:pPr>
    </w:p>
    <w:p w14:paraId="25D4A31E" w14:textId="77777777" w:rsidR="00E80956" w:rsidRDefault="00E80956" w:rsidP="00E80956">
      <w:pPr>
        <w:ind w:left="1440" w:hanging="1440"/>
        <w:jc w:val="both"/>
      </w:pPr>
      <w:r>
        <w:rPr>
          <w:b/>
          <w:bCs/>
        </w:rPr>
        <w:t>OPC</w:t>
      </w:r>
      <w:r w:rsidRPr="0029161C">
        <w:rPr>
          <w:b/>
          <w:bCs/>
        </w:rPr>
        <w:t>:</w:t>
      </w:r>
      <w:r>
        <w:tab/>
      </w:r>
      <w:r w:rsidR="00DB16F3" w:rsidRPr="0074449E">
        <w:t>No.</w:t>
      </w:r>
      <w:r w:rsidR="00DB16F3">
        <w:t xml:space="preserve">  The Commission should reflect an additional reduction in rate base related to the under-allocation of capitalized labor to Seacoast Gas Transmission (SGT) as discussed in Issue 13. Furthermore, the removal of the Alliance Dairies Project related to Issue 18, should be properly reflected.</w:t>
      </w:r>
    </w:p>
    <w:p w14:paraId="69828ACA" w14:textId="77777777" w:rsidR="00E80956" w:rsidRDefault="00E80956" w:rsidP="00E80956">
      <w:pPr>
        <w:jc w:val="both"/>
      </w:pPr>
    </w:p>
    <w:p w14:paraId="50135FDE"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1251A47D" w14:textId="77777777" w:rsidR="00E80956" w:rsidRPr="0029161C" w:rsidRDefault="00E80956" w:rsidP="00E80956">
      <w:pPr>
        <w:jc w:val="both"/>
      </w:pPr>
    </w:p>
    <w:p w14:paraId="612004E8"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24692CA6" w14:textId="77777777" w:rsidR="00E80956" w:rsidRPr="0029161C" w:rsidRDefault="00E80956" w:rsidP="00E80956">
      <w:pPr>
        <w:jc w:val="both"/>
      </w:pPr>
    </w:p>
    <w:p w14:paraId="71E29326" w14:textId="77777777" w:rsidR="00E80956" w:rsidRPr="0029161C" w:rsidRDefault="00E80956" w:rsidP="00E80956">
      <w:pPr>
        <w:jc w:val="both"/>
      </w:pPr>
    </w:p>
    <w:p w14:paraId="61AE518A" w14:textId="59B00ED7" w:rsidR="00E80956" w:rsidRPr="0029161C" w:rsidRDefault="00E80956" w:rsidP="00EC4766">
      <w:pPr>
        <w:ind w:left="1440" w:hanging="1440"/>
        <w:jc w:val="both"/>
        <w:rPr>
          <w:b/>
          <w:bCs/>
        </w:rPr>
      </w:pPr>
      <w:r>
        <w:rPr>
          <w:b/>
          <w:bCs/>
        </w:rPr>
        <w:t>ISSUE 39</w:t>
      </w:r>
      <w:r w:rsidRPr="0029161C">
        <w:rPr>
          <w:b/>
          <w:bCs/>
        </w:rPr>
        <w:t>:</w:t>
      </w:r>
      <w:r w:rsidRPr="0029161C">
        <w:tab/>
      </w:r>
      <w:r w:rsidR="00E873CD">
        <w:rPr>
          <w:b/>
        </w:rPr>
        <w:t>Proposed Type 1</w:t>
      </w:r>
      <w:r w:rsidR="00EC4766">
        <w:rPr>
          <w:b/>
        </w:rPr>
        <w:t xml:space="preserve"> Stipulation; see Section X.</w:t>
      </w:r>
    </w:p>
    <w:p w14:paraId="777B0E25" w14:textId="77777777" w:rsidR="00E80956" w:rsidRPr="0029161C" w:rsidRDefault="00E80956" w:rsidP="00E80956">
      <w:pPr>
        <w:jc w:val="both"/>
      </w:pPr>
    </w:p>
    <w:p w14:paraId="46DA9AAD" w14:textId="77777777" w:rsidR="00E80956" w:rsidRPr="0029161C" w:rsidRDefault="00E80956" w:rsidP="00E80956">
      <w:pPr>
        <w:jc w:val="both"/>
      </w:pPr>
    </w:p>
    <w:p w14:paraId="2B90BDA0" w14:textId="3E065514" w:rsidR="00E80956" w:rsidRPr="0029161C" w:rsidRDefault="00E80956" w:rsidP="00EC4766">
      <w:pPr>
        <w:ind w:left="1440" w:hanging="1440"/>
        <w:jc w:val="both"/>
        <w:rPr>
          <w:b/>
          <w:bCs/>
        </w:rPr>
      </w:pPr>
      <w:r>
        <w:rPr>
          <w:b/>
          <w:bCs/>
        </w:rPr>
        <w:t>ISSUE 40</w:t>
      </w:r>
      <w:r w:rsidRPr="0029161C">
        <w:rPr>
          <w:b/>
          <w:bCs/>
        </w:rPr>
        <w:t>:</w:t>
      </w:r>
      <w:r w:rsidRPr="0029161C">
        <w:tab/>
      </w:r>
      <w:r w:rsidR="00EC4766">
        <w:rPr>
          <w:b/>
        </w:rPr>
        <w:t>Proposed Type 2 Stipulation; see Section X.</w:t>
      </w:r>
    </w:p>
    <w:p w14:paraId="6AC779E4" w14:textId="77777777" w:rsidR="00E80956" w:rsidRPr="0029161C" w:rsidRDefault="00E80956" w:rsidP="00E80956">
      <w:pPr>
        <w:jc w:val="both"/>
      </w:pPr>
    </w:p>
    <w:p w14:paraId="019C06B5" w14:textId="77777777" w:rsidR="00E80956" w:rsidRPr="0029161C" w:rsidRDefault="00E80956" w:rsidP="00E80956">
      <w:pPr>
        <w:jc w:val="both"/>
      </w:pPr>
    </w:p>
    <w:p w14:paraId="59BA105D" w14:textId="77777777" w:rsidR="00E80956" w:rsidRPr="0029161C" w:rsidRDefault="00E80956" w:rsidP="00E80956">
      <w:pPr>
        <w:ind w:left="1440" w:hanging="1440"/>
        <w:jc w:val="both"/>
      </w:pPr>
      <w:r w:rsidRPr="0029161C">
        <w:rPr>
          <w:b/>
          <w:bCs/>
        </w:rPr>
        <w:t xml:space="preserve">ISSUE </w:t>
      </w:r>
      <w:r>
        <w:rPr>
          <w:b/>
          <w:bCs/>
        </w:rPr>
        <w:t>4</w:t>
      </w:r>
      <w:r w:rsidRPr="0029161C">
        <w:rPr>
          <w:b/>
          <w:bCs/>
        </w:rPr>
        <w:t>1:</w:t>
      </w:r>
      <w:r w:rsidRPr="0029161C">
        <w:tab/>
      </w:r>
      <w:r w:rsidR="002247DD" w:rsidRPr="00810A45">
        <w:rPr>
          <w:b/>
        </w:rPr>
        <w:t>What amount of projected test year contractor and contract services cost should be approved?</w:t>
      </w:r>
    </w:p>
    <w:p w14:paraId="5212ABFB" w14:textId="77777777" w:rsidR="00E80956" w:rsidRPr="0029161C" w:rsidRDefault="00E80956" w:rsidP="00E80956">
      <w:pPr>
        <w:jc w:val="both"/>
      </w:pPr>
    </w:p>
    <w:p w14:paraId="315CAC94" w14:textId="77777777" w:rsidR="00E80956" w:rsidRPr="0029161C" w:rsidRDefault="00E80956" w:rsidP="00E80956">
      <w:pPr>
        <w:ind w:left="1440" w:hanging="1440"/>
        <w:jc w:val="both"/>
      </w:pPr>
      <w:r>
        <w:rPr>
          <w:b/>
          <w:bCs/>
        </w:rPr>
        <w:t>PGS</w:t>
      </w:r>
      <w:r w:rsidRPr="0029161C">
        <w:rPr>
          <w:b/>
          <w:bCs/>
        </w:rPr>
        <w:t>:</w:t>
      </w:r>
      <w:r w:rsidRPr="0029161C">
        <w:tab/>
      </w:r>
      <w:r w:rsidR="006F69E2">
        <w:rPr>
          <w:color w:val="000000"/>
          <w:kern w:val="2"/>
          <w:szCs w:val="22"/>
          <w14:ligatures w14:val="standardContextual"/>
        </w:rPr>
        <w:t xml:space="preserve">The appropriate amount of projected </w:t>
      </w:r>
      <w:r w:rsidR="006F69E2" w:rsidRPr="00F71D16">
        <w:rPr>
          <w:color w:val="000000"/>
          <w:kern w:val="2"/>
          <w:szCs w:val="22"/>
          <w14:ligatures w14:val="standardContextual"/>
        </w:rPr>
        <w:t>test year contractor and contract services cost should be</w:t>
      </w:r>
      <w:r w:rsidR="006F69E2">
        <w:rPr>
          <w:color w:val="000000"/>
          <w:kern w:val="2"/>
          <w:szCs w:val="22"/>
          <w14:ligatures w14:val="standardContextual"/>
        </w:rPr>
        <w:t xml:space="preserve"> $24,989,844. This amount reflects a total of $25,179,844 included in PGS’ filing less an adjustment of $190,000 for the decrease in the projected test year standalone audit fees based. </w:t>
      </w:r>
      <w:r w:rsidR="006F69E2" w:rsidRPr="00F71D16">
        <w:rPr>
          <w:color w:val="000000"/>
          <w:kern w:val="2"/>
          <w:szCs w:val="22"/>
          <w14:ligatures w14:val="standardContextual"/>
        </w:rPr>
        <w:t>(O’Connor, Richard,</w:t>
      </w:r>
      <w:r w:rsidR="006F69E2">
        <w:rPr>
          <w:color w:val="000000"/>
          <w:kern w:val="2"/>
          <w:szCs w:val="22"/>
          <w14:ligatures w14:val="standardContextual"/>
        </w:rPr>
        <w:t xml:space="preserve"> Rutkin, </w:t>
      </w:r>
      <w:r w:rsidR="006F69E2" w:rsidRPr="00F71D16">
        <w:rPr>
          <w:color w:val="000000"/>
          <w:kern w:val="2"/>
          <w:szCs w:val="22"/>
          <w14:ligatures w14:val="standardContextual"/>
        </w:rPr>
        <w:t>Parsons)</w:t>
      </w:r>
    </w:p>
    <w:p w14:paraId="4B556EED" w14:textId="77777777" w:rsidR="00E80956" w:rsidRPr="0029161C" w:rsidRDefault="00E80956" w:rsidP="00E80956">
      <w:pPr>
        <w:jc w:val="both"/>
      </w:pPr>
    </w:p>
    <w:p w14:paraId="278D46AD" w14:textId="77777777" w:rsidR="00E80956" w:rsidRDefault="00E80956" w:rsidP="00E80956">
      <w:pPr>
        <w:ind w:left="1440" w:hanging="1440"/>
        <w:jc w:val="both"/>
      </w:pPr>
      <w:r>
        <w:rPr>
          <w:b/>
          <w:bCs/>
        </w:rPr>
        <w:t>OPC</w:t>
      </w:r>
      <w:r w:rsidRPr="0029161C">
        <w:rPr>
          <w:b/>
          <w:bCs/>
        </w:rPr>
        <w:t>:</w:t>
      </w:r>
      <w:r>
        <w:tab/>
      </w:r>
      <w:r w:rsidR="00363FD2" w:rsidRPr="00C42754">
        <w:t xml:space="preserve">The OPC does not recommend a reduction in the level of test year contractor and contract services cost compared to the as-filed amounts.  Instead, the OPC concludes that the lack of reduction of such costs is a primary justification to recommend a lower number of employees in the projected test year. </w:t>
      </w:r>
      <w:r w:rsidR="00363FD2">
        <w:t>If, however, the Commission allows the number of employees to increase, there should be corresponding reductions in the costs of outside contractors and contract services. If other current assumptions about the test year and beyond contained in the filing materially change, the level of contractors and contract services should be reduced accordingly. (Kollen)</w:t>
      </w:r>
    </w:p>
    <w:p w14:paraId="71DD26BF" w14:textId="77777777" w:rsidR="00E80956" w:rsidRDefault="00E80956" w:rsidP="00E80956">
      <w:pPr>
        <w:jc w:val="both"/>
      </w:pPr>
    </w:p>
    <w:p w14:paraId="4C246DAA"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2C8FEB66" w14:textId="77777777" w:rsidR="00E80956" w:rsidRPr="0029161C" w:rsidRDefault="00E80956" w:rsidP="00E80956">
      <w:pPr>
        <w:jc w:val="both"/>
      </w:pPr>
    </w:p>
    <w:p w14:paraId="28467D53"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3342A7C1" w14:textId="77777777" w:rsidR="00E80956" w:rsidRPr="0029161C" w:rsidRDefault="00E80956" w:rsidP="00E80956">
      <w:pPr>
        <w:jc w:val="both"/>
      </w:pPr>
    </w:p>
    <w:p w14:paraId="1FB257AD" w14:textId="77777777" w:rsidR="00242699" w:rsidRDefault="00242699" w:rsidP="00E80956">
      <w:pPr>
        <w:ind w:left="1440" w:hanging="1440"/>
        <w:jc w:val="both"/>
        <w:rPr>
          <w:b/>
          <w:bCs/>
        </w:rPr>
      </w:pPr>
    </w:p>
    <w:p w14:paraId="379890B4" w14:textId="23F59719" w:rsidR="00E80956" w:rsidRPr="0029161C" w:rsidRDefault="00E80956" w:rsidP="00E80956">
      <w:pPr>
        <w:ind w:left="1440" w:hanging="1440"/>
        <w:jc w:val="both"/>
      </w:pPr>
      <w:r>
        <w:rPr>
          <w:b/>
          <w:bCs/>
        </w:rPr>
        <w:t>ISSUE 42</w:t>
      </w:r>
      <w:r w:rsidRPr="0029161C">
        <w:rPr>
          <w:b/>
          <w:bCs/>
        </w:rPr>
        <w:t>:</w:t>
      </w:r>
      <w:r w:rsidRPr="0029161C">
        <w:tab/>
      </w:r>
      <w:r w:rsidR="002247DD" w:rsidRPr="00810A45">
        <w:rPr>
          <w:b/>
        </w:rPr>
        <w:t>What number of projected test year employees should be approved</w:t>
      </w:r>
      <w:r w:rsidR="002C1B4A">
        <w:rPr>
          <w:b/>
        </w:rPr>
        <w:t xml:space="preserve"> for ratemaking purposes</w:t>
      </w:r>
      <w:r w:rsidR="002247DD" w:rsidRPr="00810A45">
        <w:rPr>
          <w:b/>
        </w:rPr>
        <w:t>?</w:t>
      </w:r>
    </w:p>
    <w:p w14:paraId="72F42C25" w14:textId="77777777" w:rsidR="00E80956" w:rsidRPr="0029161C" w:rsidRDefault="00E80956" w:rsidP="00E80956">
      <w:pPr>
        <w:jc w:val="both"/>
      </w:pPr>
    </w:p>
    <w:p w14:paraId="1C4E70B8" w14:textId="77777777" w:rsidR="00E80956" w:rsidRPr="0029161C" w:rsidRDefault="00E80956" w:rsidP="00E80956">
      <w:pPr>
        <w:ind w:left="1440" w:hanging="1440"/>
        <w:jc w:val="both"/>
      </w:pPr>
      <w:r>
        <w:rPr>
          <w:b/>
          <w:bCs/>
        </w:rPr>
        <w:t>PGS</w:t>
      </w:r>
      <w:r w:rsidRPr="0029161C">
        <w:rPr>
          <w:b/>
          <w:bCs/>
        </w:rPr>
        <w:t>:</w:t>
      </w:r>
      <w:r w:rsidRPr="0029161C">
        <w:tab/>
      </w:r>
      <w:r w:rsidR="006F69E2">
        <w:rPr>
          <w:color w:val="000000"/>
          <w:kern w:val="2"/>
          <w:szCs w:val="22"/>
          <w14:ligatures w14:val="standardContextual"/>
        </w:rPr>
        <w:t xml:space="preserve">The company has proven the need for each of its proposed additional employees and how those proposed additions moderate the need for outside contractor services in the test year, so OPC’s staffing adjustments should be rejected. The appropriate number of projected 2024 </w:t>
      </w:r>
      <w:r w:rsidR="006F69E2" w:rsidRPr="00F71D16">
        <w:rPr>
          <w:color w:val="000000"/>
          <w:kern w:val="2"/>
          <w:szCs w:val="22"/>
          <w14:ligatures w14:val="standardContextual"/>
        </w:rPr>
        <w:t>test year</w:t>
      </w:r>
      <w:r w:rsidR="006F69E2">
        <w:rPr>
          <w:color w:val="000000"/>
          <w:kern w:val="2"/>
          <w:szCs w:val="22"/>
          <w14:ligatures w14:val="standardContextual"/>
        </w:rPr>
        <w:t xml:space="preserve"> employees should be an average of 837 after vacancy allowances. The 837 average count includes the following by month:  January to February – 830, March to May – 834, May to December – 840. The 837 average employees in 2024 reflects the additional 90 and 64 employees shown on MFR Schedule G-2, pages 19c-19e.</w:t>
      </w:r>
      <w:r w:rsidR="002C1B4A">
        <w:rPr>
          <w:color w:val="000000"/>
          <w:kern w:val="2"/>
          <w:szCs w:val="22"/>
          <w14:ligatures w14:val="standardContextual"/>
        </w:rPr>
        <w:t xml:space="preserve"> However, based on its position on Issues 16, 17, and 18, the company proposes to reduce projected 2024 operating expenses by $37,882 to reflect its updated plans to forgo cost recovery for one Business Development Manager for RNG.</w:t>
      </w:r>
      <w:r w:rsidR="006F69E2">
        <w:rPr>
          <w:color w:val="000000"/>
          <w:kern w:val="2"/>
          <w:szCs w:val="22"/>
          <w14:ligatures w14:val="standardContextual"/>
        </w:rPr>
        <w:t xml:space="preserve"> </w:t>
      </w:r>
      <w:r w:rsidR="006F69E2" w:rsidRPr="00F71D16">
        <w:rPr>
          <w:color w:val="000000"/>
          <w:kern w:val="2"/>
          <w:szCs w:val="22"/>
          <w14:ligatures w14:val="standardContextual"/>
        </w:rPr>
        <w:t xml:space="preserve"> (</w:t>
      </w:r>
      <w:r w:rsidR="006F69E2">
        <w:rPr>
          <w:color w:val="000000"/>
          <w:kern w:val="2"/>
          <w:szCs w:val="22"/>
          <w14:ligatures w14:val="standardContextual"/>
        </w:rPr>
        <w:t xml:space="preserve">Wesley, </w:t>
      </w:r>
      <w:r w:rsidR="006F69E2" w:rsidRPr="00F71D16">
        <w:rPr>
          <w:color w:val="000000"/>
          <w:kern w:val="2"/>
          <w:szCs w:val="22"/>
          <w14:ligatures w14:val="standardContextual"/>
        </w:rPr>
        <w:t xml:space="preserve">O’Connor, Richard, </w:t>
      </w:r>
      <w:r w:rsidR="006F69E2">
        <w:rPr>
          <w:color w:val="000000"/>
          <w:kern w:val="2"/>
          <w:szCs w:val="22"/>
          <w14:ligatures w14:val="standardContextual"/>
        </w:rPr>
        <w:t xml:space="preserve">Rutkin, </w:t>
      </w:r>
      <w:r w:rsidR="006F69E2" w:rsidRPr="00F71D16">
        <w:rPr>
          <w:color w:val="000000"/>
          <w:kern w:val="2"/>
          <w:szCs w:val="22"/>
          <w14:ligatures w14:val="standardContextual"/>
        </w:rPr>
        <w:t>Bluestone, Parsons)</w:t>
      </w:r>
    </w:p>
    <w:p w14:paraId="0846FE44" w14:textId="77777777" w:rsidR="00E80956" w:rsidRPr="0029161C" w:rsidRDefault="00E80956" w:rsidP="00E80956">
      <w:pPr>
        <w:jc w:val="both"/>
      </w:pPr>
    </w:p>
    <w:p w14:paraId="26952BC1" w14:textId="77777777" w:rsidR="00E80956" w:rsidRDefault="00E80956" w:rsidP="00E80956">
      <w:pPr>
        <w:ind w:left="1440" w:hanging="1440"/>
        <w:jc w:val="both"/>
      </w:pPr>
      <w:r>
        <w:rPr>
          <w:b/>
          <w:bCs/>
        </w:rPr>
        <w:t>OPC</w:t>
      </w:r>
      <w:r w:rsidRPr="0029161C">
        <w:rPr>
          <w:b/>
          <w:bCs/>
        </w:rPr>
        <w:t>:</w:t>
      </w:r>
      <w:r>
        <w:tab/>
      </w:r>
      <w:r w:rsidR="00363FD2" w:rsidRPr="00AF1154">
        <w:t xml:space="preserve">The Commission should </w:t>
      </w:r>
      <w:r w:rsidR="00363FD2">
        <w:t xml:space="preserve">find that the number of projected test year employees should remain at the 2022 level, and the Commission should </w:t>
      </w:r>
      <w:r w:rsidR="00363FD2" w:rsidRPr="00AF1154">
        <w:t>reject the requested increases in employees and the related expenses, with limited exceptions where the increases in the related expenses are offset by reductions in allocations of shared services costs from Tampa Electric Company and in the instance of the new treasury analyst position. (</w:t>
      </w:r>
      <w:r w:rsidR="00363FD2" w:rsidRPr="00DA0A74">
        <w:t>Kollen)</w:t>
      </w:r>
    </w:p>
    <w:p w14:paraId="43BC55AB" w14:textId="77777777" w:rsidR="00E80956" w:rsidRDefault="00E80956" w:rsidP="00E80956">
      <w:pPr>
        <w:jc w:val="both"/>
      </w:pPr>
    </w:p>
    <w:p w14:paraId="2B2F50B2"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513792C2" w14:textId="77777777" w:rsidR="00E80956" w:rsidRPr="0029161C" w:rsidRDefault="00E80956" w:rsidP="00E80956">
      <w:pPr>
        <w:jc w:val="both"/>
      </w:pPr>
    </w:p>
    <w:p w14:paraId="5C05EB00"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6A1546A0" w14:textId="77777777" w:rsidR="00E80956" w:rsidRPr="0029161C" w:rsidRDefault="00E80956" w:rsidP="00E80956">
      <w:pPr>
        <w:jc w:val="both"/>
      </w:pPr>
    </w:p>
    <w:p w14:paraId="5909F665" w14:textId="0B27345E" w:rsidR="006F71EF" w:rsidRDefault="006F71EF">
      <w:pPr>
        <w:rPr>
          <w:b/>
          <w:bCs/>
        </w:rPr>
      </w:pPr>
    </w:p>
    <w:p w14:paraId="297A0491" w14:textId="6DBF2561" w:rsidR="00E80956" w:rsidRPr="0029161C" w:rsidRDefault="00E80956" w:rsidP="00E80956">
      <w:pPr>
        <w:ind w:left="1440" w:hanging="1440"/>
        <w:jc w:val="both"/>
      </w:pPr>
      <w:r>
        <w:rPr>
          <w:b/>
          <w:bCs/>
        </w:rPr>
        <w:t>ISSUE 43</w:t>
      </w:r>
      <w:r w:rsidRPr="0029161C">
        <w:rPr>
          <w:b/>
          <w:bCs/>
        </w:rPr>
        <w:t>:</w:t>
      </w:r>
      <w:r w:rsidRPr="0029161C">
        <w:tab/>
      </w:r>
      <w:r w:rsidR="002247DD" w:rsidRPr="00810A45">
        <w:rPr>
          <w:b/>
        </w:rPr>
        <w:t>What amount of projected test year salaries and benefits, including incentive compensation, should be approved?</w:t>
      </w:r>
    </w:p>
    <w:p w14:paraId="490DF51C" w14:textId="77777777" w:rsidR="00E80956" w:rsidRPr="0029161C" w:rsidRDefault="00E80956" w:rsidP="00E80956">
      <w:pPr>
        <w:jc w:val="both"/>
      </w:pPr>
    </w:p>
    <w:p w14:paraId="3781031F" w14:textId="77777777" w:rsidR="00E80956" w:rsidRPr="0029161C" w:rsidRDefault="00E80956" w:rsidP="00E80956">
      <w:pPr>
        <w:ind w:left="1440" w:hanging="1440"/>
        <w:jc w:val="both"/>
      </w:pPr>
      <w:r>
        <w:rPr>
          <w:b/>
          <w:bCs/>
        </w:rPr>
        <w:t>PGS</w:t>
      </w:r>
      <w:r w:rsidRPr="0029161C">
        <w:rPr>
          <w:b/>
          <w:bCs/>
        </w:rPr>
        <w:t>:</w:t>
      </w:r>
      <w:r w:rsidRPr="0029161C">
        <w:tab/>
      </w:r>
      <w:r w:rsidR="002C1B4A" w:rsidRPr="00666CD8">
        <w:rPr>
          <w:color w:val="000000"/>
          <w:kern w:val="2"/>
          <w:szCs w:val="22"/>
          <w14:ligatures w14:val="standardContextual"/>
        </w:rPr>
        <w:t>The company has demonstrated that its total compensation approach to setting employee compensation (which includes short-term and long-term incentive compensation for some employees) is targeted at the market median, reflects reasonable payroll escalation factors, and should be approved. The appropriate amount of projected test year salaries is $56,832,906 which reflects the $56,858,043 was shown on MFR Schedule G-2, page 19a, line 26 reduced by $25,137 for the salary of one Business Development Manager for RNG discussed in Issue 42. The appropriate amount of projected test year short-term incentive compensation included in FERC account 920 is $8,046,556 which reflects the $8,050,000 as shown on MFR Schedule G-2, page 19b, line 9 reduced by $3,444 for the short-term incentive of one Business Development Manager for RNG discussed in Issue 42. The appropriate amount of projected test year employee pension and benefits included in FERC account 926 is $12,255,566 which reflects the $12,264,867 as shown on MFR Schedule G-2, page 18a, line 6 reduced by $9,301 for the benefits and loading of one Business Development Manager for RNG discussed in Issue 42.</w:t>
      </w:r>
      <w:r w:rsidR="006F69E2">
        <w:rPr>
          <w:color w:val="000000"/>
          <w:kern w:val="2"/>
          <w:szCs w:val="22"/>
          <w14:ligatures w14:val="standardContextual"/>
        </w:rPr>
        <w:t xml:space="preserve"> </w:t>
      </w:r>
      <w:r w:rsidR="006F69E2" w:rsidRPr="00F71D16">
        <w:rPr>
          <w:color w:val="000000"/>
          <w:kern w:val="2"/>
          <w:szCs w:val="22"/>
          <w14:ligatures w14:val="standardContextual"/>
        </w:rPr>
        <w:t>(Bluestone, Parsons)</w:t>
      </w:r>
    </w:p>
    <w:p w14:paraId="6B618ED5" w14:textId="77777777" w:rsidR="00E80956" w:rsidRPr="0029161C" w:rsidRDefault="00E80956" w:rsidP="00E80956">
      <w:pPr>
        <w:jc w:val="both"/>
      </w:pPr>
    </w:p>
    <w:p w14:paraId="18B161AA" w14:textId="77777777" w:rsidR="00E80956" w:rsidRDefault="00E80956" w:rsidP="00E80956">
      <w:pPr>
        <w:ind w:left="1440" w:hanging="1440"/>
        <w:jc w:val="both"/>
      </w:pPr>
      <w:r>
        <w:rPr>
          <w:b/>
          <w:bCs/>
        </w:rPr>
        <w:t>OPC</w:t>
      </w:r>
      <w:r w:rsidRPr="0029161C">
        <w:rPr>
          <w:b/>
          <w:bCs/>
        </w:rPr>
        <w:t>:</w:t>
      </w:r>
      <w:r>
        <w:tab/>
      </w:r>
      <w:r w:rsidR="00363FD2" w:rsidRPr="00DA0A74">
        <w:t>By not approving the requested staffing increases, the Commission should reduce the payroll and payroll related projected test year costs by $9,762,000.</w:t>
      </w:r>
      <w:r w:rsidR="00363FD2">
        <w:t xml:space="preserve">  By reducing the requested merit pay increases for employees, the </w:t>
      </w:r>
      <w:r w:rsidR="00363FD2" w:rsidRPr="00DA0A74">
        <w:t xml:space="preserve">Commission should reduce the payroll and payroll related projected test year costs by </w:t>
      </w:r>
      <w:r w:rsidR="00363FD2">
        <w:t xml:space="preserve">an additional </w:t>
      </w:r>
      <w:r w:rsidR="00363FD2" w:rsidRPr="00DA0A74">
        <w:t>$</w:t>
      </w:r>
      <w:r w:rsidR="00363FD2">
        <w:t>1</w:t>
      </w:r>
      <w:r w:rsidR="00363FD2" w:rsidRPr="00DA0A74">
        <w:t>,</w:t>
      </w:r>
      <w:r w:rsidR="00363FD2">
        <w:t>918</w:t>
      </w:r>
      <w:r w:rsidR="00363FD2" w:rsidRPr="00DA0A74">
        <w:t>,000.</w:t>
      </w:r>
      <w:r w:rsidR="00363FD2">
        <w:t xml:space="preserve"> </w:t>
      </w:r>
      <w:r w:rsidR="00363FD2" w:rsidRPr="00DA0A74">
        <w:t xml:space="preserve"> (Kollen)</w:t>
      </w:r>
    </w:p>
    <w:p w14:paraId="67FC79F7" w14:textId="77777777" w:rsidR="00E80956" w:rsidRDefault="00E80956" w:rsidP="00E80956">
      <w:pPr>
        <w:jc w:val="both"/>
      </w:pPr>
    </w:p>
    <w:p w14:paraId="5BDFF64F"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39F91F06" w14:textId="77777777" w:rsidR="00E80956" w:rsidRPr="0029161C" w:rsidRDefault="00E80956" w:rsidP="00E80956">
      <w:pPr>
        <w:jc w:val="both"/>
      </w:pPr>
    </w:p>
    <w:p w14:paraId="2527F95B"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0995D92D" w14:textId="77777777" w:rsidR="00E80956" w:rsidRPr="0029161C" w:rsidRDefault="00E80956" w:rsidP="00E80956">
      <w:pPr>
        <w:jc w:val="both"/>
      </w:pPr>
    </w:p>
    <w:p w14:paraId="54B940E7" w14:textId="22D3DF1D" w:rsidR="0070461A" w:rsidRDefault="0070461A">
      <w:pPr>
        <w:rPr>
          <w:b/>
          <w:bCs/>
        </w:rPr>
      </w:pPr>
    </w:p>
    <w:p w14:paraId="2222F805" w14:textId="2057D1E2" w:rsidR="00E80956" w:rsidRPr="0029161C" w:rsidRDefault="00E80956" w:rsidP="00EC4766">
      <w:pPr>
        <w:ind w:left="1440" w:hanging="1440"/>
        <w:jc w:val="both"/>
        <w:rPr>
          <w:b/>
          <w:bCs/>
        </w:rPr>
      </w:pPr>
      <w:r>
        <w:rPr>
          <w:b/>
          <w:bCs/>
        </w:rPr>
        <w:t>ISSUE 44</w:t>
      </w:r>
      <w:r w:rsidRPr="0029161C">
        <w:rPr>
          <w:b/>
          <w:bCs/>
        </w:rPr>
        <w:t>:</w:t>
      </w:r>
      <w:r w:rsidRPr="0029161C">
        <w:tab/>
      </w:r>
      <w:r w:rsidR="00E873CD">
        <w:rPr>
          <w:b/>
        </w:rPr>
        <w:t>Proposed Type 1</w:t>
      </w:r>
      <w:r w:rsidR="00EC4766">
        <w:rPr>
          <w:b/>
        </w:rPr>
        <w:t xml:space="preserve"> Stipulation; see Section X.</w:t>
      </w:r>
    </w:p>
    <w:p w14:paraId="63246236" w14:textId="34967581" w:rsidR="00E80956" w:rsidRPr="0029161C" w:rsidRDefault="00E80956" w:rsidP="00EC4766">
      <w:pPr>
        <w:ind w:left="1440" w:hanging="1440"/>
        <w:jc w:val="both"/>
        <w:rPr>
          <w:b/>
          <w:bCs/>
        </w:rPr>
      </w:pPr>
      <w:r>
        <w:rPr>
          <w:b/>
          <w:bCs/>
        </w:rPr>
        <w:lastRenderedPageBreak/>
        <w:t>ISSUE 45</w:t>
      </w:r>
      <w:r w:rsidRPr="0029161C">
        <w:rPr>
          <w:b/>
          <w:bCs/>
        </w:rPr>
        <w:t>:</w:t>
      </w:r>
      <w:r w:rsidRPr="0029161C">
        <w:tab/>
      </w:r>
      <w:r w:rsidR="00EC4766">
        <w:rPr>
          <w:b/>
        </w:rPr>
        <w:t>Proposed Type 2 Stipulation; see Section X.</w:t>
      </w:r>
    </w:p>
    <w:p w14:paraId="05D899FF" w14:textId="77777777" w:rsidR="00E80956" w:rsidRPr="0029161C" w:rsidRDefault="00E80956" w:rsidP="00E80956">
      <w:pPr>
        <w:jc w:val="both"/>
      </w:pPr>
    </w:p>
    <w:p w14:paraId="61988016" w14:textId="77777777" w:rsidR="00E80956" w:rsidRPr="0029161C" w:rsidRDefault="00E80956" w:rsidP="00E80956">
      <w:pPr>
        <w:jc w:val="both"/>
      </w:pPr>
    </w:p>
    <w:p w14:paraId="74360B8D" w14:textId="7B3E3D3E" w:rsidR="00E80956" w:rsidRPr="0029161C" w:rsidRDefault="00E80956" w:rsidP="00EC4766">
      <w:pPr>
        <w:ind w:left="1440" w:hanging="1440"/>
        <w:jc w:val="both"/>
        <w:rPr>
          <w:b/>
          <w:bCs/>
        </w:rPr>
      </w:pPr>
      <w:r>
        <w:rPr>
          <w:b/>
          <w:bCs/>
        </w:rPr>
        <w:t>ISSUE 46</w:t>
      </w:r>
      <w:r w:rsidRPr="0029161C">
        <w:rPr>
          <w:b/>
          <w:bCs/>
        </w:rPr>
        <w:t>:</w:t>
      </w:r>
      <w:r w:rsidRPr="0029161C">
        <w:tab/>
      </w:r>
      <w:r w:rsidR="00E873CD">
        <w:rPr>
          <w:b/>
        </w:rPr>
        <w:t>Proposed Type 1</w:t>
      </w:r>
      <w:r w:rsidR="00EC4766">
        <w:rPr>
          <w:b/>
        </w:rPr>
        <w:t xml:space="preserve"> Stipulation; see Section X.</w:t>
      </w:r>
    </w:p>
    <w:p w14:paraId="586625F8" w14:textId="77777777" w:rsidR="00E80956" w:rsidRPr="0029161C" w:rsidRDefault="00E80956" w:rsidP="00E80956">
      <w:pPr>
        <w:jc w:val="both"/>
      </w:pPr>
    </w:p>
    <w:p w14:paraId="61CB7DC6" w14:textId="77777777" w:rsidR="00E80956" w:rsidRPr="0029161C" w:rsidRDefault="00E80956" w:rsidP="00E80956">
      <w:pPr>
        <w:jc w:val="both"/>
      </w:pPr>
    </w:p>
    <w:p w14:paraId="56A4F73C" w14:textId="417C02F0" w:rsidR="00E80956" w:rsidRPr="0029161C" w:rsidRDefault="00E80956" w:rsidP="00E80956">
      <w:pPr>
        <w:ind w:left="1440" w:hanging="1440"/>
        <w:jc w:val="both"/>
      </w:pPr>
      <w:r>
        <w:rPr>
          <w:b/>
          <w:bCs/>
        </w:rPr>
        <w:t>ISSUE 47</w:t>
      </w:r>
      <w:r w:rsidRPr="0029161C">
        <w:rPr>
          <w:b/>
          <w:bCs/>
        </w:rPr>
        <w:t>:</w:t>
      </w:r>
      <w:r w:rsidRPr="0029161C">
        <w:tab/>
      </w:r>
      <w:r w:rsidR="002247DD" w:rsidRPr="00810A45">
        <w:rPr>
          <w:b/>
        </w:rPr>
        <w:t>What adjustments, if any, should be made to projected test year expenses being incurred by, or charged to, PGS related to merger &amp; acquisition development or pursuit activity?</w:t>
      </w:r>
    </w:p>
    <w:p w14:paraId="11AD9EA1" w14:textId="77777777" w:rsidR="00E80956" w:rsidRPr="0029161C" w:rsidRDefault="00E80956" w:rsidP="00E80956">
      <w:pPr>
        <w:jc w:val="both"/>
      </w:pPr>
    </w:p>
    <w:p w14:paraId="4CAB3432" w14:textId="77777777" w:rsidR="00E80956" w:rsidRPr="0029161C" w:rsidRDefault="00E80956" w:rsidP="00E80956">
      <w:pPr>
        <w:ind w:left="1440" w:hanging="1440"/>
        <w:jc w:val="both"/>
      </w:pPr>
      <w:r>
        <w:rPr>
          <w:b/>
          <w:bCs/>
        </w:rPr>
        <w:t>PGS</w:t>
      </w:r>
      <w:r w:rsidRPr="0029161C">
        <w:rPr>
          <w:b/>
          <w:bCs/>
        </w:rPr>
        <w:t>:</w:t>
      </w:r>
      <w:r w:rsidRPr="0029161C">
        <w:tab/>
      </w:r>
      <w:r w:rsidR="006F69E2" w:rsidRPr="00E7053A">
        <w:rPr>
          <w:color w:val="000000"/>
          <w:kern w:val="2"/>
          <w:szCs w:val="22"/>
          <w14:ligatures w14:val="standardContextual"/>
        </w:rPr>
        <w:t xml:space="preserve">None. </w:t>
      </w:r>
      <w:r w:rsidR="006F69E2">
        <w:rPr>
          <w:color w:val="000000"/>
          <w:kern w:val="2"/>
          <w:szCs w:val="22"/>
          <w14:ligatures w14:val="standardContextual"/>
        </w:rPr>
        <w:t xml:space="preserve">The company’s proposed 2024 test year O&amp;M expenses do not include merger or acquisition related costs. </w:t>
      </w:r>
      <w:r w:rsidR="006F69E2" w:rsidRPr="00F71D16">
        <w:rPr>
          <w:color w:val="000000"/>
          <w:kern w:val="2"/>
          <w:szCs w:val="22"/>
          <w14:ligatures w14:val="standardContextual"/>
        </w:rPr>
        <w:t>(Wesley, Parsons)</w:t>
      </w:r>
    </w:p>
    <w:p w14:paraId="5EFE345C" w14:textId="77777777" w:rsidR="00E80956" w:rsidRPr="0029161C" w:rsidRDefault="00E80956" w:rsidP="00E80956">
      <w:pPr>
        <w:jc w:val="both"/>
      </w:pPr>
    </w:p>
    <w:p w14:paraId="592B913A" w14:textId="77777777" w:rsidR="00E80956" w:rsidRDefault="00E80956" w:rsidP="00E80956">
      <w:pPr>
        <w:ind w:left="1440" w:hanging="1440"/>
        <w:jc w:val="both"/>
      </w:pPr>
      <w:r>
        <w:rPr>
          <w:b/>
          <w:bCs/>
        </w:rPr>
        <w:t>OPC</w:t>
      </w:r>
      <w:r w:rsidRPr="0029161C">
        <w:rPr>
          <w:b/>
          <w:bCs/>
        </w:rPr>
        <w:t>:</w:t>
      </w:r>
      <w:r>
        <w:tab/>
      </w:r>
      <w:r w:rsidR="00363FD2" w:rsidRPr="00990219">
        <w:t xml:space="preserve">Merger and acquisition related costs of all types, whether specifically allocated or indirectly incurred by PGS through allocations or charging of affiliate costs – even if not specifically identified as such – should not be allowed for recovery unless all associated merger &amp; acquisition development(s) or activities are identified and disclosed to the Commission. PGS should be required to </w:t>
      </w:r>
      <w:r w:rsidR="00363FD2">
        <w:t>identify the direct and</w:t>
      </w:r>
      <w:r w:rsidR="00363FD2" w:rsidRPr="00990219">
        <w:t xml:space="preserve"> indirect costs associated with all such activities and affirmatively demonstrate that they are either being charged to customers in a cost-effective and prudent manner or that they are not being so charged to customers along with an explanation why such potential customer benefits are not being pursued.</w:t>
      </w:r>
      <w:r w:rsidR="00363FD2">
        <w:t xml:space="preserve"> (Kollen)</w:t>
      </w:r>
    </w:p>
    <w:p w14:paraId="776F35CF" w14:textId="77777777" w:rsidR="00E80956" w:rsidRDefault="00E80956" w:rsidP="00E80956">
      <w:pPr>
        <w:jc w:val="both"/>
      </w:pPr>
    </w:p>
    <w:p w14:paraId="00703AF1"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6C91E306" w14:textId="77777777" w:rsidR="00E80956" w:rsidRPr="0029161C" w:rsidRDefault="00E80956" w:rsidP="00E80956">
      <w:pPr>
        <w:jc w:val="both"/>
      </w:pPr>
    </w:p>
    <w:p w14:paraId="33BF5538"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4E3503E9" w14:textId="77777777" w:rsidR="00E80956" w:rsidRPr="0029161C" w:rsidRDefault="00E80956" w:rsidP="00E80956">
      <w:pPr>
        <w:jc w:val="both"/>
      </w:pPr>
    </w:p>
    <w:p w14:paraId="62E3CED2" w14:textId="77777777" w:rsidR="00E80956" w:rsidRPr="0029161C" w:rsidRDefault="00E80956" w:rsidP="00E80956">
      <w:pPr>
        <w:jc w:val="both"/>
      </w:pPr>
    </w:p>
    <w:p w14:paraId="40387415" w14:textId="6EEDEEB9" w:rsidR="00E80956" w:rsidRPr="0029161C" w:rsidRDefault="00E80956" w:rsidP="00EC4766">
      <w:pPr>
        <w:ind w:left="1440" w:hanging="1440"/>
        <w:jc w:val="both"/>
        <w:rPr>
          <w:b/>
          <w:bCs/>
        </w:rPr>
      </w:pPr>
      <w:r>
        <w:rPr>
          <w:b/>
          <w:bCs/>
        </w:rPr>
        <w:t>ISSUE 48</w:t>
      </w:r>
      <w:r w:rsidRPr="0029161C">
        <w:rPr>
          <w:b/>
          <w:bCs/>
        </w:rPr>
        <w:t>:</w:t>
      </w:r>
      <w:r w:rsidRPr="0029161C">
        <w:tab/>
      </w:r>
      <w:r w:rsidR="00EC4766">
        <w:rPr>
          <w:b/>
        </w:rPr>
        <w:t>Proposed Type 2 Stipulation; see Section X.</w:t>
      </w:r>
    </w:p>
    <w:p w14:paraId="50CA1A07" w14:textId="77777777" w:rsidR="00E80956" w:rsidRDefault="00E80956" w:rsidP="00E80956">
      <w:pPr>
        <w:jc w:val="both"/>
      </w:pPr>
    </w:p>
    <w:p w14:paraId="7455548F" w14:textId="77777777" w:rsidR="00E80956" w:rsidRPr="0029161C" w:rsidRDefault="00E80956" w:rsidP="00E80956">
      <w:pPr>
        <w:jc w:val="both"/>
      </w:pPr>
    </w:p>
    <w:p w14:paraId="0899DFDF" w14:textId="05E6A08E" w:rsidR="00E80956" w:rsidRPr="0029161C" w:rsidRDefault="00E80956" w:rsidP="00E80956">
      <w:pPr>
        <w:ind w:left="1440" w:hanging="1440"/>
        <w:jc w:val="both"/>
      </w:pPr>
      <w:r>
        <w:rPr>
          <w:b/>
          <w:bCs/>
        </w:rPr>
        <w:t>ISSUE 49</w:t>
      </w:r>
      <w:r w:rsidRPr="0029161C">
        <w:rPr>
          <w:b/>
          <w:bCs/>
        </w:rPr>
        <w:t>:</w:t>
      </w:r>
      <w:r w:rsidRPr="0029161C">
        <w:tab/>
      </w:r>
      <w:r w:rsidR="002247DD" w:rsidRPr="00810A45">
        <w:rPr>
          <w:b/>
        </w:rPr>
        <w:t>What amount of projected test year O&amp;M expenses should be approved?</w:t>
      </w:r>
    </w:p>
    <w:p w14:paraId="122E3379" w14:textId="77777777" w:rsidR="00E80956" w:rsidRPr="0029161C" w:rsidRDefault="00E80956" w:rsidP="00E80956">
      <w:pPr>
        <w:jc w:val="both"/>
      </w:pPr>
    </w:p>
    <w:p w14:paraId="11796B0C" w14:textId="77777777" w:rsidR="00E80956" w:rsidRPr="0029161C" w:rsidRDefault="00E80956" w:rsidP="00E80956">
      <w:pPr>
        <w:ind w:left="1440" w:hanging="1440"/>
        <w:jc w:val="both"/>
      </w:pPr>
      <w:r>
        <w:rPr>
          <w:b/>
          <w:bCs/>
        </w:rPr>
        <w:t>PGS</w:t>
      </w:r>
      <w:r w:rsidRPr="0029161C">
        <w:rPr>
          <w:b/>
          <w:bCs/>
        </w:rPr>
        <w:t>:</w:t>
      </w:r>
      <w:r w:rsidRPr="0029161C">
        <w:tab/>
      </w:r>
      <w:r w:rsidR="002C1B4A" w:rsidRPr="003F6762">
        <w:rPr>
          <w:color w:val="000000"/>
          <w:kern w:val="2"/>
          <w:szCs w:val="22"/>
          <w14:ligatures w14:val="standardContextual"/>
        </w:rPr>
        <w:t>Peoples has demonstrated that its proposed 2024 O&amp;M expense levels are reasonable and necessary for it to continue providing safe and reliable gas service in the rapidly growing areas it serves.</w:t>
      </w:r>
      <w:r w:rsidR="002C1B4A" w:rsidRPr="003F6762">
        <w:rPr>
          <w:b/>
          <w:bCs/>
          <w:color w:val="000000"/>
          <w:kern w:val="2"/>
          <w:szCs w:val="22"/>
          <w14:ligatures w14:val="standardContextual"/>
        </w:rPr>
        <w:t xml:space="preserve"> </w:t>
      </w:r>
      <w:r w:rsidR="002C1B4A" w:rsidRPr="003F6762">
        <w:rPr>
          <w:color w:val="000000"/>
          <w:kern w:val="2"/>
          <w:szCs w:val="22"/>
          <w14:ligatures w14:val="standardContextual"/>
        </w:rPr>
        <w:t>OPC’s broad-brush proposals to reduce the company’s O&amp;M expenses should be rejected. The appropriate amount of projected test year adjusted O&amp;M expenses is $</w:t>
      </w:r>
      <w:r w:rsidR="002C1B4A" w:rsidRPr="00AC4074">
        <w:rPr>
          <w:color w:val="000000"/>
          <w:kern w:val="2"/>
          <w:szCs w:val="22"/>
          <w14:ligatures w14:val="standardContextual"/>
        </w:rPr>
        <w:t>144,</w:t>
      </w:r>
      <w:r w:rsidR="002C1B4A">
        <w:rPr>
          <w:color w:val="000000"/>
          <w:kern w:val="2"/>
          <w:szCs w:val="22"/>
          <w14:ligatures w14:val="standardContextual"/>
        </w:rPr>
        <w:t>856,712</w:t>
      </w:r>
      <w:r w:rsidR="002C1B4A" w:rsidRPr="003F6762">
        <w:rPr>
          <w:color w:val="000000"/>
          <w:kern w:val="2"/>
          <w:szCs w:val="22"/>
          <w14:ligatures w14:val="standardContextual"/>
        </w:rPr>
        <w:t>. This reflects the $150,817,212 of adjusted O&amp;M expenses on MFR Schedule G-2, page 1, line 5 less the following adjustments that are discussed in the rebuttal testimony of Witness Parsons: (i) reduction of $</w:t>
      </w:r>
      <w:r w:rsidR="002C1B4A" w:rsidRPr="00AC4074">
        <w:rPr>
          <w:color w:val="000000"/>
          <w:kern w:val="2"/>
          <w:szCs w:val="22"/>
          <w14:ligatures w14:val="standardContextual"/>
        </w:rPr>
        <w:t>500,000</w:t>
      </w:r>
      <w:r w:rsidR="002C1B4A" w:rsidRPr="003F6762">
        <w:rPr>
          <w:color w:val="000000"/>
          <w:kern w:val="2"/>
          <w:szCs w:val="22"/>
          <w14:ligatures w14:val="standardContextual"/>
        </w:rPr>
        <w:t xml:space="preserve"> discussed in Issue 44, (ii) reduction of $189,347 for increased overhead cost allocation to SGT discussed in Issue 13,  (iii) reduction of $190,000 for the decrease in standalone audit fees discussed in Issue 41</w:t>
      </w:r>
      <w:r w:rsidR="002C1B4A" w:rsidRPr="00AC4074">
        <w:rPr>
          <w:color w:val="000000"/>
          <w:kern w:val="2"/>
          <w:szCs w:val="22"/>
          <w14:ligatures w14:val="standardContextual"/>
        </w:rPr>
        <w:t xml:space="preserve">, (iv) reduction of $60,234 for updated treasury analyst costs, (v) reduction of $37,882 for removal of RNG BD Manager discussed in Issue 42, (vi) </w:t>
      </w:r>
      <w:r w:rsidR="002C1B4A" w:rsidRPr="00AC4074">
        <w:rPr>
          <w:color w:val="000000"/>
          <w:kern w:val="2"/>
          <w:szCs w:val="22"/>
          <w14:ligatures w14:val="standardContextual"/>
        </w:rPr>
        <w:lastRenderedPageBreak/>
        <w:t>reduction of $750,000 for WAM costs discussed in Issue 19,</w:t>
      </w:r>
      <w:r w:rsidR="002C1B4A" w:rsidRPr="003F6762">
        <w:rPr>
          <w:color w:val="000000"/>
          <w:kern w:val="2"/>
          <w:szCs w:val="22"/>
          <w14:ligatures w14:val="standardContextual"/>
        </w:rPr>
        <w:t xml:space="preserve"> (vii) reduction of $3,956,653 for removal of Alliance as discussed in Issue 18, (viii) reduction of $120,000 for storm reserve adjustment as discussed in Issue 46, and</w:t>
      </w:r>
      <w:r w:rsidR="002C1B4A">
        <w:rPr>
          <w:color w:val="000000"/>
          <w:kern w:val="2"/>
          <w:szCs w:val="22"/>
          <w14:ligatures w14:val="standardContextual"/>
        </w:rPr>
        <w:t xml:space="preserve"> (ix)</w:t>
      </w:r>
      <w:r w:rsidR="002C1B4A" w:rsidRPr="003F6762">
        <w:rPr>
          <w:color w:val="000000"/>
          <w:kern w:val="2"/>
          <w:szCs w:val="22"/>
          <w14:ligatures w14:val="standardContextual"/>
        </w:rPr>
        <w:t xml:space="preserve"> reduction of $</w:t>
      </w:r>
      <w:r w:rsidR="002C1B4A">
        <w:rPr>
          <w:color w:val="000000"/>
          <w:kern w:val="2"/>
          <w:szCs w:val="22"/>
          <w14:ligatures w14:val="standardContextual"/>
        </w:rPr>
        <w:t>156,384</w:t>
      </w:r>
      <w:r w:rsidR="002C1B4A" w:rsidRPr="003F6762">
        <w:rPr>
          <w:color w:val="000000"/>
          <w:kern w:val="2"/>
          <w:szCs w:val="22"/>
          <w14:ligatures w14:val="standardContextual"/>
        </w:rPr>
        <w:t xml:space="preserve"> for revised rate case expense amortization as discussed in Issue 48.</w:t>
      </w:r>
      <w:r w:rsidR="006F69E2">
        <w:rPr>
          <w:color w:val="000000"/>
          <w:kern w:val="2"/>
          <w:szCs w:val="22"/>
          <w14:ligatures w14:val="standardContextual"/>
        </w:rPr>
        <w:t xml:space="preserve">  </w:t>
      </w:r>
      <w:r w:rsidR="006F69E2" w:rsidRPr="00F71D16">
        <w:rPr>
          <w:color w:val="000000"/>
          <w:kern w:val="2"/>
          <w:szCs w:val="22"/>
          <w14:ligatures w14:val="standardContextual"/>
        </w:rPr>
        <w:t xml:space="preserve"> (Wesley, O’Connor, Richard, </w:t>
      </w:r>
      <w:r w:rsidR="006F69E2">
        <w:rPr>
          <w:color w:val="000000"/>
          <w:kern w:val="2"/>
          <w:szCs w:val="22"/>
          <w14:ligatures w14:val="standardContextual"/>
        </w:rPr>
        <w:t xml:space="preserve">Rutkin, </w:t>
      </w:r>
      <w:r w:rsidR="006F69E2" w:rsidRPr="00F71D16">
        <w:rPr>
          <w:color w:val="000000"/>
          <w:kern w:val="2"/>
          <w:szCs w:val="22"/>
          <w14:ligatures w14:val="standardContextual"/>
        </w:rPr>
        <w:t>Bluestone, Parsons)</w:t>
      </w:r>
    </w:p>
    <w:p w14:paraId="7A0C66C6" w14:textId="77777777" w:rsidR="00E80956" w:rsidRPr="0029161C" w:rsidRDefault="00E80956" w:rsidP="00E80956">
      <w:pPr>
        <w:jc w:val="both"/>
      </w:pPr>
    </w:p>
    <w:p w14:paraId="48CFBBB5" w14:textId="77777777" w:rsidR="00E80956" w:rsidRDefault="00E80956" w:rsidP="00E80956">
      <w:pPr>
        <w:ind w:left="1440" w:hanging="1440"/>
        <w:jc w:val="both"/>
      </w:pPr>
      <w:r>
        <w:rPr>
          <w:b/>
          <w:bCs/>
        </w:rPr>
        <w:t>OPC</w:t>
      </w:r>
      <w:r w:rsidRPr="0029161C">
        <w:rPr>
          <w:b/>
          <w:bCs/>
        </w:rPr>
        <w:t>:</w:t>
      </w:r>
      <w:r>
        <w:tab/>
      </w:r>
      <w:r w:rsidR="00363FD2" w:rsidRPr="00296E54">
        <w:t xml:space="preserve">The Commission should reduce the projected test year O&amp;M Expenses by </w:t>
      </w:r>
      <w:r w:rsidR="00363FD2">
        <w:t xml:space="preserve">at least </w:t>
      </w:r>
      <w:r w:rsidR="00363FD2" w:rsidRPr="00296E54">
        <w:t>$46,595,000</w:t>
      </w:r>
      <w:r w:rsidR="00363FD2">
        <w:t>, unless circumstances underlying the rate case filing materially change</w:t>
      </w:r>
      <w:r w:rsidR="00363FD2" w:rsidRPr="00296E54">
        <w:t>.</w:t>
      </w:r>
      <w:r w:rsidR="00363FD2">
        <w:t xml:space="preserve"> (Kollen)</w:t>
      </w:r>
    </w:p>
    <w:p w14:paraId="6460D94E" w14:textId="77777777" w:rsidR="00E80956" w:rsidRDefault="00E80956" w:rsidP="00E80956">
      <w:pPr>
        <w:jc w:val="both"/>
      </w:pPr>
    </w:p>
    <w:p w14:paraId="727D7B45"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52EF0285" w14:textId="77777777" w:rsidR="00E80956" w:rsidRPr="0029161C" w:rsidRDefault="00E80956" w:rsidP="00E80956">
      <w:pPr>
        <w:jc w:val="both"/>
      </w:pPr>
    </w:p>
    <w:p w14:paraId="36409D48"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67DE9B63" w14:textId="77777777" w:rsidR="00E80956" w:rsidRPr="0029161C" w:rsidRDefault="00E80956" w:rsidP="00E80956">
      <w:pPr>
        <w:jc w:val="both"/>
      </w:pPr>
    </w:p>
    <w:p w14:paraId="61FC02B3" w14:textId="77777777" w:rsidR="00E80956" w:rsidRPr="0029161C" w:rsidRDefault="00E80956" w:rsidP="00E80956">
      <w:pPr>
        <w:jc w:val="both"/>
      </w:pPr>
    </w:p>
    <w:p w14:paraId="1C006FC9" w14:textId="77777777" w:rsidR="00E80956" w:rsidRPr="0029161C" w:rsidRDefault="00E80956" w:rsidP="00E80956">
      <w:pPr>
        <w:ind w:left="1440" w:hanging="1440"/>
        <w:jc w:val="both"/>
      </w:pPr>
      <w:r>
        <w:rPr>
          <w:b/>
          <w:bCs/>
        </w:rPr>
        <w:t>ISSUE 50</w:t>
      </w:r>
      <w:r w:rsidRPr="0029161C">
        <w:rPr>
          <w:b/>
          <w:bCs/>
        </w:rPr>
        <w:t>:</w:t>
      </w:r>
      <w:r w:rsidRPr="0029161C">
        <w:tab/>
      </w:r>
      <w:r w:rsidR="002247DD" w:rsidRPr="00810A45">
        <w:rPr>
          <w:b/>
        </w:rPr>
        <w:t>What amount of projected test year Depreciation and Amortization Expense should be approved?</w:t>
      </w:r>
    </w:p>
    <w:p w14:paraId="57CD34EE" w14:textId="77777777" w:rsidR="00E80956" w:rsidRPr="0029161C" w:rsidRDefault="00E80956" w:rsidP="00E80956">
      <w:pPr>
        <w:jc w:val="both"/>
      </w:pPr>
    </w:p>
    <w:p w14:paraId="7674702A" w14:textId="77777777" w:rsidR="00E80956" w:rsidRPr="0029161C" w:rsidRDefault="00E80956" w:rsidP="00E80956">
      <w:pPr>
        <w:ind w:left="1440" w:hanging="1440"/>
        <w:jc w:val="both"/>
      </w:pPr>
      <w:r>
        <w:rPr>
          <w:b/>
          <w:bCs/>
        </w:rPr>
        <w:t>PGS</w:t>
      </w:r>
      <w:r w:rsidRPr="0029161C">
        <w:rPr>
          <w:b/>
          <w:bCs/>
        </w:rPr>
        <w:t>:</w:t>
      </w:r>
      <w:r w:rsidRPr="0029161C">
        <w:tab/>
      </w:r>
      <w:r w:rsidR="002C1B4A" w:rsidRPr="003F6762">
        <w:rPr>
          <w:color w:val="000000"/>
          <w:kern w:val="2"/>
          <w:szCs w:val="22"/>
          <w14:ligatures w14:val="standardContextual"/>
        </w:rPr>
        <w:t>The appropriate amount of Depreciation and Amortization Expense for the 2024 projected test year used for calculating NOI is $</w:t>
      </w:r>
      <w:r w:rsidR="002C1B4A">
        <w:rPr>
          <w:color w:val="000000"/>
          <w:kern w:val="2"/>
          <w:szCs w:val="22"/>
          <w14:ligatures w14:val="standardContextual"/>
        </w:rPr>
        <w:t>87,271,966</w:t>
      </w:r>
      <w:r w:rsidR="002C1B4A" w:rsidRPr="003F6762">
        <w:rPr>
          <w:color w:val="000000"/>
          <w:kern w:val="2"/>
          <w:szCs w:val="22"/>
          <w14:ligatures w14:val="standardContextual"/>
        </w:rPr>
        <w:t>. This reflects the original amount of $87,613,968 on MFR Schedule G-2, page 1, line 6 (after regulatory adjustments and excludes vehicle depreciation expense that is charged through a transportation cost allocation to O&amp;M and capital expenditures) adjusted for the following items included in Witness Parsons rebuttal testimony: (i) $</w:t>
      </w:r>
      <w:r w:rsidR="002C1B4A">
        <w:rPr>
          <w:color w:val="000000"/>
          <w:kern w:val="2"/>
          <w:szCs w:val="22"/>
          <w14:ligatures w14:val="standardContextual"/>
        </w:rPr>
        <w:t>252,303</w:t>
      </w:r>
      <w:r w:rsidR="002C1B4A" w:rsidRPr="003F6762">
        <w:rPr>
          <w:color w:val="000000"/>
          <w:kern w:val="2"/>
          <w:szCs w:val="22"/>
          <w14:ligatures w14:val="standardContextual"/>
        </w:rPr>
        <w:t xml:space="preserve"> reduction to reflect </w:t>
      </w:r>
      <w:r w:rsidR="002C1B4A">
        <w:rPr>
          <w:color w:val="000000"/>
          <w:kern w:val="2"/>
          <w:szCs w:val="22"/>
          <w14:ligatures w14:val="standardContextual"/>
        </w:rPr>
        <w:t>the December 31, 2023 study date</w:t>
      </w:r>
      <w:r w:rsidR="002C1B4A" w:rsidRPr="003F6762">
        <w:rPr>
          <w:color w:val="000000"/>
          <w:kern w:val="2"/>
          <w:szCs w:val="22"/>
          <w14:ligatures w14:val="standardContextual"/>
        </w:rPr>
        <w:t xml:space="preserve">, (ii) </w:t>
      </w:r>
      <w:r w:rsidR="002C1B4A" w:rsidRPr="00AC4074">
        <w:rPr>
          <w:color w:val="000000"/>
          <w:kern w:val="2"/>
          <w:szCs w:val="22"/>
          <w14:ligatures w14:val="standardContextual"/>
        </w:rPr>
        <w:t>removal of</w:t>
      </w:r>
      <w:r w:rsidR="002C1B4A" w:rsidRPr="003F6762">
        <w:rPr>
          <w:color w:val="000000"/>
          <w:kern w:val="2"/>
          <w:szCs w:val="22"/>
          <w14:ligatures w14:val="standardContextual"/>
        </w:rPr>
        <w:t xml:space="preserve"> the Alliance RNG project accounts and related depreciation expense ($</w:t>
      </w:r>
      <w:r w:rsidR="002C1B4A" w:rsidRPr="00AC4074">
        <w:rPr>
          <w:color w:val="000000"/>
          <w:kern w:val="2"/>
          <w:szCs w:val="22"/>
          <w14:ligatures w14:val="standardContextual"/>
        </w:rPr>
        <w:t>359,701</w:t>
      </w:r>
      <w:r w:rsidR="002C1B4A" w:rsidRPr="003F6762">
        <w:rPr>
          <w:color w:val="000000"/>
          <w:kern w:val="2"/>
          <w:szCs w:val="22"/>
          <w14:ligatures w14:val="standardContextual"/>
        </w:rPr>
        <w:t xml:space="preserve"> </w:t>
      </w:r>
      <w:r w:rsidR="002C1B4A">
        <w:rPr>
          <w:color w:val="000000"/>
          <w:kern w:val="2"/>
          <w:szCs w:val="22"/>
          <w14:ligatures w14:val="standardContextual"/>
        </w:rPr>
        <w:t>de</w:t>
      </w:r>
      <w:r w:rsidR="002C1B4A" w:rsidRPr="003F6762">
        <w:rPr>
          <w:color w:val="000000"/>
          <w:kern w:val="2"/>
          <w:szCs w:val="22"/>
          <w14:ligatures w14:val="standardContextual"/>
        </w:rPr>
        <w:t>crease), (iii) correction to the New River RNG project accounts and related depreciation expense ($51,505 decrease), and (iv) revision to Brightmark RNG Project pipeline extension account and related depreciation expense ($321,507 increase).</w:t>
      </w:r>
      <w:r w:rsidR="006F69E2">
        <w:rPr>
          <w:color w:val="000000"/>
          <w:kern w:val="2"/>
          <w:szCs w:val="22"/>
          <w14:ligatures w14:val="standardContextual"/>
        </w:rPr>
        <w:t xml:space="preserve"> </w:t>
      </w:r>
      <w:r w:rsidR="006F69E2" w:rsidRPr="00F71D16">
        <w:rPr>
          <w:color w:val="000000"/>
          <w:kern w:val="2"/>
          <w:szCs w:val="22"/>
          <w14:ligatures w14:val="standardContextual"/>
        </w:rPr>
        <w:t>(Watson, Parsons)</w:t>
      </w:r>
    </w:p>
    <w:p w14:paraId="6BFFF610" w14:textId="77777777" w:rsidR="00E80956" w:rsidRPr="0029161C" w:rsidRDefault="00E80956" w:rsidP="00E80956">
      <w:pPr>
        <w:jc w:val="both"/>
      </w:pPr>
    </w:p>
    <w:p w14:paraId="558FB8ED" w14:textId="77777777" w:rsidR="00E80956" w:rsidRDefault="00E80956" w:rsidP="00E80956">
      <w:pPr>
        <w:ind w:left="1440" w:hanging="1440"/>
        <w:jc w:val="both"/>
      </w:pPr>
      <w:r>
        <w:rPr>
          <w:b/>
          <w:bCs/>
        </w:rPr>
        <w:t>OPC</w:t>
      </w:r>
      <w:r w:rsidRPr="0029161C">
        <w:rPr>
          <w:b/>
          <w:bCs/>
        </w:rPr>
        <w:t>:</w:t>
      </w:r>
      <w:r>
        <w:tab/>
      </w:r>
      <w:r w:rsidR="00363FD2" w:rsidRPr="002D3163">
        <w:t xml:space="preserve">The Commission should reduce the projected test year Depreciation and </w:t>
      </w:r>
      <w:r w:rsidR="00363FD2" w:rsidRPr="00A71993">
        <w:t xml:space="preserve">Amortization Expense by </w:t>
      </w:r>
      <w:r w:rsidR="00363FD2">
        <w:t xml:space="preserve">at least </w:t>
      </w:r>
      <w:r w:rsidR="00363FD2" w:rsidRPr="00A71993">
        <w:t>$26,404,000</w:t>
      </w:r>
      <w:r w:rsidR="00363FD2">
        <w:t>, unless circumstances underlying the rate case filing materially change</w:t>
      </w:r>
      <w:r w:rsidR="00363FD2" w:rsidRPr="00A71993">
        <w:t>. (Kollen)</w:t>
      </w:r>
    </w:p>
    <w:p w14:paraId="05B63258" w14:textId="77777777" w:rsidR="00E80956" w:rsidRDefault="00E80956" w:rsidP="00E80956">
      <w:pPr>
        <w:jc w:val="both"/>
      </w:pPr>
    </w:p>
    <w:p w14:paraId="39B61011"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18933B90" w14:textId="77777777" w:rsidR="00E80956" w:rsidRPr="0029161C" w:rsidRDefault="00E80956" w:rsidP="00E80956">
      <w:pPr>
        <w:jc w:val="both"/>
      </w:pPr>
    </w:p>
    <w:p w14:paraId="6360BF8E" w14:textId="77777777" w:rsidR="00E80956" w:rsidRPr="0029161C" w:rsidRDefault="00E80956" w:rsidP="00E80956">
      <w:pPr>
        <w:ind w:left="1440" w:hanging="1440"/>
        <w:jc w:val="both"/>
        <w:rPr>
          <w:b/>
          <w:bCs/>
        </w:rPr>
      </w:pPr>
      <w:r w:rsidRPr="0029161C">
        <w:rPr>
          <w:b/>
          <w:bCs/>
        </w:rPr>
        <w:t>STAFF:</w:t>
      </w:r>
      <w:r w:rsidRPr="0029161C">
        <w:rPr>
          <w:b/>
          <w:bCs/>
        </w:rPr>
        <w:tab/>
      </w:r>
      <w:r w:rsidR="008B3A6B">
        <w:t>Staff has no position at this time.</w:t>
      </w:r>
    </w:p>
    <w:p w14:paraId="11A185ED" w14:textId="77777777" w:rsidR="00E80956" w:rsidRPr="0029161C" w:rsidRDefault="00E80956" w:rsidP="00E80956">
      <w:pPr>
        <w:jc w:val="both"/>
      </w:pPr>
    </w:p>
    <w:p w14:paraId="7C9B98AE" w14:textId="77777777" w:rsidR="00E80956" w:rsidRPr="0029161C" w:rsidRDefault="00E80956" w:rsidP="00E80956">
      <w:pPr>
        <w:jc w:val="both"/>
      </w:pPr>
    </w:p>
    <w:p w14:paraId="783D4544" w14:textId="77777777" w:rsidR="00E80956" w:rsidRPr="0029161C" w:rsidRDefault="00E80956" w:rsidP="00E80956">
      <w:pPr>
        <w:ind w:left="1440" w:hanging="1440"/>
        <w:jc w:val="both"/>
      </w:pPr>
      <w:r w:rsidRPr="0029161C">
        <w:rPr>
          <w:b/>
          <w:bCs/>
        </w:rPr>
        <w:t xml:space="preserve">ISSUE </w:t>
      </w:r>
      <w:r>
        <w:rPr>
          <w:b/>
          <w:bCs/>
        </w:rPr>
        <w:t>5</w:t>
      </w:r>
      <w:r w:rsidRPr="0029161C">
        <w:rPr>
          <w:b/>
          <w:bCs/>
        </w:rPr>
        <w:t>1:</w:t>
      </w:r>
      <w:r w:rsidRPr="0029161C">
        <w:tab/>
      </w:r>
      <w:r w:rsidR="002247DD" w:rsidRPr="00810A45">
        <w:rPr>
          <w:b/>
        </w:rPr>
        <w:t>What amount of projected test year Taxes Other than Income should be approved?</w:t>
      </w:r>
    </w:p>
    <w:p w14:paraId="61973DDC" w14:textId="77777777" w:rsidR="00E80956" w:rsidRPr="0029161C" w:rsidRDefault="00E80956" w:rsidP="00E80956">
      <w:pPr>
        <w:jc w:val="both"/>
      </w:pPr>
    </w:p>
    <w:p w14:paraId="022CFA04" w14:textId="77777777" w:rsidR="00E80956" w:rsidRPr="0029161C" w:rsidRDefault="00E80956" w:rsidP="00E80956">
      <w:pPr>
        <w:ind w:left="1440" w:hanging="1440"/>
        <w:jc w:val="both"/>
      </w:pPr>
      <w:r>
        <w:rPr>
          <w:b/>
          <w:bCs/>
        </w:rPr>
        <w:t>PGS</w:t>
      </w:r>
      <w:r w:rsidRPr="0029161C">
        <w:rPr>
          <w:b/>
          <w:bCs/>
        </w:rPr>
        <w:t>:</w:t>
      </w:r>
      <w:r w:rsidRPr="0029161C">
        <w:tab/>
      </w:r>
      <w:r w:rsidR="002C1B4A" w:rsidRPr="006605A1">
        <w:rPr>
          <w:color w:val="000000"/>
          <w:kern w:val="2"/>
          <w:szCs w:val="22"/>
          <w14:ligatures w14:val="standardContextual"/>
        </w:rPr>
        <w:t>The appropriate amount of projected 2024 test year Taxes Other than Income is $29,</w:t>
      </w:r>
      <w:r w:rsidR="002C1B4A" w:rsidRPr="00AC4074">
        <w:rPr>
          <w:color w:val="000000"/>
          <w:kern w:val="2"/>
          <w:szCs w:val="22"/>
          <w14:ligatures w14:val="standardContextual"/>
        </w:rPr>
        <w:t>604,654</w:t>
      </w:r>
      <w:r w:rsidR="002C1B4A" w:rsidRPr="006605A1">
        <w:rPr>
          <w:color w:val="000000"/>
          <w:kern w:val="2"/>
          <w:szCs w:val="22"/>
          <w14:ligatures w14:val="standardContextual"/>
        </w:rPr>
        <w:t xml:space="preserve">. This amount reflects the $31,701,341 shown on MFR Schedule G-2, </w:t>
      </w:r>
      <w:r w:rsidR="002C1B4A" w:rsidRPr="006605A1">
        <w:rPr>
          <w:color w:val="000000"/>
          <w:kern w:val="2"/>
          <w:szCs w:val="22"/>
          <w14:ligatures w14:val="standardContextual"/>
        </w:rPr>
        <w:lastRenderedPageBreak/>
        <w:t>page 1, less the $2,008,000 reduction to projected test year property tax expense included in Witness Parsons rebuttal testimony</w:t>
      </w:r>
      <w:r w:rsidR="002C1B4A" w:rsidRPr="00AC4074">
        <w:rPr>
          <w:color w:val="000000"/>
          <w:kern w:val="2"/>
          <w:szCs w:val="22"/>
          <w14:ligatures w14:val="standardContextual"/>
        </w:rPr>
        <w:t xml:space="preserve"> and removal of $88,687 of property tax expense related to the Alliance project</w:t>
      </w:r>
      <w:r w:rsidR="002C1B4A" w:rsidRPr="006605A1">
        <w:rPr>
          <w:color w:val="000000"/>
          <w:kern w:val="2"/>
          <w:szCs w:val="22"/>
          <w14:ligatures w14:val="standardContextual"/>
        </w:rPr>
        <w:t>.</w:t>
      </w:r>
      <w:r w:rsidR="006F69E2" w:rsidRPr="00F71D16">
        <w:rPr>
          <w:color w:val="000000"/>
          <w:kern w:val="2"/>
          <w:szCs w:val="22"/>
          <w14:ligatures w14:val="standardContextual"/>
        </w:rPr>
        <w:t xml:space="preserve"> (Parsons)</w:t>
      </w:r>
    </w:p>
    <w:p w14:paraId="12801DCF" w14:textId="77777777" w:rsidR="00E80956" w:rsidRPr="0029161C" w:rsidRDefault="00E80956" w:rsidP="00E80956">
      <w:pPr>
        <w:jc w:val="both"/>
      </w:pPr>
    </w:p>
    <w:p w14:paraId="58044413" w14:textId="77777777" w:rsidR="00E80956" w:rsidRDefault="00E80956" w:rsidP="00E80956">
      <w:pPr>
        <w:ind w:left="1440" w:hanging="1440"/>
        <w:jc w:val="both"/>
      </w:pPr>
      <w:r>
        <w:rPr>
          <w:b/>
          <w:bCs/>
        </w:rPr>
        <w:t>OPC</w:t>
      </w:r>
      <w:r w:rsidRPr="0029161C">
        <w:rPr>
          <w:b/>
          <w:bCs/>
        </w:rPr>
        <w:t>:</w:t>
      </w:r>
      <w:r>
        <w:tab/>
      </w:r>
      <w:r w:rsidR="00363FD2" w:rsidRPr="00A71993">
        <w:t xml:space="preserve">The amount of Taxes Other than Income that should be approved is </w:t>
      </w:r>
      <w:r w:rsidR="00363FD2">
        <w:t xml:space="preserve">no more than </w:t>
      </w:r>
      <w:r w:rsidR="00363FD2" w:rsidRPr="00A71993">
        <w:t>$29,154,896.</w:t>
      </w:r>
      <w:r w:rsidR="00363FD2">
        <w:t xml:space="preserve"> (Kollen)</w:t>
      </w:r>
    </w:p>
    <w:p w14:paraId="36B46E63" w14:textId="77777777" w:rsidR="00E80956" w:rsidRDefault="00E80956" w:rsidP="00E80956">
      <w:pPr>
        <w:jc w:val="both"/>
      </w:pPr>
    </w:p>
    <w:p w14:paraId="42FB8B81" w14:textId="77777777" w:rsidR="00E80956" w:rsidRPr="00A4526E" w:rsidRDefault="00E80956" w:rsidP="00E80956">
      <w:pPr>
        <w:ind w:left="1440" w:hanging="1440"/>
        <w:jc w:val="both"/>
      </w:pPr>
      <w:r>
        <w:rPr>
          <w:b/>
        </w:rPr>
        <w:t>FIPUG:</w:t>
      </w:r>
      <w:r>
        <w:rPr>
          <w:b/>
        </w:rPr>
        <w:tab/>
      </w:r>
      <w:r w:rsidR="008E1978" w:rsidRPr="00BE2300">
        <w:rPr>
          <w:bCs/>
        </w:rPr>
        <w:t>Adopt position of OPC.</w:t>
      </w:r>
    </w:p>
    <w:p w14:paraId="4723AEE7" w14:textId="77777777" w:rsidR="00E80956" w:rsidRPr="0029161C" w:rsidRDefault="00E80956" w:rsidP="00E80956">
      <w:pPr>
        <w:jc w:val="both"/>
      </w:pPr>
    </w:p>
    <w:p w14:paraId="3EF9A1FE" w14:textId="7B90D599" w:rsidR="00E80956" w:rsidRDefault="00E80956" w:rsidP="00E80956">
      <w:pPr>
        <w:ind w:left="1440" w:hanging="1440"/>
        <w:jc w:val="both"/>
      </w:pPr>
      <w:r w:rsidRPr="0029161C">
        <w:rPr>
          <w:b/>
          <w:bCs/>
        </w:rPr>
        <w:t>STAFF:</w:t>
      </w:r>
      <w:r w:rsidRPr="0029161C">
        <w:rPr>
          <w:b/>
          <w:bCs/>
        </w:rPr>
        <w:tab/>
      </w:r>
      <w:r w:rsidR="008B3A6B">
        <w:t>Staff has no position at this time.</w:t>
      </w:r>
    </w:p>
    <w:p w14:paraId="7E5F53A7" w14:textId="33586A14" w:rsidR="006F71EF" w:rsidRDefault="006F71EF" w:rsidP="00E80956">
      <w:pPr>
        <w:ind w:left="1440" w:hanging="1440"/>
        <w:jc w:val="both"/>
      </w:pPr>
    </w:p>
    <w:p w14:paraId="61EA4898" w14:textId="77777777" w:rsidR="006F71EF" w:rsidRPr="0029161C" w:rsidRDefault="006F71EF" w:rsidP="00E80956">
      <w:pPr>
        <w:ind w:left="1440" w:hanging="1440"/>
        <w:jc w:val="both"/>
        <w:rPr>
          <w:b/>
          <w:bCs/>
        </w:rPr>
      </w:pPr>
    </w:p>
    <w:p w14:paraId="69E6008D" w14:textId="683AE1BE" w:rsidR="00ED4B49" w:rsidRPr="0029161C" w:rsidRDefault="00ED4B49" w:rsidP="00ED4B49">
      <w:pPr>
        <w:ind w:left="1440" w:hanging="1440"/>
        <w:jc w:val="both"/>
      </w:pPr>
      <w:r>
        <w:rPr>
          <w:b/>
          <w:bCs/>
        </w:rPr>
        <w:t>ISSUE 52</w:t>
      </w:r>
      <w:r w:rsidRPr="0029161C">
        <w:rPr>
          <w:b/>
          <w:bCs/>
        </w:rPr>
        <w:t>:</w:t>
      </w:r>
      <w:r w:rsidRPr="0029161C">
        <w:tab/>
      </w:r>
      <w:r w:rsidR="002247DD" w:rsidRPr="00810A45">
        <w:rPr>
          <w:b/>
        </w:rPr>
        <w:t>What amount of Parent Debt Adjustment is required by Rule 25-14.004, Florida Administrative Code?</w:t>
      </w:r>
    </w:p>
    <w:p w14:paraId="37B02326" w14:textId="77777777" w:rsidR="00ED4B49" w:rsidRPr="0029161C" w:rsidRDefault="00ED4B49" w:rsidP="00ED4B49">
      <w:pPr>
        <w:jc w:val="both"/>
      </w:pPr>
    </w:p>
    <w:p w14:paraId="7B41414B" w14:textId="77777777" w:rsidR="00ED4B49" w:rsidRPr="0029161C" w:rsidRDefault="00ED4B49" w:rsidP="00ED4B49">
      <w:pPr>
        <w:ind w:left="1440" w:hanging="1440"/>
        <w:jc w:val="both"/>
      </w:pPr>
      <w:r>
        <w:rPr>
          <w:b/>
          <w:bCs/>
        </w:rPr>
        <w:t>PGS</w:t>
      </w:r>
      <w:r w:rsidRPr="0029161C">
        <w:rPr>
          <w:b/>
          <w:bCs/>
        </w:rPr>
        <w:t>:</w:t>
      </w:r>
      <w:r w:rsidRPr="0029161C">
        <w:tab/>
      </w:r>
      <w:r w:rsidR="002C1B4A" w:rsidRPr="00F71D16">
        <w:rPr>
          <w:color w:val="000000"/>
          <w:kern w:val="2"/>
          <w:szCs w:val="22"/>
          <w14:ligatures w14:val="standardContextual"/>
        </w:rPr>
        <w:t>Emera</w:t>
      </w:r>
      <w:r w:rsidR="002C1B4A">
        <w:rPr>
          <w:color w:val="000000"/>
          <w:kern w:val="2"/>
          <w:szCs w:val="22"/>
          <w14:ligatures w14:val="standardContextual"/>
        </w:rPr>
        <w:t xml:space="preserve"> Incorporated </w:t>
      </w:r>
      <w:r w:rsidR="002C1B4A" w:rsidRPr="00F71D16">
        <w:rPr>
          <w:color w:val="000000"/>
          <w:kern w:val="2"/>
          <w:szCs w:val="22"/>
          <w14:ligatures w14:val="standardContextual"/>
        </w:rPr>
        <w:t xml:space="preserve">is the ultimate parent company used for purposes of calculating a parent debt adjustment as provided for in Rule 25-14.004. </w:t>
      </w:r>
      <w:r w:rsidR="002C1B4A">
        <w:rPr>
          <w:color w:val="000000"/>
          <w:kern w:val="2"/>
          <w:szCs w:val="22"/>
          <w14:ligatures w14:val="standardContextual"/>
        </w:rPr>
        <w:t xml:space="preserve">Based on its proposed equity ratio of 54.7 percent, the </w:t>
      </w:r>
      <w:r w:rsidR="002C1B4A" w:rsidRPr="00F71D16">
        <w:rPr>
          <w:color w:val="000000"/>
          <w:kern w:val="2"/>
          <w:szCs w:val="22"/>
          <w14:ligatures w14:val="standardContextual"/>
        </w:rPr>
        <w:t xml:space="preserve">parent company debt adjustment </w:t>
      </w:r>
      <w:r w:rsidR="002C1B4A">
        <w:rPr>
          <w:color w:val="000000"/>
          <w:kern w:val="2"/>
          <w:szCs w:val="22"/>
          <w14:ligatures w14:val="standardContextual"/>
        </w:rPr>
        <w:t xml:space="preserve">should be </w:t>
      </w:r>
      <w:r w:rsidR="002C1B4A" w:rsidRPr="00F71D16">
        <w:rPr>
          <w:color w:val="000000"/>
          <w:kern w:val="2"/>
          <w:szCs w:val="22"/>
          <w14:ligatures w14:val="standardContextual"/>
        </w:rPr>
        <w:t>$</w:t>
      </w:r>
      <w:r w:rsidR="002C1B4A">
        <w:rPr>
          <w:color w:val="000000"/>
          <w:kern w:val="2"/>
          <w:szCs w:val="22"/>
          <w14:ligatures w14:val="standardContextual"/>
        </w:rPr>
        <w:t>3,084,000</w:t>
      </w:r>
      <w:r w:rsidR="002C1B4A" w:rsidRPr="00F71D16">
        <w:rPr>
          <w:color w:val="000000"/>
          <w:kern w:val="2"/>
          <w:szCs w:val="22"/>
          <w14:ligatures w14:val="standardContextual"/>
        </w:rPr>
        <w:t xml:space="preserve">, as shown on MFR Schedule C-26. </w:t>
      </w:r>
      <w:r w:rsidR="002C1B4A">
        <w:rPr>
          <w:color w:val="000000"/>
          <w:kern w:val="2"/>
          <w:szCs w:val="22"/>
          <w14:ligatures w14:val="standardContextual"/>
        </w:rPr>
        <w:t>The adjustment would be $2,762,000 based on the level of common equity recommended by OPC.</w:t>
      </w:r>
      <w:r w:rsidR="006F69E2" w:rsidRPr="00F71D16">
        <w:rPr>
          <w:color w:val="000000"/>
          <w:kern w:val="2"/>
          <w:szCs w:val="22"/>
          <w14:ligatures w14:val="standardContextual"/>
        </w:rPr>
        <w:t xml:space="preserve"> (Parsons)</w:t>
      </w:r>
    </w:p>
    <w:p w14:paraId="1172C7F2" w14:textId="77777777" w:rsidR="00ED4B49" w:rsidRPr="0029161C" w:rsidRDefault="00ED4B49" w:rsidP="00ED4B49">
      <w:pPr>
        <w:jc w:val="both"/>
      </w:pPr>
    </w:p>
    <w:p w14:paraId="7B6D3F64" w14:textId="77777777" w:rsidR="00ED4B49" w:rsidRDefault="00ED4B49" w:rsidP="00ED4B49">
      <w:pPr>
        <w:ind w:left="1440" w:hanging="1440"/>
        <w:jc w:val="both"/>
      </w:pPr>
      <w:r>
        <w:rPr>
          <w:b/>
          <w:bCs/>
        </w:rPr>
        <w:t>OPC</w:t>
      </w:r>
      <w:r w:rsidRPr="0029161C">
        <w:rPr>
          <w:b/>
          <w:bCs/>
        </w:rPr>
        <w:t>:</w:t>
      </w:r>
      <w:r>
        <w:tab/>
      </w:r>
      <w:r w:rsidR="00363FD2" w:rsidRPr="00A71993">
        <w:t xml:space="preserve">The Parent Debt Adjustment </w:t>
      </w:r>
      <w:r w:rsidR="00DB16F3">
        <w:t>required by the rule is</w:t>
      </w:r>
      <w:r w:rsidR="00363FD2" w:rsidRPr="00A71993">
        <w:t xml:space="preserve"> $2,762,000 based on the level of common equity recommended by the </w:t>
      </w:r>
      <w:r w:rsidR="00363FD2" w:rsidRPr="00FD2090">
        <w:t>OPC</w:t>
      </w:r>
      <w:r w:rsidR="00363FD2" w:rsidRPr="00A71993">
        <w:t>.</w:t>
      </w:r>
      <w:r w:rsidR="00363FD2">
        <w:t xml:space="preserve"> To the extent the Commission approves a greater amount of equity in the company’s capital structure, there should be a concomitant increase in the adjustment. (Kollen)</w:t>
      </w:r>
    </w:p>
    <w:p w14:paraId="2925CD2D" w14:textId="77777777" w:rsidR="00ED4B49" w:rsidRDefault="00ED4B49" w:rsidP="00ED4B49">
      <w:pPr>
        <w:jc w:val="both"/>
      </w:pPr>
    </w:p>
    <w:p w14:paraId="2A3CF5EA"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7FB2DF2E" w14:textId="77777777" w:rsidR="00ED4B49" w:rsidRPr="0029161C" w:rsidRDefault="00ED4B49" w:rsidP="00ED4B49">
      <w:pPr>
        <w:jc w:val="both"/>
      </w:pPr>
    </w:p>
    <w:p w14:paraId="0C28EB5D"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1C50D66E" w14:textId="5DA314D2" w:rsidR="008D2EC4" w:rsidRDefault="008D2EC4" w:rsidP="008D2EC4">
      <w:pPr>
        <w:rPr>
          <w:b/>
          <w:bCs/>
        </w:rPr>
      </w:pPr>
    </w:p>
    <w:p w14:paraId="5462A291" w14:textId="77777777" w:rsidR="00AA3E5A" w:rsidRDefault="00AA3E5A" w:rsidP="008D2EC4">
      <w:pPr>
        <w:rPr>
          <w:b/>
          <w:bCs/>
        </w:rPr>
      </w:pPr>
    </w:p>
    <w:p w14:paraId="7F6A4C70" w14:textId="2B023F69" w:rsidR="00ED4B49" w:rsidRPr="0029161C" w:rsidRDefault="00ED4B49" w:rsidP="008D2EC4">
      <w:pPr>
        <w:ind w:left="1440" w:hanging="1440"/>
        <w:jc w:val="both"/>
      </w:pPr>
      <w:r>
        <w:rPr>
          <w:b/>
          <w:bCs/>
        </w:rPr>
        <w:t>ISSUE 53</w:t>
      </w:r>
      <w:r w:rsidRPr="0029161C">
        <w:rPr>
          <w:b/>
          <w:bCs/>
        </w:rPr>
        <w:t>:</w:t>
      </w:r>
      <w:r w:rsidRPr="0029161C">
        <w:tab/>
      </w:r>
      <w:r w:rsidR="002247DD" w:rsidRPr="00810A45">
        <w:rPr>
          <w:b/>
        </w:rPr>
        <w:t>What amount of projected test year Income Ta</w:t>
      </w:r>
      <w:r w:rsidR="008D2EC4">
        <w:rPr>
          <w:b/>
        </w:rPr>
        <w:t xml:space="preserve">x Expense should be </w:t>
      </w:r>
      <w:r w:rsidR="002247DD" w:rsidRPr="00810A45">
        <w:rPr>
          <w:b/>
        </w:rPr>
        <w:t>approved?</w:t>
      </w:r>
    </w:p>
    <w:p w14:paraId="2C036664" w14:textId="77777777" w:rsidR="00ED4B49" w:rsidRPr="0029161C" w:rsidRDefault="00ED4B49" w:rsidP="00ED4B49">
      <w:pPr>
        <w:jc w:val="both"/>
      </w:pPr>
    </w:p>
    <w:p w14:paraId="197BCDFE" w14:textId="77777777" w:rsidR="00ED4B49" w:rsidRPr="0029161C" w:rsidRDefault="00ED4B49" w:rsidP="00ED4B49">
      <w:pPr>
        <w:ind w:left="1440" w:hanging="1440"/>
        <w:jc w:val="both"/>
      </w:pPr>
      <w:r>
        <w:rPr>
          <w:b/>
          <w:bCs/>
        </w:rPr>
        <w:t>PGS</w:t>
      </w:r>
      <w:r w:rsidRPr="0029161C">
        <w:rPr>
          <w:b/>
          <w:bCs/>
        </w:rPr>
        <w:t>:</w:t>
      </w:r>
      <w:r w:rsidRPr="0029161C">
        <w:tab/>
      </w:r>
      <w:r w:rsidR="002C1B4A" w:rsidRPr="00F71D16">
        <w:rPr>
          <w:color w:val="000000"/>
          <w:kern w:val="2"/>
          <w:szCs w:val="22"/>
          <w14:ligatures w14:val="standardContextual"/>
        </w:rPr>
        <w:t>The appropriate amount of projected 2024 test year Income</w:t>
      </w:r>
      <w:r w:rsidR="002C1B4A">
        <w:rPr>
          <w:color w:val="000000"/>
          <w:kern w:val="2"/>
          <w:szCs w:val="22"/>
          <w14:ligatures w14:val="standardContextual"/>
        </w:rPr>
        <w:t xml:space="preserve"> Tax Expense</w:t>
      </w:r>
      <w:r w:rsidR="002C1B4A" w:rsidRPr="00F71D16">
        <w:rPr>
          <w:color w:val="000000"/>
          <w:kern w:val="2"/>
          <w:szCs w:val="22"/>
          <w14:ligatures w14:val="standardContextual"/>
        </w:rPr>
        <w:t xml:space="preserve"> is $</w:t>
      </w:r>
      <w:r w:rsidR="002C1B4A">
        <w:rPr>
          <w:color w:val="000000"/>
          <w:kern w:val="2"/>
          <w:szCs w:val="22"/>
          <w14:ligatures w14:val="standardContextual"/>
        </w:rPr>
        <w:t xml:space="preserve">3,770,671. This reflects the net test year Income Tax Expense of $3,093,175 </w:t>
      </w:r>
      <w:r w:rsidR="002C1B4A" w:rsidRPr="00F71D16">
        <w:rPr>
          <w:color w:val="000000"/>
          <w:kern w:val="2"/>
          <w:szCs w:val="22"/>
          <w14:ligatures w14:val="standardContextual"/>
        </w:rPr>
        <w:t>shown on MFR Schedule G-2, page 1</w:t>
      </w:r>
      <w:r w:rsidR="002C1B4A">
        <w:rPr>
          <w:color w:val="000000"/>
          <w:kern w:val="2"/>
          <w:szCs w:val="22"/>
          <w14:ligatures w14:val="standardContextual"/>
        </w:rPr>
        <w:t>, lines 10-13 plus an increase of $677,496, which is the income tax offset related to the $2,673,097 pre-tax increase in NOI discussed in Issue 55</w:t>
      </w:r>
      <w:r w:rsidR="002C1B4A" w:rsidRPr="00F71D16">
        <w:rPr>
          <w:color w:val="000000"/>
          <w:kern w:val="2"/>
          <w:szCs w:val="22"/>
          <w14:ligatures w14:val="standardContextual"/>
        </w:rPr>
        <w:t>.</w:t>
      </w:r>
      <w:r w:rsidR="006F69E2" w:rsidRPr="00F71D16">
        <w:rPr>
          <w:color w:val="000000"/>
          <w:kern w:val="2"/>
          <w:szCs w:val="22"/>
          <w14:ligatures w14:val="standardContextual"/>
        </w:rPr>
        <w:t xml:space="preserve"> (Parsons)</w:t>
      </w:r>
    </w:p>
    <w:p w14:paraId="3D9A3D93" w14:textId="77777777" w:rsidR="00ED4B49" w:rsidRPr="0029161C" w:rsidRDefault="00ED4B49" w:rsidP="00ED4B49">
      <w:pPr>
        <w:jc w:val="both"/>
      </w:pPr>
    </w:p>
    <w:p w14:paraId="613901FF" w14:textId="77777777" w:rsidR="00ED4B49" w:rsidRDefault="00ED4B49" w:rsidP="00ED4B49">
      <w:pPr>
        <w:ind w:left="1440" w:hanging="1440"/>
        <w:jc w:val="both"/>
      </w:pPr>
      <w:r>
        <w:rPr>
          <w:b/>
          <w:bCs/>
        </w:rPr>
        <w:t>OPC</w:t>
      </w:r>
      <w:r w:rsidRPr="0029161C">
        <w:rPr>
          <w:b/>
          <w:bCs/>
        </w:rPr>
        <w:t>:</w:t>
      </w:r>
      <w:r>
        <w:tab/>
      </w:r>
      <w:r w:rsidR="00363FD2">
        <w:t xml:space="preserve">This is a fallout issue. </w:t>
      </w:r>
      <w:r w:rsidR="00363FD2" w:rsidRPr="00A71993">
        <w:t xml:space="preserve">The OPC has not separately quantified </w:t>
      </w:r>
      <w:r w:rsidR="00363FD2">
        <w:t>the level of Income Tax Expense</w:t>
      </w:r>
      <w:r w:rsidR="00363FD2" w:rsidRPr="00A71993">
        <w:t xml:space="preserve"> that would remain after consideration of its revenue requirement adjustments.  The OPC adjustments are made on an incremental revenue requirement basis.</w:t>
      </w:r>
      <w:r w:rsidR="00363FD2">
        <w:t xml:space="preserve"> (Kollen)</w:t>
      </w:r>
    </w:p>
    <w:p w14:paraId="630E8C6B" w14:textId="77777777" w:rsidR="00ED4B49" w:rsidRDefault="00ED4B49" w:rsidP="00ED4B49">
      <w:pPr>
        <w:jc w:val="both"/>
      </w:pPr>
    </w:p>
    <w:p w14:paraId="402DDD95"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3A9A6882" w14:textId="77777777" w:rsidR="00ED4B49" w:rsidRPr="0029161C" w:rsidRDefault="00ED4B49" w:rsidP="00ED4B49">
      <w:pPr>
        <w:jc w:val="both"/>
      </w:pPr>
    </w:p>
    <w:p w14:paraId="50A812BA"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5AE338B1" w14:textId="77777777" w:rsidR="00ED4B49" w:rsidRPr="0029161C" w:rsidRDefault="00ED4B49" w:rsidP="00ED4B49">
      <w:pPr>
        <w:jc w:val="both"/>
      </w:pPr>
    </w:p>
    <w:p w14:paraId="5A02D74F" w14:textId="77777777" w:rsidR="00ED4B49" w:rsidRPr="0029161C" w:rsidRDefault="00ED4B49" w:rsidP="00ED4B49">
      <w:pPr>
        <w:jc w:val="both"/>
      </w:pPr>
    </w:p>
    <w:p w14:paraId="3A0AD8F3" w14:textId="77777777" w:rsidR="00ED4B49" w:rsidRPr="0029161C" w:rsidRDefault="00ED4B49" w:rsidP="00ED4B49">
      <w:pPr>
        <w:ind w:left="1440" w:hanging="1440"/>
        <w:jc w:val="both"/>
      </w:pPr>
      <w:r>
        <w:rPr>
          <w:b/>
          <w:bCs/>
        </w:rPr>
        <w:t>ISSUE 54</w:t>
      </w:r>
      <w:r w:rsidRPr="0029161C">
        <w:rPr>
          <w:b/>
          <w:bCs/>
        </w:rPr>
        <w:t>:</w:t>
      </w:r>
      <w:r w:rsidRPr="0029161C">
        <w:tab/>
      </w:r>
      <w:r w:rsidR="002247DD" w:rsidRPr="00810A45">
        <w:rPr>
          <w:b/>
        </w:rPr>
        <w:t>What amount of projected test year Total Operating Expenses should be approved?</w:t>
      </w:r>
    </w:p>
    <w:p w14:paraId="4D31C7A8" w14:textId="77777777" w:rsidR="00ED4B49" w:rsidRPr="0029161C" w:rsidRDefault="00ED4B49" w:rsidP="00ED4B49">
      <w:pPr>
        <w:jc w:val="both"/>
      </w:pPr>
    </w:p>
    <w:p w14:paraId="09C548A8" w14:textId="77777777" w:rsidR="00ED4B49" w:rsidRPr="0029161C" w:rsidRDefault="00ED4B49" w:rsidP="00ED4B49">
      <w:pPr>
        <w:ind w:left="1440" w:hanging="1440"/>
        <w:jc w:val="both"/>
      </w:pPr>
      <w:r>
        <w:rPr>
          <w:b/>
          <w:bCs/>
        </w:rPr>
        <w:t>PGS</w:t>
      </w:r>
      <w:r w:rsidRPr="0029161C">
        <w:rPr>
          <w:b/>
          <w:bCs/>
        </w:rPr>
        <w:t>:</w:t>
      </w:r>
      <w:r w:rsidRPr="0029161C">
        <w:tab/>
      </w:r>
      <w:r w:rsidR="002C1B4A" w:rsidRPr="00F71D16">
        <w:rPr>
          <w:color w:val="000000"/>
          <w:kern w:val="2"/>
          <w:szCs w:val="22"/>
          <w14:ligatures w14:val="standardContextual"/>
        </w:rPr>
        <w:t>The appropriate amount of Total Operating Expenses for the projected 2024 test year is $</w:t>
      </w:r>
      <w:r w:rsidR="002C1B4A">
        <w:rPr>
          <w:color w:val="000000"/>
          <w:kern w:val="2"/>
          <w:szCs w:val="22"/>
          <w14:ligatures w14:val="standardContextual"/>
        </w:rPr>
        <w:t>266,008,087. This reflects the $273,729,779 amount shown on MFR Schedule G-2, page 1, line 16, less the total pre-tax operating expense adjustments of $8,399,189, which is offset by the associated increase in test year Income Tax Expense of $677,496. The net adjustment is a decrease in Total Operating Expenses of $7,721,692 from the $273,729,779 shown on MFR Schedule G-2, page 1, line 16.</w:t>
      </w:r>
      <w:r w:rsidR="006F69E2" w:rsidRPr="00F71D16">
        <w:rPr>
          <w:color w:val="000000"/>
          <w:kern w:val="2"/>
          <w:szCs w:val="22"/>
          <w14:ligatures w14:val="standardContextual"/>
        </w:rPr>
        <w:t xml:space="preserve"> (Parsons)</w:t>
      </w:r>
    </w:p>
    <w:p w14:paraId="70811997" w14:textId="77777777" w:rsidR="00ED4B49" w:rsidRPr="0029161C" w:rsidRDefault="00ED4B49" w:rsidP="00ED4B49">
      <w:pPr>
        <w:jc w:val="both"/>
      </w:pPr>
    </w:p>
    <w:p w14:paraId="23BF976A" w14:textId="77777777" w:rsidR="00ED4B49" w:rsidRDefault="00ED4B49" w:rsidP="00ED4B49">
      <w:pPr>
        <w:ind w:left="1440" w:hanging="1440"/>
        <w:jc w:val="both"/>
      </w:pPr>
      <w:r>
        <w:rPr>
          <w:b/>
          <w:bCs/>
        </w:rPr>
        <w:t>OPC</w:t>
      </w:r>
      <w:r w:rsidRPr="0029161C">
        <w:rPr>
          <w:b/>
          <w:bCs/>
        </w:rPr>
        <w:t>:</w:t>
      </w:r>
      <w:r>
        <w:tab/>
      </w:r>
      <w:r w:rsidR="00363FD2">
        <w:t xml:space="preserve">This is a fallout issue. </w:t>
      </w:r>
      <w:r w:rsidR="00363FD2" w:rsidRPr="00A71993">
        <w:t>The OPC has not separately quantified the level of Total Operating Expenses that would remain after consideration of its revenue requirement adjustments.  The OPC adjustments are made on an incremental revenue requirement basis.</w:t>
      </w:r>
      <w:r w:rsidR="00363FD2">
        <w:t xml:space="preserve"> (Kollen)</w:t>
      </w:r>
    </w:p>
    <w:p w14:paraId="0820842B" w14:textId="77777777" w:rsidR="00ED4B49" w:rsidRDefault="00ED4B49" w:rsidP="00ED4B49">
      <w:pPr>
        <w:jc w:val="both"/>
      </w:pPr>
    </w:p>
    <w:p w14:paraId="627B241C"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292532BF" w14:textId="77777777" w:rsidR="00ED4B49" w:rsidRPr="0029161C" w:rsidRDefault="00ED4B49" w:rsidP="00ED4B49">
      <w:pPr>
        <w:jc w:val="both"/>
      </w:pPr>
    </w:p>
    <w:p w14:paraId="1318846F"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2E9D4EE5" w14:textId="77777777" w:rsidR="00ED4B49" w:rsidRPr="0029161C" w:rsidRDefault="00ED4B49" w:rsidP="00ED4B49">
      <w:pPr>
        <w:jc w:val="both"/>
      </w:pPr>
    </w:p>
    <w:p w14:paraId="63E88659" w14:textId="77777777" w:rsidR="00ED4B49" w:rsidRPr="0029161C" w:rsidRDefault="00ED4B49" w:rsidP="00ED4B49">
      <w:pPr>
        <w:jc w:val="both"/>
      </w:pPr>
    </w:p>
    <w:p w14:paraId="6A76F865" w14:textId="112FD0AB" w:rsidR="00ED4B49" w:rsidRPr="0029161C" w:rsidRDefault="00ED4B49" w:rsidP="00ED4B49">
      <w:pPr>
        <w:ind w:left="1440" w:hanging="1440"/>
        <w:jc w:val="both"/>
      </w:pPr>
      <w:r>
        <w:rPr>
          <w:b/>
          <w:bCs/>
        </w:rPr>
        <w:t>ISSUE 55</w:t>
      </w:r>
      <w:r w:rsidRPr="0029161C">
        <w:rPr>
          <w:b/>
          <w:bCs/>
        </w:rPr>
        <w:t>:</w:t>
      </w:r>
      <w:r w:rsidRPr="0029161C">
        <w:tab/>
      </w:r>
      <w:r w:rsidR="002247DD" w:rsidRPr="00810A45">
        <w:rPr>
          <w:b/>
        </w:rPr>
        <w:t>What amount of projected test year Net Operating Income should be approved?</w:t>
      </w:r>
    </w:p>
    <w:p w14:paraId="71242264" w14:textId="77777777" w:rsidR="00ED4B49" w:rsidRPr="0029161C" w:rsidRDefault="00ED4B49" w:rsidP="00ED4B49">
      <w:pPr>
        <w:jc w:val="both"/>
      </w:pPr>
    </w:p>
    <w:p w14:paraId="12483F28" w14:textId="77777777" w:rsidR="00ED4B49" w:rsidRPr="0029161C" w:rsidRDefault="00ED4B49" w:rsidP="00ED4B49">
      <w:pPr>
        <w:ind w:left="1440" w:hanging="1440"/>
        <w:jc w:val="both"/>
      </w:pPr>
      <w:r>
        <w:rPr>
          <w:b/>
          <w:bCs/>
        </w:rPr>
        <w:t>PGS</w:t>
      </w:r>
      <w:r w:rsidRPr="0029161C">
        <w:rPr>
          <w:b/>
          <w:bCs/>
        </w:rPr>
        <w:t>:</w:t>
      </w:r>
      <w:r w:rsidRPr="0029161C">
        <w:tab/>
      </w:r>
      <w:r w:rsidR="002C1B4A" w:rsidRPr="00F71D16">
        <w:rPr>
          <w:color w:val="000000"/>
          <w:kern w:val="2"/>
          <w:szCs w:val="22"/>
          <w14:ligatures w14:val="standardContextual"/>
        </w:rPr>
        <w:t>The appropriate amount of Net Operating Income in the projected test year is $</w:t>
      </w:r>
      <w:r w:rsidR="002C1B4A">
        <w:rPr>
          <w:color w:val="000000"/>
          <w:kern w:val="2"/>
          <w:szCs w:val="22"/>
          <w14:ligatures w14:val="standardContextual"/>
        </w:rPr>
        <w:t>74,332,841</w:t>
      </w:r>
      <w:r w:rsidR="002C1B4A" w:rsidRPr="00F71D16">
        <w:rPr>
          <w:color w:val="000000"/>
          <w:kern w:val="2"/>
          <w:szCs w:val="22"/>
          <w14:ligatures w14:val="standardContextual"/>
        </w:rPr>
        <w:t xml:space="preserve">. </w:t>
      </w:r>
      <w:r w:rsidR="002C1B4A">
        <w:rPr>
          <w:color w:val="000000"/>
          <w:kern w:val="2"/>
          <w:szCs w:val="22"/>
          <w14:ligatures w14:val="standardContextual"/>
        </w:rPr>
        <w:t>This reflects the $72,337,240 shown on MFR Schedule G-2, page 1, line 17 plus the $7,721,692 decrease in Total Operating Expenses in Issue 54 and the removal of $5,726,092 of Alliance project revenue.</w:t>
      </w:r>
      <w:r w:rsidR="006F69E2">
        <w:rPr>
          <w:color w:val="000000"/>
          <w:kern w:val="2"/>
          <w:szCs w:val="22"/>
          <w14:ligatures w14:val="standardContextual"/>
        </w:rPr>
        <w:t xml:space="preserve"> </w:t>
      </w:r>
      <w:r w:rsidR="006F69E2" w:rsidRPr="00F71D16">
        <w:rPr>
          <w:color w:val="000000"/>
          <w:kern w:val="2"/>
          <w:szCs w:val="22"/>
          <w14:ligatures w14:val="standardContextual"/>
        </w:rPr>
        <w:t>(Parsons)</w:t>
      </w:r>
    </w:p>
    <w:p w14:paraId="78AB9980" w14:textId="77777777" w:rsidR="00ED4B49" w:rsidRPr="0029161C" w:rsidRDefault="00ED4B49" w:rsidP="00ED4B49">
      <w:pPr>
        <w:jc w:val="both"/>
      </w:pPr>
    </w:p>
    <w:p w14:paraId="6A2CB7A3" w14:textId="77777777" w:rsidR="00ED4B49" w:rsidRDefault="00ED4B49" w:rsidP="00ED4B49">
      <w:pPr>
        <w:ind w:left="1440" w:hanging="1440"/>
        <w:jc w:val="both"/>
      </w:pPr>
      <w:r>
        <w:rPr>
          <w:b/>
          <w:bCs/>
        </w:rPr>
        <w:t>OPC</w:t>
      </w:r>
      <w:r w:rsidRPr="0029161C">
        <w:rPr>
          <w:b/>
          <w:bCs/>
        </w:rPr>
        <w:t>:</w:t>
      </w:r>
      <w:r>
        <w:tab/>
      </w:r>
      <w:r w:rsidR="00363FD2">
        <w:t xml:space="preserve">This is a fallout issue. </w:t>
      </w:r>
      <w:r w:rsidR="00363FD2" w:rsidRPr="00A71993">
        <w:t>The OPC has not separately quantified the level of Net Operating Income that would remain after consideration of its revenue requirement adjustments.  The OPC adjustments are made on an incremental revenue requirement basis.</w:t>
      </w:r>
      <w:r w:rsidR="00363FD2">
        <w:t xml:space="preserve"> (Kollen)</w:t>
      </w:r>
    </w:p>
    <w:p w14:paraId="508DD708" w14:textId="77777777" w:rsidR="00ED4B49" w:rsidRDefault="00ED4B49" w:rsidP="00ED4B49">
      <w:pPr>
        <w:jc w:val="both"/>
      </w:pPr>
    </w:p>
    <w:p w14:paraId="6C7F408B"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68DC1140" w14:textId="77777777" w:rsidR="00ED4B49" w:rsidRPr="0029161C" w:rsidRDefault="00ED4B49" w:rsidP="00ED4B49">
      <w:pPr>
        <w:jc w:val="both"/>
      </w:pPr>
    </w:p>
    <w:p w14:paraId="5D8EAEB9"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45D1CD51" w14:textId="77777777" w:rsidR="002247DD" w:rsidRDefault="002247DD" w:rsidP="00ED4B49">
      <w:pPr>
        <w:jc w:val="both"/>
      </w:pPr>
    </w:p>
    <w:p w14:paraId="1294A8F9" w14:textId="77777777" w:rsidR="00242699" w:rsidRDefault="00242699" w:rsidP="002247DD">
      <w:pPr>
        <w:jc w:val="center"/>
        <w:rPr>
          <w:b/>
          <w:u w:val="single"/>
        </w:rPr>
      </w:pPr>
    </w:p>
    <w:p w14:paraId="1CBE7BAA" w14:textId="060896FA" w:rsidR="002247DD" w:rsidRPr="0029161C" w:rsidRDefault="002247DD" w:rsidP="002247DD">
      <w:pPr>
        <w:jc w:val="center"/>
      </w:pPr>
      <w:r>
        <w:rPr>
          <w:b/>
          <w:u w:val="single"/>
        </w:rPr>
        <w:lastRenderedPageBreak/>
        <w:t>REVENUE REQUIREMENTS</w:t>
      </w:r>
    </w:p>
    <w:p w14:paraId="529AD710" w14:textId="77777777" w:rsidR="00ED4B49" w:rsidRPr="0029161C" w:rsidRDefault="00ED4B49" w:rsidP="00ED4B49">
      <w:pPr>
        <w:jc w:val="both"/>
      </w:pPr>
    </w:p>
    <w:p w14:paraId="4BD5612B" w14:textId="178CD179" w:rsidR="00ED4B49" w:rsidRPr="0029161C" w:rsidRDefault="00ED4B49" w:rsidP="00ED4B49">
      <w:pPr>
        <w:ind w:left="1440" w:hanging="1440"/>
        <w:jc w:val="both"/>
        <w:rPr>
          <w:b/>
          <w:bCs/>
        </w:rPr>
      </w:pPr>
      <w:r>
        <w:rPr>
          <w:b/>
          <w:bCs/>
        </w:rPr>
        <w:t>ISSUE 56</w:t>
      </w:r>
      <w:r w:rsidRPr="0029161C">
        <w:rPr>
          <w:b/>
          <w:bCs/>
        </w:rPr>
        <w:t>:</w:t>
      </w:r>
      <w:r w:rsidRPr="0029161C">
        <w:tab/>
      </w:r>
      <w:r w:rsidR="00E873CD">
        <w:rPr>
          <w:b/>
        </w:rPr>
        <w:t>Proposed Type 1</w:t>
      </w:r>
      <w:r w:rsidR="008D2EC4">
        <w:rPr>
          <w:b/>
        </w:rPr>
        <w:t xml:space="preserve"> Stipulation; see Section X.</w:t>
      </w:r>
    </w:p>
    <w:p w14:paraId="53FD9605" w14:textId="77777777" w:rsidR="00ED4B49" w:rsidRPr="0029161C" w:rsidRDefault="00ED4B49" w:rsidP="00ED4B49">
      <w:pPr>
        <w:jc w:val="both"/>
      </w:pPr>
    </w:p>
    <w:p w14:paraId="06037DF5" w14:textId="07168224" w:rsidR="006F71EF" w:rsidRDefault="006F71EF">
      <w:pPr>
        <w:rPr>
          <w:b/>
          <w:bCs/>
        </w:rPr>
      </w:pPr>
    </w:p>
    <w:p w14:paraId="62F3CA9B" w14:textId="0E4B9E45" w:rsidR="00ED4B49" w:rsidRPr="0029161C" w:rsidRDefault="00ED4B49" w:rsidP="00ED4B49">
      <w:pPr>
        <w:ind w:left="1440" w:hanging="1440"/>
        <w:jc w:val="both"/>
      </w:pPr>
      <w:r>
        <w:rPr>
          <w:b/>
          <w:bCs/>
        </w:rPr>
        <w:t>ISSUE 57</w:t>
      </w:r>
      <w:r w:rsidRPr="0029161C">
        <w:rPr>
          <w:b/>
          <w:bCs/>
        </w:rPr>
        <w:t>:</w:t>
      </w:r>
      <w:r w:rsidRPr="0029161C">
        <w:tab/>
      </w:r>
      <w:r w:rsidR="0036166B" w:rsidRPr="00810A45">
        <w:rPr>
          <w:b/>
        </w:rPr>
        <w:t>What annual operating revenue increase should be approved for the projected test year?</w:t>
      </w:r>
    </w:p>
    <w:p w14:paraId="3DB076D3" w14:textId="77777777" w:rsidR="00ED4B49" w:rsidRPr="0029161C" w:rsidRDefault="00ED4B49" w:rsidP="00ED4B49">
      <w:pPr>
        <w:jc w:val="both"/>
      </w:pPr>
    </w:p>
    <w:p w14:paraId="35CB4050" w14:textId="77777777" w:rsidR="00ED4B49" w:rsidRDefault="00ED4B49" w:rsidP="00ED4B49">
      <w:pPr>
        <w:ind w:left="1440" w:hanging="1440"/>
        <w:jc w:val="both"/>
        <w:rPr>
          <w:color w:val="000000"/>
          <w:kern w:val="2"/>
          <w:szCs w:val="22"/>
          <w14:ligatures w14:val="standardContextual"/>
        </w:rPr>
      </w:pPr>
      <w:r>
        <w:rPr>
          <w:b/>
          <w:bCs/>
        </w:rPr>
        <w:t>PGS</w:t>
      </w:r>
      <w:r w:rsidRPr="0029161C">
        <w:rPr>
          <w:b/>
          <w:bCs/>
        </w:rPr>
        <w:t>:</w:t>
      </w:r>
      <w:r w:rsidRPr="0029161C">
        <w:tab/>
      </w:r>
      <w:r w:rsidR="006F69E2" w:rsidRPr="00F71D16">
        <w:rPr>
          <w:color w:val="000000"/>
          <w:kern w:val="2"/>
          <w:szCs w:val="22"/>
          <w14:ligatures w14:val="standardContextual"/>
        </w:rPr>
        <w:t>The appropriate operating revenue increase for the projected test year is $</w:t>
      </w:r>
      <w:r w:rsidR="006F69E2">
        <w:rPr>
          <w:color w:val="000000"/>
          <w:kern w:val="2"/>
          <w:szCs w:val="22"/>
          <w14:ligatures w14:val="standardContextual"/>
        </w:rPr>
        <w:t>13</w:t>
      </w:r>
      <w:r w:rsidR="002C1B4A">
        <w:rPr>
          <w:color w:val="000000"/>
          <w:kern w:val="2"/>
          <w:szCs w:val="22"/>
          <w14:ligatures w14:val="standardContextual"/>
        </w:rPr>
        <w:t>5,341,798</w:t>
      </w:r>
      <w:r w:rsidR="006F69E2">
        <w:rPr>
          <w:color w:val="000000"/>
          <w:kern w:val="2"/>
          <w:szCs w:val="22"/>
          <w14:ligatures w14:val="standardContextual"/>
        </w:rPr>
        <w:t>, which includes the transfer of $11,647,804 of CI/BSR revenue requirements to base rates.</w:t>
      </w:r>
      <w:r w:rsidR="006F69E2" w:rsidRPr="00F71D16">
        <w:rPr>
          <w:color w:val="000000"/>
          <w:kern w:val="2"/>
          <w:szCs w:val="22"/>
          <w14:ligatures w14:val="standardContextual"/>
        </w:rPr>
        <w:t xml:space="preserve"> </w:t>
      </w:r>
      <w:r w:rsidR="006F69E2">
        <w:rPr>
          <w:color w:val="000000"/>
          <w:kern w:val="2"/>
          <w:szCs w:val="22"/>
          <w14:ligatures w14:val="standardContextual"/>
        </w:rPr>
        <w:t>This is a net decrease of approximately $</w:t>
      </w:r>
      <w:r w:rsidR="002C1B4A">
        <w:rPr>
          <w:color w:val="000000"/>
          <w:kern w:val="2"/>
          <w:szCs w:val="22"/>
          <w14:ligatures w14:val="standardContextual"/>
        </w:rPr>
        <w:t>3.9</w:t>
      </w:r>
      <w:r w:rsidR="006F69E2">
        <w:rPr>
          <w:color w:val="000000"/>
          <w:kern w:val="2"/>
          <w:szCs w:val="22"/>
          <w14:ligatures w14:val="standardContextual"/>
        </w:rPr>
        <w:t xml:space="preserve"> million from the $139,271,846 Revenue Deficiency shown on MFR Schedule G-5. See the table below for calculations.</w:t>
      </w:r>
      <w:r w:rsidR="006F69E2" w:rsidRPr="000055E2">
        <w:rPr>
          <w:color w:val="000000"/>
          <w:kern w:val="2"/>
          <w:szCs w:val="22"/>
          <w14:ligatures w14:val="standardContextual"/>
        </w:rPr>
        <w:t xml:space="preserve"> </w:t>
      </w:r>
      <w:r w:rsidR="006F69E2" w:rsidRPr="00F71D16">
        <w:rPr>
          <w:color w:val="000000"/>
          <w:kern w:val="2"/>
          <w:szCs w:val="22"/>
          <w14:ligatures w14:val="standardContextual"/>
        </w:rPr>
        <w:t>(Parsons)</w:t>
      </w:r>
    </w:p>
    <w:p w14:paraId="516F17BA" w14:textId="77777777" w:rsidR="002C1B4A" w:rsidRDefault="002C1B4A" w:rsidP="00ED4B49">
      <w:pPr>
        <w:ind w:left="1440" w:hanging="1440"/>
        <w:jc w:val="both"/>
        <w:rPr>
          <w:color w:val="000000"/>
          <w:kern w:val="2"/>
          <w:szCs w:val="22"/>
          <w14:ligatures w14:val="standardContextual"/>
        </w:rPr>
      </w:pPr>
    </w:p>
    <w:p w14:paraId="2DEE0C2B" w14:textId="77777777" w:rsidR="002C1B4A" w:rsidRDefault="002C1B4A" w:rsidP="00DB16F3">
      <w:pPr>
        <w:ind w:left="1440" w:hanging="1440"/>
        <w:jc w:val="both"/>
        <w:rPr>
          <w:color w:val="000000"/>
          <w:kern w:val="2"/>
          <w:szCs w:val="22"/>
          <w14:ligatures w14:val="standardContextual"/>
        </w:rPr>
      </w:pPr>
      <w:r>
        <w:rPr>
          <w:noProof/>
          <w:color w:val="000000"/>
          <w:kern w:val="2"/>
          <w:szCs w:val="22"/>
          <w14:ligatures w14:val="standardContextual"/>
        </w:rPr>
        <w:drawing>
          <wp:inline distT="0" distB="0" distL="0" distR="0" wp14:anchorId="051A1346" wp14:editId="34697348">
            <wp:extent cx="5943600" cy="3382645"/>
            <wp:effectExtent l="0" t="0" r="1905" b="635"/>
            <wp:docPr id="107748666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86669" name="Picture 3" descr="A black background with a black squa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82645"/>
                    </a:xfrm>
                    <a:prstGeom prst="rect">
                      <a:avLst/>
                    </a:prstGeom>
                    <a:noFill/>
                  </pic:spPr>
                </pic:pic>
              </a:graphicData>
            </a:graphic>
          </wp:inline>
        </w:drawing>
      </w:r>
    </w:p>
    <w:p w14:paraId="2055A00B" w14:textId="77777777" w:rsidR="006F69E2" w:rsidRPr="0029161C" w:rsidRDefault="006F69E2" w:rsidP="00ED4B49">
      <w:pPr>
        <w:ind w:left="1440" w:hanging="1440"/>
        <w:jc w:val="both"/>
      </w:pPr>
    </w:p>
    <w:p w14:paraId="0FE99858" w14:textId="3553F7F9" w:rsidR="00ED4B49" w:rsidRDefault="00ED4B49" w:rsidP="00ED4B49">
      <w:pPr>
        <w:ind w:left="1440" w:hanging="1440"/>
        <w:jc w:val="both"/>
      </w:pPr>
      <w:r>
        <w:rPr>
          <w:b/>
          <w:bCs/>
        </w:rPr>
        <w:t>OPC</w:t>
      </w:r>
      <w:r w:rsidRPr="0029161C">
        <w:rPr>
          <w:b/>
          <w:bCs/>
        </w:rPr>
        <w:t>:</w:t>
      </w:r>
      <w:r>
        <w:tab/>
      </w:r>
      <w:r w:rsidR="00363FD2" w:rsidRPr="004D6A5D">
        <w:t xml:space="preserve">The Commission should approve a base revenue increase </w:t>
      </w:r>
      <w:r w:rsidR="00363FD2">
        <w:t>– inclu</w:t>
      </w:r>
      <w:r w:rsidR="003A6B53">
        <w:t>ding the transfer of Cast Iron/</w:t>
      </w:r>
      <w:r w:rsidR="00363FD2">
        <w:t xml:space="preserve">Bare Steel Rider revenues - </w:t>
      </w:r>
      <w:r w:rsidR="00363FD2" w:rsidRPr="004D6A5D">
        <w:t xml:space="preserve">of </w:t>
      </w:r>
      <w:r w:rsidR="00363FD2">
        <w:t>no more than $42,903,000, unless circumstances underlying the rate case filing materially change. (</w:t>
      </w:r>
      <w:r w:rsidR="00363FD2" w:rsidRPr="004D6A5D">
        <w:t>Kollen)</w:t>
      </w:r>
    </w:p>
    <w:p w14:paraId="0F86335A" w14:textId="77777777" w:rsidR="00ED4B49" w:rsidRDefault="00ED4B49" w:rsidP="00ED4B49">
      <w:pPr>
        <w:jc w:val="both"/>
      </w:pPr>
    </w:p>
    <w:p w14:paraId="2A6CACD5"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262F3681" w14:textId="77777777" w:rsidR="00ED4B49" w:rsidRPr="0029161C" w:rsidRDefault="00ED4B49" w:rsidP="00ED4B49">
      <w:pPr>
        <w:jc w:val="both"/>
      </w:pPr>
    </w:p>
    <w:p w14:paraId="7C4AC581"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5B87F37A" w14:textId="77777777" w:rsidR="0036166B" w:rsidRDefault="0036166B" w:rsidP="00ED4B49">
      <w:pPr>
        <w:jc w:val="both"/>
      </w:pPr>
    </w:p>
    <w:p w14:paraId="1106A19F" w14:textId="77777777" w:rsidR="00242699" w:rsidRDefault="00242699">
      <w:pPr>
        <w:rPr>
          <w:b/>
          <w:u w:val="single"/>
        </w:rPr>
      </w:pPr>
      <w:r>
        <w:rPr>
          <w:b/>
          <w:u w:val="single"/>
        </w:rPr>
        <w:br w:type="page"/>
      </w:r>
    </w:p>
    <w:p w14:paraId="099474DA" w14:textId="4040CD09" w:rsidR="0036166B" w:rsidRPr="0029161C" w:rsidRDefault="0036166B" w:rsidP="0036166B">
      <w:pPr>
        <w:jc w:val="center"/>
      </w:pPr>
      <w:r>
        <w:rPr>
          <w:b/>
          <w:u w:val="single"/>
        </w:rPr>
        <w:lastRenderedPageBreak/>
        <w:t>COST OF SERVICE AND RATE DESIGN</w:t>
      </w:r>
    </w:p>
    <w:p w14:paraId="1F538765" w14:textId="77777777" w:rsidR="00ED4B49" w:rsidRPr="0029161C" w:rsidRDefault="00ED4B49" w:rsidP="00ED4B49">
      <w:pPr>
        <w:jc w:val="both"/>
      </w:pPr>
    </w:p>
    <w:p w14:paraId="627DEA02" w14:textId="77777777" w:rsidR="00ED4B49" w:rsidRPr="0029161C" w:rsidRDefault="00ED4B49" w:rsidP="00ED4B49">
      <w:pPr>
        <w:ind w:left="1440" w:hanging="1440"/>
        <w:jc w:val="both"/>
      </w:pPr>
      <w:r>
        <w:rPr>
          <w:b/>
          <w:bCs/>
        </w:rPr>
        <w:t>ISSUE 58</w:t>
      </w:r>
      <w:r w:rsidRPr="0029161C">
        <w:rPr>
          <w:b/>
          <w:bCs/>
        </w:rPr>
        <w:t>:</w:t>
      </w:r>
      <w:r w:rsidRPr="0029161C">
        <w:tab/>
      </w:r>
      <w:r w:rsidR="002174C5" w:rsidRPr="00810A45">
        <w:rPr>
          <w:b/>
        </w:rPr>
        <w:t>Should the Commission approve PGS’s proposed cost of service study?</w:t>
      </w:r>
    </w:p>
    <w:p w14:paraId="13873109" w14:textId="77777777" w:rsidR="00ED4B49" w:rsidRPr="0029161C" w:rsidRDefault="00ED4B49" w:rsidP="00ED4B49">
      <w:pPr>
        <w:jc w:val="both"/>
      </w:pPr>
    </w:p>
    <w:p w14:paraId="4470E5BC" w14:textId="77777777" w:rsidR="00ED4B49" w:rsidRPr="0029161C" w:rsidRDefault="00ED4B49" w:rsidP="00ED4B49">
      <w:pPr>
        <w:ind w:left="1440" w:hanging="1440"/>
        <w:jc w:val="both"/>
      </w:pPr>
      <w:r>
        <w:rPr>
          <w:b/>
          <w:bCs/>
        </w:rPr>
        <w:t>PGS</w:t>
      </w:r>
      <w:r w:rsidRPr="0029161C">
        <w:rPr>
          <w:b/>
          <w:bCs/>
        </w:rPr>
        <w:t>:</w:t>
      </w:r>
      <w:r w:rsidRPr="0029161C">
        <w:tab/>
      </w:r>
      <w:r w:rsidR="00B612FC" w:rsidRPr="00F71D16">
        <w:rPr>
          <w:color w:val="000000"/>
          <w:kern w:val="2"/>
          <w:szCs w:val="22"/>
          <w14:ligatures w14:val="standardContextual"/>
        </w:rPr>
        <w:t>Yes. The Company’s cost of service study appropriately reflects cost causation, and each allocation factor is consistent with the factors that drive the underlying costs of providing service to customers. (Therrien)</w:t>
      </w:r>
    </w:p>
    <w:p w14:paraId="3A2A315E" w14:textId="77777777" w:rsidR="00ED4B49" w:rsidRPr="0029161C" w:rsidRDefault="00ED4B49" w:rsidP="00ED4B49">
      <w:pPr>
        <w:jc w:val="both"/>
      </w:pPr>
    </w:p>
    <w:p w14:paraId="7FB4B557"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529DD4C6" w14:textId="77777777" w:rsidR="00ED4B49" w:rsidRDefault="00ED4B49" w:rsidP="00ED4B49">
      <w:pPr>
        <w:jc w:val="both"/>
      </w:pPr>
    </w:p>
    <w:p w14:paraId="0BF887AD" w14:textId="77777777" w:rsidR="00ED4B49" w:rsidRPr="00A4526E" w:rsidRDefault="00ED4B49" w:rsidP="00ED4B49">
      <w:pPr>
        <w:ind w:left="1440" w:hanging="1440"/>
        <w:jc w:val="both"/>
      </w:pPr>
      <w:r>
        <w:rPr>
          <w:b/>
        </w:rPr>
        <w:t>FIPUG:</w:t>
      </w:r>
      <w:r>
        <w:rPr>
          <w:b/>
        </w:rPr>
        <w:tab/>
      </w:r>
      <w:r w:rsidR="008E1978" w:rsidRPr="008F36A9">
        <w:t>Yes, after appropriate adjustments are made to the cost of service study.</w:t>
      </w:r>
    </w:p>
    <w:p w14:paraId="58799FDC" w14:textId="77777777" w:rsidR="00ED4B49" w:rsidRPr="0029161C" w:rsidRDefault="00ED4B49" w:rsidP="00ED4B49">
      <w:pPr>
        <w:jc w:val="both"/>
      </w:pPr>
    </w:p>
    <w:p w14:paraId="4CF6949C"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2AB00EC6" w14:textId="77777777" w:rsidR="00ED4B49" w:rsidRPr="0029161C" w:rsidRDefault="00ED4B49" w:rsidP="00ED4B49">
      <w:pPr>
        <w:jc w:val="both"/>
      </w:pPr>
    </w:p>
    <w:p w14:paraId="3F337D33" w14:textId="77777777" w:rsidR="00ED4B49" w:rsidRDefault="00ED4B49" w:rsidP="00ED4B49">
      <w:pPr>
        <w:jc w:val="both"/>
      </w:pPr>
    </w:p>
    <w:p w14:paraId="3556DB01" w14:textId="5C9ABEDB" w:rsidR="00ED4B49" w:rsidRPr="0029161C" w:rsidRDefault="00ED4B49" w:rsidP="00ED4B49">
      <w:pPr>
        <w:ind w:left="1440" w:hanging="1440"/>
        <w:jc w:val="both"/>
      </w:pPr>
      <w:r>
        <w:rPr>
          <w:b/>
          <w:bCs/>
        </w:rPr>
        <w:t>ISSUE 59</w:t>
      </w:r>
      <w:r w:rsidRPr="0029161C">
        <w:rPr>
          <w:b/>
          <w:bCs/>
        </w:rPr>
        <w:t>:</w:t>
      </w:r>
      <w:r w:rsidRPr="0029161C">
        <w:tab/>
      </w:r>
      <w:r w:rsidR="002174C5" w:rsidRPr="00810A45">
        <w:rPr>
          <w:b/>
        </w:rPr>
        <w:t>If the Commission grants a revenue increase to PGS, how should the increase be allocated to the rate classes?</w:t>
      </w:r>
    </w:p>
    <w:p w14:paraId="601C8828" w14:textId="77777777" w:rsidR="00ED4B49" w:rsidRPr="0029161C" w:rsidRDefault="00ED4B49" w:rsidP="00ED4B49">
      <w:pPr>
        <w:jc w:val="both"/>
      </w:pPr>
    </w:p>
    <w:p w14:paraId="41A05BB8"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The increase should be allocated to the rate classes to achieve an equalized rate of return for the Residential and Commercial rate classes and as shown for the company’s proposed increase and rates on Document Nos. 6, 9, 10, 11, and 12 of Exhibit No. GT-1. </w:t>
      </w:r>
      <w:r w:rsidR="00B612FC" w:rsidRPr="00F71D16">
        <w:rPr>
          <w:color w:val="000000"/>
          <w:kern w:val="2"/>
          <w:szCs w:val="22"/>
          <w14:ligatures w14:val="standardContextual"/>
        </w:rPr>
        <w:t>(Therrien)</w:t>
      </w:r>
    </w:p>
    <w:p w14:paraId="3FEB7EFB" w14:textId="77777777" w:rsidR="00ED4B49" w:rsidRPr="0029161C" w:rsidRDefault="00ED4B49" w:rsidP="00ED4B49">
      <w:pPr>
        <w:jc w:val="both"/>
      </w:pPr>
    </w:p>
    <w:p w14:paraId="4873348E"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06B40F78" w14:textId="77777777" w:rsidR="00ED4B49" w:rsidRDefault="00ED4B49" w:rsidP="00ED4B49">
      <w:pPr>
        <w:jc w:val="both"/>
      </w:pPr>
    </w:p>
    <w:p w14:paraId="44C226F1" w14:textId="77777777" w:rsidR="00ED4B49" w:rsidRPr="00A4526E" w:rsidRDefault="00ED4B49" w:rsidP="00ED4B49">
      <w:pPr>
        <w:ind w:left="1440" w:hanging="1440"/>
        <w:jc w:val="both"/>
      </w:pPr>
      <w:r>
        <w:rPr>
          <w:b/>
        </w:rPr>
        <w:t>FIPUG:</w:t>
      </w:r>
      <w:r>
        <w:rPr>
          <w:b/>
        </w:rPr>
        <w:tab/>
      </w:r>
      <w:r w:rsidR="008E1978" w:rsidRPr="008F36A9">
        <w:t>Any revenue increase should be allocated in a manner fair and equitable to all customer classes, including large commercial and industrial customers of PGS.</w:t>
      </w:r>
    </w:p>
    <w:p w14:paraId="675CB5CD" w14:textId="77777777" w:rsidR="00ED4B49" w:rsidRPr="0029161C" w:rsidRDefault="00ED4B49" w:rsidP="00ED4B49">
      <w:pPr>
        <w:jc w:val="both"/>
      </w:pPr>
    </w:p>
    <w:p w14:paraId="6AB779E6"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1BCC5322" w14:textId="77777777" w:rsidR="00ED4B49" w:rsidRPr="0029161C" w:rsidRDefault="00ED4B49" w:rsidP="00ED4B49">
      <w:pPr>
        <w:jc w:val="both"/>
      </w:pPr>
    </w:p>
    <w:p w14:paraId="089E0C62" w14:textId="77777777" w:rsidR="00ED4B49" w:rsidRPr="0029161C" w:rsidRDefault="00ED4B49" w:rsidP="00ED4B49">
      <w:pPr>
        <w:jc w:val="both"/>
      </w:pPr>
    </w:p>
    <w:p w14:paraId="324DB497" w14:textId="77777777" w:rsidR="00ED4B49" w:rsidRPr="0029161C" w:rsidRDefault="00ED4B49" w:rsidP="00ED4B49">
      <w:pPr>
        <w:ind w:left="1440" w:hanging="1440"/>
        <w:jc w:val="both"/>
      </w:pPr>
      <w:r>
        <w:rPr>
          <w:b/>
          <w:bCs/>
        </w:rPr>
        <w:t>ISSUE 60</w:t>
      </w:r>
      <w:r w:rsidRPr="0029161C">
        <w:rPr>
          <w:b/>
          <w:bCs/>
        </w:rPr>
        <w:t>:</w:t>
      </w:r>
      <w:r w:rsidRPr="0029161C">
        <w:tab/>
      </w:r>
      <w:r w:rsidR="002174C5" w:rsidRPr="00810A45">
        <w:rPr>
          <w:b/>
        </w:rPr>
        <w:t>What customer charges should be approved?</w:t>
      </w:r>
    </w:p>
    <w:p w14:paraId="6A15C60A" w14:textId="77777777" w:rsidR="00ED4B49" w:rsidRPr="0029161C" w:rsidRDefault="00ED4B49" w:rsidP="00ED4B49">
      <w:pPr>
        <w:jc w:val="both"/>
      </w:pPr>
    </w:p>
    <w:p w14:paraId="605B6EE2" w14:textId="77777777" w:rsidR="00ED4B49" w:rsidRPr="0029161C" w:rsidRDefault="00ED4B49" w:rsidP="00ED4B49">
      <w:pPr>
        <w:ind w:left="1440" w:hanging="1440"/>
        <w:jc w:val="both"/>
      </w:pPr>
      <w:r>
        <w:rPr>
          <w:b/>
          <w:bCs/>
        </w:rPr>
        <w:t>PGS</w:t>
      </w:r>
      <w:r w:rsidRPr="0029161C">
        <w:rPr>
          <w:b/>
          <w:bCs/>
        </w:rPr>
        <w:t>:</w:t>
      </w:r>
      <w:r w:rsidRPr="0029161C">
        <w:tab/>
      </w:r>
      <w:bookmarkStart w:id="8" w:name="_Hlk141446837"/>
      <w:r w:rsidR="00B612FC" w:rsidRPr="00B86672">
        <w:rPr>
          <w:color w:val="000000"/>
          <w:kern w:val="2"/>
          <w:szCs w:val="22"/>
          <w14:ligatures w14:val="standardContextual"/>
        </w:rPr>
        <w:t xml:space="preserve">The Commission should approve the customer charges shown in redline format on MFR E-9. </w:t>
      </w:r>
      <w:r w:rsidR="00B612FC">
        <w:rPr>
          <w:color w:val="000000"/>
          <w:kern w:val="2"/>
          <w:szCs w:val="22"/>
          <w14:ligatures w14:val="standardContextual"/>
        </w:rPr>
        <w:t>They are fair, just, and reasonable.</w:t>
      </w:r>
      <w:r w:rsidR="00B612FC" w:rsidRPr="00F71D16">
        <w:rPr>
          <w:color w:val="000000"/>
          <w:kern w:val="2"/>
          <w:szCs w:val="22"/>
          <w14:ligatures w14:val="standardContextual"/>
        </w:rPr>
        <w:t xml:space="preserve"> (</w:t>
      </w:r>
      <w:bookmarkEnd w:id="8"/>
      <w:r w:rsidR="00B612FC" w:rsidRPr="00F71D16">
        <w:rPr>
          <w:color w:val="000000"/>
          <w:kern w:val="2"/>
          <w:szCs w:val="22"/>
          <w14:ligatures w14:val="standardContextual"/>
        </w:rPr>
        <w:t>Therrien</w:t>
      </w:r>
      <w:r w:rsidR="00B612FC">
        <w:rPr>
          <w:color w:val="000000"/>
          <w:kern w:val="2"/>
          <w:szCs w:val="22"/>
          <w14:ligatures w14:val="standardContextual"/>
        </w:rPr>
        <w:t>, Wesley</w:t>
      </w:r>
      <w:r w:rsidR="00B612FC" w:rsidRPr="00F71D16">
        <w:rPr>
          <w:color w:val="000000"/>
          <w:kern w:val="2"/>
          <w:szCs w:val="22"/>
          <w14:ligatures w14:val="standardContextual"/>
        </w:rPr>
        <w:t>)</w:t>
      </w:r>
    </w:p>
    <w:p w14:paraId="2EB9BA9B" w14:textId="77777777" w:rsidR="00ED4B49" w:rsidRPr="0029161C" w:rsidRDefault="00ED4B49" w:rsidP="00ED4B49">
      <w:pPr>
        <w:jc w:val="both"/>
      </w:pPr>
    </w:p>
    <w:p w14:paraId="2638925E"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6353F39E" w14:textId="77777777" w:rsidR="00ED4B49" w:rsidRDefault="00ED4B49" w:rsidP="00ED4B49">
      <w:pPr>
        <w:jc w:val="both"/>
      </w:pPr>
    </w:p>
    <w:p w14:paraId="26B5DB94" w14:textId="77777777" w:rsidR="00ED4B49" w:rsidRPr="00A4526E" w:rsidRDefault="00ED4B49" w:rsidP="00ED4B49">
      <w:pPr>
        <w:ind w:left="1440" w:hanging="1440"/>
        <w:jc w:val="both"/>
      </w:pPr>
      <w:r>
        <w:rPr>
          <w:b/>
        </w:rPr>
        <w:t>FIPUG:</w:t>
      </w:r>
      <w:r>
        <w:rPr>
          <w:b/>
        </w:rPr>
        <w:tab/>
      </w:r>
      <w:r w:rsidR="008E1978">
        <w:rPr>
          <w:bCs/>
        </w:rPr>
        <w:t>Customer charges of PGS should be reduced.</w:t>
      </w:r>
    </w:p>
    <w:p w14:paraId="29B574D0" w14:textId="77777777" w:rsidR="00ED4B49" w:rsidRPr="0029161C" w:rsidRDefault="00ED4B49" w:rsidP="00ED4B49">
      <w:pPr>
        <w:jc w:val="both"/>
      </w:pPr>
    </w:p>
    <w:p w14:paraId="314F244F"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4430AEE2" w14:textId="77777777" w:rsidR="00ED4B49" w:rsidRPr="0029161C" w:rsidRDefault="00ED4B49" w:rsidP="00ED4B49">
      <w:pPr>
        <w:jc w:val="both"/>
      </w:pPr>
    </w:p>
    <w:p w14:paraId="1AB1F92F" w14:textId="77777777" w:rsidR="00ED4B49" w:rsidRPr="0029161C" w:rsidRDefault="00ED4B49" w:rsidP="00ED4B49">
      <w:pPr>
        <w:jc w:val="both"/>
      </w:pPr>
    </w:p>
    <w:p w14:paraId="0A14B0BF" w14:textId="77777777" w:rsidR="00242699" w:rsidRDefault="00242699">
      <w:pPr>
        <w:rPr>
          <w:b/>
          <w:bCs/>
        </w:rPr>
      </w:pPr>
      <w:r>
        <w:rPr>
          <w:b/>
          <w:bCs/>
        </w:rPr>
        <w:br w:type="page"/>
      </w:r>
    </w:p>
    <w:p w14:paraId="38B134D3" w14:textId="4CAFA9DF" w:rsidR="00ED4B49" w:rsidRPr="0029161C" w:rsidRDefault="00ED4B49" w:rsidP="00ED4B49">
      <w:pPr>
        <w:ind w:left="1440" w:hanging="1440"/>
        <w:jc w:val="both"/>
      </w:pPr>
      <w:r w:rsidRPr="0029161C">
        <w:rPr>
          <w:b/>
          <w:bCs/>
        </w:rPr>
        <w:lastRenderedPageBreak/>
        <w:t xml:space="preserve">ISSUE </w:t>
      </w:r>
      <w:r>
        <w:rPr>
          <w:b/>
          <w:bCs/>
        </w:rPr>
        <w:t>6</w:t>
      </w:r>
      <w:r w:rsidRPr="0029161C">
        <w:rPr>
          <w:b/>
          <w:bCs/>
        </w:rPr>
        <w:t>1:</w:t>
      </w:r>
      <w:r w:rsidRPr="0029161C">
        <w:tab/>
      </w:r>
      <w:r w:rsidR="002174C5" w:rsidRPr="00810A45">
        <w:rPr>
          <w:b/>
        </w:rPr>
        <w:t>What per therm distribution charges should be approved?</w:t>
      </w:r>
    </w:p>
    <w:p w14:paraId="014457B3" w14:textId="77777777" w:rsidR="00ED4B49" w:rsidRPr="0029161C" w:rsidRDefault="00ED4B49" w:rsidP="00ED4B49">
      <w:pPr>
        <w:jc w:val="both"/>
      </w:pPr>
    </w:p>
    <w:p w14:paraId="35E527B9" w14:textId="77777777" w:rsidR="00ED4B49" w:rsidRPr="0029161C" w:rsidRDefault="00ED4B49" w:rsidP="00ED4B49">
      <w:pPr>
        <w:ind w:left="1440" w:hanging="1440"/>
        <w:jc w:val="both"/>
      </w:pPr>
      <w:r>
        <w:rPr>
          <w:b/>
          <w:bCs/>
        </w:rPr>
        <w:t>PGS</w:t>
      </w:r>
      <w:r w:rsidRPr="0029161C">
        <w:rPr>
          <w:b/>
          <w:bCs/>
        </w:rPr>
        <w:t>:</w:t>
      </w:r>
      <w:r w:rsidRPr="0029161C">
        <w:tab/>
      </w:r>
      <w:r w:rsidR="00B612FC" w:rsidRPr="00B86672">
        <w:rPr>
          <w:color w:val="000000"/>
          <w:kern w:val="2"/>
          <w:szCs w:val="22"/>
          <w14:ligatures w14:val="standardContextual"/>
        </w:rPr>
        <w:t xml:space="preserve">The Commission should approve the </w:t>
      </w:r>
      <w:r w:rsidR="00B612FC">
        <w:rPr>
          <w:color w:val="000000"/>
          <w:kern w:val="2"/>
          <w:szCs w:val="22"/>
          <w14:ligatures w14:val="standardContextual"/>
        </w:rPr>
        <w:t xml:space="preserve">per therm distribution </w:t>
      </w:r>
      <w:r w:rsidR="00B612FC" w:rsidRPr="00B86672">
        <w:rPr>
          <w:color w:val="000000"/>
          <w:kern w:val="2"/>
          <w:szCs w:val="22"/>
          <w14:ligatures w14:val="standardContextual"/>
        </w:rPr>
        <w:t xml:space="preserve">charges shown in redline format on MFR E-9. </w:t>
      </w:r>
      <w:bookmarkStart w:id="9" w:name="_Hlk141781095"/>
      <w:r w:rsidR="00B612FC">
        <w:rPr>
          <w:color w:val="000000"/>
          <w:kern w:val="2"/>
          <w:szCs w:val="22"/>
          <w14:ligatures w14:val="standardContextual"/>
        </w:rPr>
        <w:t>They are fair, just, and reasonable.</w:t>
      </w:r>
      <w:r w:rsidR="00B612FC" w:rsidRPr="00F71D16">
        <w:rPr>
          <w:color w:val="000000"/>
          <w:kern w:val="2"/>
          <w:szCs w:val="22"/>
          <w14:ligatures w14:val="standardContextual"/>
        </w:rPr>
        <w:t xml:space="preserve"> </w:t>
      </w:r>
      <w:bookmarkEnd w:id="9"/>
      <w:r w:rsidR="00B612FC" w:rsidRPr="00F71D16">
        <w:rPr>
          <w:color w:val="000000"/>
          <w:kern w:val="2"/>
          <w:szCs w:val="22"/>
          <w14:ligatures w14:val="standardContextual"/>
        </w:rPr>
        <w:t>(Therrien</w:t>
      </w:r>
      <w:r w:rsidR="00B612FC">
        <w:rPr>
          <w:color w:val="000000"/>
          <w:kern w:val="2"/>
          <w:szCs w:val="22"/>
          <w14:ligatures w14:val="standardContextual"/>
        </w:rPr>
        <w:t>, Wesley</w:t>
      </w:r>
      <w:r w:rsidR="00B612FC" w:rsidRPr="00F71D16">
        <w:rPr>
          <w:color w:val="000000"/>
          <w:kern w:val="2"/>
          <w:szCs w:val="22"/>
          <w14:ligatures w14:val="standardContextual"/>
        </w:rPr>
        <w:t>)</w:t>
      </w:r>
    </w:p>
    <w:p w14:paraId="3331B8CE" w14:textId="77777777" w:rsidR="00ED4B49" w:rsidRPr="0029161C" w:rsidRDefault="00ED4B49" w:rsidP="00ED4B49">
      <w:pPr>
        <w:jc w:val="both"/>
      </w:pPr>
    </w:p>
    <w:p w14:paraId="158B788D"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229C782A" w14:textId="77777777" w:rsidR="00ED4B49" w:rsidRDefault="00ED4B49" w:rsidP="00ED4B49">
      <w:pPr>
        <w:jc w:val="both"/>
      </w:pPr>
    </w:p>
    <w:p w14:paraId="67BAACE9"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7F8855AF" w14:textId="77777777" w:rsidR="00ED4B49" w:rsidRPr="0029161C" w:rsidRDefault="00ED4B49" w:rsidP="00ED4B49">
      <w:pPr>
        <w:jc w:val="both"/>
      </w:pPr>
    </w:p>
    <w:p w14:paraId="2C4C221F"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7FC5C95D" w14:textId="77777777" w:rsidR="00ED4B49" w:rsidRDefault="00ED4B49" w:rsidP="00ED4B49">
      <w:pPr>
        <w:jc w:val="both"/>
      </w:pPr>
    </w:p>
    <w:p w14:paraId="61CAE746" w14:textId="77777777" w:rsidR="00ED4B49" w:rsidRPr="0029161C" w:rsidRDefault="00ED4B49" w:rsidP="00ED4B49">
      <w:pPr>
        <w:jc w:val="both"/>
      </w:pPr>
    </w:p>
    <w:p w14:paraId="40175740" w14:textId="4452CE9C" w:rsidR="00ED4B49" w:rsidRPr="0029161C" w:rsidRDefault="00ED4B49" w:rsidP="00ED4B49">
      <w:pPr>
        <w:ind w:left="1440" w:hanging="1440"/>
        <w:jc w:val="both"/>
      </w:pPr>
      <w:r>
        <w:rPr>
          <w:b/>
          <w:bCs/>
        </w:rPr>
        <w:t>ISSUE 62</w:t>
      </w:r>
      <w:r w:rsidRPr="0029161C">
        <w:rPr>
          <w:b/>
          <w:bCs/>
        </w:rPr>
        <w:t>:</w:t>
      </w:r>
      <w:r w:rsidRPr="0029161C">
        <w:tab/>
      </w:r>
      <w:r w:rsidR="002174C5" w:rsidRPr="00810A45">
        <w:rPr>
          <w:b/>
        </w:rPr>
        <w:t>What miscellaneous service charges should be approved?</w:t>
      </w:r>
    </w:p>
    <w:p w14:paraId="5A7AFE87" w14:textId="77777777" w:rsidR="00ED4B49" w:rsidRPr="0029161C" w:rsidRDefault="00ED4B49" w:rsidP="00ED4B49">
      <w:pPr>
        <w:jc w:val="both"/>
      </w:pPr>
    </w:p>
    <w:p w14:paraId="3B835770" w14:textId="77777777" w:rsidR="00ED4B49" w:rsidRPr="0029161C" w:rsidRDefault="00ED4B49" w:rsidP="00ED4B49">
      <w:pPr>
        <w:ind w:left="1440" w:hanging="1440"/>
        <w:jc w:val="both"/>
      </w:pPr>
      <w:r>
        <w:rPr>
          <w:b/>
          <w:bCs/>
        </w:rPr>
        <w:t>PGS</w:t>
      </w:r>
      <w:r w:rsidRPr="0029161C">
        <w:rPr>
          <w:b/>
          <w:bCs/>
        </w:rPr>
        <w:t>:</w:t>
      </w:r>
      <w:r w:rsidRPr="0029161C">
        <w:tab/>
      </w:r>
      <w:r w:rsidR="00B612FC" w:rsidRPr="00F71D16">
        <w:t xml:space="preserve">The </w:t>
      </w:r>
      <w:r w:rsidR="00B612FC">
        <w:t xml:space="preserve">Commission should approve the company’s proposed </w:t>
      </w:r>
      <w:r w:rsidR="00B612FC" w:rsidRPr="00F71D16">
        <w:t xml:space="preserve">miscellaneous service charges </w:t>
      </w:r>
      <w:r w:rsidR="00B612FC">
        <w:t>as shown on Document No. 3 of Exhibit No. KLB-1. They are fair, just, and reasonable. (Bramley)</w:t>
      </w:r>
    </w:p>
    <w:p w14:paraId="38BE27B9" w14:textId="77777777" w:rsidR="00ED4B49" w:rsidRPr="0029161C" w:rsidRDefault="00ED4B49" w:rsidP="00ED4B49">
      <w:pPr>
        <w:jc w:val="both"/>
      </w:pPr>
    </w:p>
    <w:p w14:paraId="7206BB59"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074E28B1" w14:textId="77777777" w:rsidR="00ED4B49" w:rsidRDefault="00ED4B49" w:rsidP="00ED4B49">
      <w:pPr>
        <w:jc w:val="both"/>
      </w:pPr>
    </w:p>
    <w:p w14:paraId="5C7BBC61" w14:textId="77777777" w:rsidR="00ED4B49" w:rsidRPr="00A4526E" w:rsidRDefault="00ED4B49" w:rsidP="00ED4B49">
      <w:pPr>
        <w:ind w:left="1440" w:hanging="1440"/>
        <w:jc w:val="both"/>
      </w:pPr>
      <w:r>
        <w:rPr>
          <w:b/>
        </w:rPr>
        <w:t>FIPUG:</w:t>
      </w:r>
      <w:r>
        <w:rPr>
          <w:b/>
        </w:rPr>
        <w:tab/>
      </w:r>
      <w:r w:rsidR="008E1978">
        <w:rPr>
          <w:bCs/>
        </w:rPr>
        <w:t>Miscellaneous service charges should be reduced.</w:t>
      </w:r>
    </w:p>
    <w:p w14:paraId="11F6CA48" w14:textId="77777777" w:rsidR="00ED4B49" w:rsidRPr="0029161C" w:rsidRDefault="00ED4B49" w:rsidP="00ED4B49">
      <w:pPr>
        <w:jc w:val="both"/>
      </w:pPr>
    </w:p>
    <w:p w14:paraId="43BAD4FE"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7189EDE3" w14:textId="77777777" w:rsidR="00ED4B49" w:rsidRPr="0029161C" w:rsidRDefault="00ED4B49" w:rsidP="00ED4B49">
      <w:pPr>
        <w:jc w:val="both"/>
      </w:pPr>
    </w:p>
    <w:p w14:paraId="53780098" w14:textId="77777777" w:rsidR="00ED4B49" w:rsidRPr="0029161C" w:rsidRDefault="00ED4B49" w:rsidP="00ED4B49">
      <w:pPr>
        <w:jc w:val="both"/>
      </w:pPr>
    </w:p>
    <w:p w14:paraId="3DBBAD0C" w14:textId="77777777" w:rsidR="00ED4B49" w:rsidRPr="0029161C" w:rsidRDefault="00ED4B49" w:rsidP="00ED4B49">
      <w:pPr>
        <w:ind w:left="1440" w:hanging="1440"/>
        <w:jc w:val="both"/>
      </w:pPr>
      <w:r>
        <w:rPr>
          <w:b/>
          <w:bCs/>
        </w:rPr>
        <w:t>ISSUE 63</w:t>
      </w:r>
      <w:r w:rsidRPr="0029161C">
        <w:rPr>
          <w:b/>
          <w:bCs/>
        </w:rPr>
        <w:t>:</w:t>
      </w:r>
      <w:r w:rsidRPr="0029161C">
        <w:tab/>
      </w:r>
      <w:r w:rsidR="002174C5" w:rsidRPr="00810A45">
        <w:rPr>
          <w:b/>
        </w:rPr>
        <w:t>Should the Commission approve PGS’s revised annual residential rate reclassification review?</w:t>
      </w:r>
    </w:p>
    <w:p w14:paraId="63EA796D" w14:textId="77777777" w:rsidR="00ED4B49" w:rsidRPr="0029161C" w:rsidRDefault="00ED4B49" w:rsidP="00ED4B49">
      <w:pPr>
        <w:jc w:val="both"/>
      </w:pPr>
    </w:p>
    <w:p w14:paraId="35414329"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Yes. The proposed revisions are reasonable and should be approved. </w:t>
      </w:r>
      <w:r w:rsidR="00B612FC" w:rsidRPr="00F71D16">
        <w:rPr>
          <w:color w:val="000000"/>
          <w:kern w:val="2"/>
          <w:szCs w:val="22"/>
          <w14:ligatures w14:val="standardContextual"/>
        </w:rPr>
        <w:t>(Therrien, Bramley)</w:t>
      </w:r>
    </w:p>
    <w:p w14:paraId="23BA3956" w14:textId="77777777" w:rsidR="00ED4B49" w:rsidRPr="0029161C" w:rsidRDefault="00ED4B49" w:rsidP="00ED4B49">
      <w:pPr>
        <w:jc w:val="both"/>
      </w:pPr>
    </w:p>
    <w:p w14:paraId="3A366FFC"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5572E4EC" w14:textId="77777777" w:rsidR="00ED4B49" w:rsidRDefault="00ED4B49" w:rsidP="00ED4B49">
      <w:pPr>
        <w:jc w:val="both"/>
      </w:pPr>
    </w:p>
    <w:p w14:paraId="33C50B6D"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29541856" w14:textId="77777777" w:rsidR="00ED4B49" w:rsidRPr="0029161C" w:rsidRDefault="00ED4B49" w:rsidP="00ED4B49">
      <w:pPr>
        <w:jc w:val="both"/>
      </w:pPr>
    </w:p>
    <w:p w14:paraId="1A365683"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31A1AD11" w14:textId="768E4226" w:rsidR="00ED4B49" w:rsidRDefault="00ED4B49" w:rsidP="00ED4B49">
      <w:pPr>
        <w:jc w:val="both"/>
      </w:pPr>
    </w:p>
    <w:p w14:paraId="4A8CA257" w14:textId="77777777" w:rsidR="00242699" w:rsidRPr="0029161C" w:rsidRDefault="00242699" w:rsidP="00ED4B49">
      <w:pPr>
        <w:jc w:val="both"/>
      </w:pPr>
    </w:p>
    <w:p w14:paraId="1F651A49" w14:textId="77777777" w:rsidR="00ED4B49" w:rsidRPr="0029161C" w:rsidRDefault="00ED4B49" w:rsidP="00ED4B49">
      <w:pPr>
        <w:ind w:left="1440" w:hanging="1440"/>
        <w:jc w:val="both"/>
      </w:pPr>
      <w:r>
        <w:rPr>
          <w:b/>
          <w:bCs/>
        </w:rPr>
        <w:t>ISSUE 64</w:t>
      </w:r>
      <w:r w:rsidRPr="0029161C">
        <w:rPr>
          <w:b/>
          <w:bCs/>
        </w:rPr>
        <w:t>:</w:t>
      </w:r>
      <w:r w:rsidRPr="0029161C">
        <w:tab/>
      </w:r>
      <w:r w:rsidR="002174C5" w:rsidRPr="00810A45">
        <w:rPr>
          <w:b/>
        </w:rPr>
        <w:t>Should the Commission approve PGS’s revision to the Residential and Commercial Generator rate design?</w:t>
      </w:r>
    </w:p>
    <w:p w14:paraId="04AE194C" w14:textId="77777777" w:rsidR="00ED4B49" w:rsidRPr="0029161C" w:rsidRDefault="00ED4B49" w:rsidP="00ED4B49">
      <w:pPr>
        <w:jc w:val="both"/>
      </w:pPr>
    </w:p>
    <w:p w14:paraId="260D239F"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Yes. The proposed revisions are reasonable and should be approved. </w:t>
      </w:r>
      <w:r w:rsidR="00B612FC" w:rsidRPr="00F71D16">
        <w:rPr>
          <w:color w:val="000000"/>
          <w:kern w:val="2"/>
          <w:szCs w:val="22"/>
          <w14:ligatures w14:val="standardContextual"/>
        </w:rPr>
        <w:t>(Therrien, Bramley)</w:t>
      </w:r>
    </w:p>
    <w:p w14:paraId="611C4847" w14:textId="77777777" w:rsidR="00ED4B49" w:rsidRPr="0029161C" w:rsidRDefault="00ED4B49" w:rsidP="00ED4B49">
      <w:pPr>
        <w:jc w:val="both"/>
      </w:pPr>
    </w:p>
    <w:p w14:paraId="150DAA81" w14:textId="77777777" w:rsidR="00ED4B49" w:rsidRDefault="00ED4B49" w:rsidP="00ED4B49">
      <w:pPr>
        <w:ind w:left="1440" w:hanging="1440"/>
        <w:jc w:val="both"/>
      </w:pPr>
      <w:r>
        <w:rPr>
          <w:b/>
          <w:bCs/>
        </w:rPr>
        <w:lastRenderedPageBreak/>
        <w:t>OPC</w:t>
      </w:r>
      <w:r w:rsidRPr="0029161C">
        <w:rPr>
          <w:b/>
          <w:bCs/>
        </w:rPr>
        <w:t>:</w:t>
      </w:r>
      <w:r>
        <w:tab/>
      </w:r>
      <w:r w:rsidR="003A0A44" w:rsidRPr="00291CE4">
        <w:t>No position.</w:t>
      </w:r>
    </w:p>
    <w:p w14:paraId="4852E11E" w14:textId="77777777" w:rsidR="00ED4B49" w:rsidRDefault="00ED4B49" w:rsidP="00ED4B49">
      <w:pPr>
        <w:jc w:val="both"/>
      </w:pPr>
    </w:p>
    <w:p w14:paraId="2E9315F7" w14:textId="77777777" w:rsidR="00ED4B49" w:rsidRPr="00A4526E" w:rsidRDefault="00ED4B49" w:rsidP="00ED4B49">
      <w:pPr>
        <w:ind w:left="1440" w:hanging="1440"/>
        <w:jc w:val="both"/>
      </w:pPr>
      <w:r>
        <w:rPr>
          <w:b/>
        </w:rPr>
        <w:t>FIPUG:</w:t>
      </w:r>
      <w:r>
        <w:rPr>
          <w:b/>
        </w:rPr>
        <w:tab/>
      </w:r>
      <w:r w:rsidR="008E1978">
        <w:rPr>
          <w:bCs/>
        </w:rPr>
        <w:t>No</w:t>
      </w:r>
      <w:r w:rsidR="008E1978" w:rsidRPr="00BE2300">
        <w:rPr>
          <w:bCs/>
        </w:rPr>
        <w:t>.</w:t>
      </w:r>
    </w:p>
    <w:p w14:paraId="5BBE64F1" w14:textId="77777777" w:rsidR="00ED4B49" w:rsidRPr="0029161C" w:rsidRDefault="00ED4B49" w:rsidP="00ED4B49">
      <w:pPr>
        <w:jc w:val="both"/>
      </w:pPr>
    </w:p>
    <w:p w14:paraId="323364F1"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78B440E6" w14:textId="77777777" w:rsidR="00ED4B49" w:rsidRPr="0029161C" w:rsidRDefault="00ED4B49" w:rsidP="00ED4B49">
      <w:pPr>
        <w:jc w:val="both"/>
      </w:pPr>
    </w:p>
    <w:p w14:paraId="362A9F1B" w14:textId="2D29C921" w:rsidR="0070461A" w:rsidRDefault="0070461A"/>
    <w:p w14:paraId="1C26A9D9" w14:textId="77777777" w:rsidR="00ED4B49" w:rsidRPr="0029161C" w:rsidRDefault="00ED4B49" w:rsidP="00ED4B49">
      <w:pPr>
        <w:ind w:left="1440" w:hanging="1440"/>
        <w:jc w:val="both"/>
      </w:pPr>
      <w:r>
        <w:rPr>
          <w:b/>
          <w:bCs/>
        </w:rPr>
        <w:t>ISSUE 65</w:t>
      </w:r>
      <w:r w:rsidRPr="0029161C">
        <w:rPr>
          <w:b/>
          <w:bCs/>
        </w:rPr>
        <w:t>:</w:t>
      </w:r>
      <w:r w:rsidRPr="0029161C">
        <w:tab/>
      </w:r>
      <w:r w:rsidR="002174C5" w:rsidRPr="00810A45">
        <w:rPr>
          <w:b/>
        </w:rPr>
        <w:t>Should the Commission approve PGS’s revised termination fee for the Natural Choice Transportation Program (Tariff Sheet No. 7.803-3)?</w:t>
      </w:r>
    </w:p>
    <w:p w14:paraId="124EB7E9" w14:textId="77777777" w:rsidR="00ED4B49" w:rsidRPr="0029161C" w:rsidRDefault="00ED4B49" w:rsidP="00ED4B49">
      <w:pPr>
        <w:jc w:val="both"/>
      </w:pPr>
    </w:p>
    <w:p w14:paraId="70F22375" w14:textId="77777777" w:rsidR="00ED4B49" w:rsidRPr="0029161C" w:rsidRDefault="00ED4B49" w:rsidP="00ED4B49">
      <w:pPr>
        <w:ind w:left="1440" w:hanging="1440"/>
        <w:jc w:val="both"/>
      </w:pPr>
      <w:r>
        <w:rPr>
          <w:b/>
          <w:bCs/>
        </w:rPr>
        <w:t>PGS</w:t>
      </w:r>
      <w:r w:rsidRPr="0029161C">
        <w:rPr>
          <w:b/>
          <w:bCs/>
        </w:rPr>
        <w:t>:</w:t>
      </w:r>
      <w:r w:rsidRPr="0029161C">
        <w:tab/>
      </w:r>
      <w:bookmarkStart w:id="10" w:name="_Hlk141447124"/>
      <w:r w:rsidR="00B612FC">
        <w:rPr>
          <w:color w:val="000000"/>
          <w:kern w:val="2"/>
          <w:szCs w:val="22"/>
          <w14:ligatures w14:val="standardContextual"/>
        </w:rPr>
        <w:t xml:space="preserve">Yes. The proposed revised termination fee is reasonable and should be approved. </w:t>
      </w:r>
      <w:bookmarkEnd w:id="10"/>
      <w:r w:rsidR="00B612FC" w:rsidRPr="00F71D16">
        <w:rPr>
          <w:color w:val="000000"/>
          <w:kern w:val="2"/>
          <w:szCs w:val="22"/>
          <w14:ligatures w14:val="standardContextual"/>
        </w:rPr>
        <w:t>(Bramley)</w:t>
      </w:r>
    </w:p>
    <w:p w14:paraId="14473A17" w14:textId="77777777" w:rsidR="00ED4B49" w:rsidRPr="0029161C" w:rsidRDefault="00ED4B49" w:rsidP="00ED4B49">
      <w:pPr>
        <w:jc w:val="both"/>
      </w:pPr>
    </w:p>
    <w:p w14:paraId="0B8C3E21"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1E382D31" w14:textId="77777777" w:rsidR="00ED4B49" w:rsidRDefault="00ED4B49" w:rsidP="00ED4B49">
      <w:pPr>
        <w:jc w:val="both"/>
      </w:pPr>
    </w:p>
    <w:p w14:paraId="6C2A62ED"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31220BCB" w14:textId="77777777" w:rsidR="00ED4B49" w:rsidRPr="0029161C" w:rsidRDefault="00ED4B49" w:rsidP="00ED4B49">
      <w:pPr>
        <w:jc w:val="both"/>
      </w:pPr>
    </w:p>
    <w:p w14:paraId="022B4198"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50800556" w14:textId="77777777" w:rsidR="00ED4B49" w:rsidRPr="0029161C" w:rsidRDefault="00ED4B49" w:rsidP="00ED4B49">
      <w:pPr>
        <w:jc w:val="both"/>
      </w:pPr>
    </w:p>
    <w:p w14:paraId="5A599906" w14:textId="77777777" w:rsidR="00ED4B49" w:rsidRPr="0029161C" w:rsidRDefault="00ED4B49" w:rsidP="00ED4B49">
      <w:pPr>
        <w:jc w:val="both"/>
      </w:pPr>
    </w:p>
    <w:p w14:paraId="3A50516C" w14:textId="77777777" w:rsidR="00ED4B49" w:rsidRPr="0029161C" w:rsidRDefault="00ED4B49" w:rsidP="00ED4B49">
      <w:pPr>
        <w:ind w:left="1440" w:hanging="1440"/>
        <w:jc w:val="both"/>
      </w:pPr>
      <w:r>
        <w:rPr>
          <w:b/>
          <w:bCs/>
        </w:rPr>
        <w:t>ISSUE 66</w:t>
      </w:r>
      <w:r w:rsidRPr="0029161C">
        <w:rPr>
          <w:b/>
          <w:bCs/>
        </w:rPr>
        <w:t>:</w:t>
      </w:r>
      <w:r w:rsidRPr="0029161C">
        <w:tab/>
      </w:r>
      <w:r w:rsidR="002174C5" w:rsidRPr="00810A45">
        <w:rPr>
          <w:b/>
        </w:rPr>
        <w:t>Should the Commission approve PGS’s revised Individual Transportation Administration Fee (Tariff Sheet No. 7.805)?</w:t>
      </w:r>
    </w:p>
    <w:p w14:paraId="365078B2" w14:textId="77777777" w:rsidR="00ED4B49" w:rsidRPr="0029161C" w:rsidRDefault="00ED4B49" w:rsidP="00ED4B49">
      <w:pPr>
        <w:jc w:val="both"/>
      </w:pPr>
    </w:p>
    <w:p w14:paraId="4833240C" w14:textId="0C58499E" w:rsidR="00ED4B49" w:rsidRPr="0029161C" w:rsidRDefault="00ED4B49" w:rsidP="00ED4B49">
      <w:pPr>
        <w:ind w:left="1440" w:hanging="1440"/>
        <w:jc w:val="both"/>
      </w:pPr>
      <w:r>
        <w:rPr>
          <w:b/>
          <w:bCs/>
        </w:rPr>
        <w:t>PGS</w:t>
      </w:r>
      <w:r w:rsidRPr="0029161C">
        <w:rPr>
          <w:b/>
          <w:bCs/>
        </w:rPr>
        <w:t>:</w:t>
      </w:r>
      <w:r w:rsidRPr="0029161C">
        <w:tab/>
      </w:r>
      <w:r w:rsidR="00CB57B0">
        <w:rPr>
          <w:color w:val="000000"/>
          <w:kern w:val="2"/>
          <w:szCs w:val="22"/>
          <w14:ligatures w14:val="standardContextual"/>
        </w:rPr>
        <w:t>No. The company’s existing Individual Transportation Administration Fee should remain in effect</w:t>
      </w:r>
      <w:r w:rsidR="00B612FC">
        <w:rPr>
          <w:color w:val="000000"/>
          <w:kern w:val="2"/>
          <w:szCs w:val="22"/>
          <w14:ligatures w14:val="standardContextual"/>
        </w:rPr>
        <w:t xml:space="preserve">. </w:t>
      </w:r>
      <w:r w:rsidR="00B612FC" w:rsidRPr="00F71D16">
        <w:rPr>
          <w:color w:val="000000"/>
          <w:kern w:val="2"/>
          <w:szCs w:val="22"/>
          <w14:ligatures w14:val="standardContextual"/>
        </w:rPr>
        <w:t>(Bramley)</w:t>
      </w:r>
    </w:p>
    <w:p w14:paraId="6CFAC2F6" w14:textId="77777777" w:rsidR="00ED4B49" w:rsidRPr="0029161C" w:rsidRDefault="00ED4B49" w:rsidP="00ED4B49">
      <w:pPr>
        <w:jc w:val="both"/>
      </w:pPr>
    </w:p>
    <w:p w14:paraId="6B165911"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5363CB33" w14:textId="77777777" w:rsidR="00ED4B49" w:rsidRDefault="00ED4B49" w:rsidP="00ED4B49">
      <w:pPr>
        <w:jc w:val="both"/>
      </w:pPr>
    </w:p>
    <w:p w14:paraId="36773E44" w14:textId="34488B27" w:rsidR="00ED4B49" w:rsidRPr="00A4526E" w:rsidRDefault="00ED4B49" w:rsidP="00ED4B49">
      <w:pPr>
        <w:ind w:left="1440" w:hanging="1440"/>
        <w:jc w:val="both"/>
      </w:pPr>
      <w:r>
        <w:rPr>
          <w:b/>
        </w:rPr>
        <w:t>FIPUG:</w:t>
      </w:r>
      <w:r>
        <w:rPr>
          <w:b/>
        </w:rPr>
        <w:tab/>
      </w:r>
      <w:r w:rsidR="008E1978" w:rsidRPr="00BE2300">
        <w:rPr>
          <w:bCs/>
        </w:rPr>
        <w:t>A</w:t>
      </w:r>
      <w:r w:rsidR="006E1F0C">
        <w:rPr>
          <w:bCs/>
        </w:rPr>
        <w:t>dopt position of PGS</w:t>
      </w:r>
      <w:r w:rsidR="008E1978" w:rsidRPr="00BE2300">
        <w:rPr>
          <w:bCs/>
        </w:rPr>
        <w:t>.</w:t>
      </w:r>
    </w:p>
    <w:p w14:paraId="179C8F45" w14:textId="77777777" w:rsidR="00ED4B49" w:rsidRPr="0029161C" w:rsidRDefault="00ED4B49" w:rsidP="00ED4B49">
      <w:pPr>
        <w:jc w:val="both"/>
      </w:pPr>
    </w:p>
    <w:p w14:paraId="6C31185D"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3280A0DF" w14:textId="77777777" w:rsidR="00ED4B49" w:rsidRPr="0029161C" w:rsidRDefault="00ED4B49" w:rsidP="00ED4B49">
      <w:pPr>
        <w:jc w:val="both"/>
      </w:pPr>
    </w:p>
    <w:p w14:paraId="0BA852DF" w14:textId="77777777" w:rsidR="00ED4B49" w:rsidRPr="0029161C" w:rsidRDefault="00ED4B49" w:rsidP="00ED4B49">
      <w:pPr>
        <w:jc w:val="both"/>
      </w:pPr>
    </w:p>
    <w:p w14:paraId="537FEFE8" w14:textId="77777777" w:rsidR="00ED4B49" w:rsidRPr="0029161C" w:rsidRDefault="00ED4B49" w:rsidP="00ED4B49">
      <w:pPr>
        <w:ind w:left="1440" w:hanging="1440"/>
        <w:jc w:val="both"/>
      </w:pPr>
      <w:r>
        <w:rPr>
          <w:b/>
          <w:bCs/>
        </w:rPr>
        <w:t>ISSUE 67</w:t>
      </w:r>
      <w:r w:rsidRPr="0029161C">
        <w:rPr>
          <w:b/>
          <w:bCs/>
        </w:rPr>
        <w:t>:</w:t>
      </w:r>
      <w:r w:rsidRPr="0029161C">
        <w:tab/>
      </w:r>
      <w:r w:rsidR="002174C5" w:rsidRPr="00810A45">
        <w:rPr>
          <w:b/>
        </w:rPr>
        <w:t>Should the Commission approve PGS’s new Minimum Volume Commitment provision (Tariff Sheet No. 5.601) and associated Agreement (Tariff Sheet Nos. 8.126-8.126-11)?</w:t>
      </w:r>
    </w:p>
    <w:p w14:paraId="6E236847" w14:textId="77777777" w:rsidR="00ED4B49" w:rsidRPr="0029161C" w:rsidRDefault="00ED4B49" w:rsidP="00ED4B49">
      <w:pPr>
        <w:jc w:val="both"/>
      </w:pPr>
    </w:p>
    <w:p w14:paraId="5F645331"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Yes. The proposed new provision is reasonable and should be approved. (</w:t>
      </w:r>
      <w:r w:rsidR="00B612FC" w:rsidRPr="00F71D16">
        <w:rPr>
          <w:color w:val="000000"/>
          <w:kern w:val="2"/>
          <w:szCs w:val="22"/>
          <w14:ligatures w14:val="standardContextual"/>
        </w:rPr>
        <w:t>Rutkin, Bramley)</w:t>
      </w:r>
    </w:p>
    <w:p w14:paraId="26D8721E" w14:textId="77777777" w:rsidR="00ED4B49" w:rsidRPr="0029161C" w:rsidRDefault="00ED4B49" w:rsidP="00ED4B49">
      <w:pPr>
        <w:jc w:val="both"/>
      </w:pPr>
    </w:p>
    <w:p w14:paraId="589EB147"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5B03DC77" w14:textId="77777777" w:rsidR="00ED4B49" w:rsidRDefault="00ED4B49" w:rsidP="00ED4B49">
      <w:pPr>
        <w:jc w:val="both"/>
      </w:pPr>
    </w:p>
    <w:p w14:paraId="3E2D9BBF"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76BCB20B" w14:textId="77777777" w:rsidR="00ED4B49" w:rsidRPr="0029161C" w:rsidRDefault="00ED4B49" w:rsidP="00ED4B49">
      <w:pPr>
        <w:jc w:val="both"/>
      </w:pPr>
    </w:p>
    <w:p w14:paraId="40075106"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4BD6EAC2" w14:textId="629D0F6C" w:rsidR="00ED4B49" w:rsidRPr="0029161C" w:rsidRDefault="00ED4B49" w:rsidP="00ED4B49">
      <w:pPr>
        <w:ind w:left="1440" w:hanging="1440"/>
        <w:jc w:val="both"/>
      </w:pPr>
      <w:r>
        <w:rPr>
          <w:b/>
          <w:bCs/>
        </w:rPr>
        <w:lastRenderedPageBreak/>
        <w:t>ISSUE 68</w:t>
      </w:r>
      <w:r w:rsidRPr="0029161C">
        <w:rPr>
          <w:b/>
          <w:bCs/>
        </w:rPr>
        <w:t>:</w:t>
      </w:r>
      <w:r w:rsidRPr="0029161C">
        <w:tab/>
      </w:r>
      <w:r w:rsidR="002174C5" w:rsidRPr="00810A45">
        <w:rPr>
          <w:b/>
        </w:rPr>
        <w:t>Should the Commission approve PGS’s non-rate related tariff modifications?</w:t>
      </w:r>
    </w:p>
    <w:p w14:paraId="0EF8EE8B" w14:textId="77777777" w:rsidR="00ED4B49" w:rsidRPr="0029161C" w:rsidRDefault="00ED4B49" w:rsidP="00ED4B49">
      <w:pPr>
        <w:jc w:val="both"/>
      </w:pPr>
    </w:p>
    <w:p w14:paraId="7EE40AB5"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Yes. The proposed revisions are reasonable and should be approved. </w:t>
      </w:r>
      <w:r w:rsidR="00B612FC" w:rsidRPr="00F71D16">
        <w:rPr>
          <w:color w:val="000000"/>
          <w:kern w:val="2"/>
          <w:szCs w:val="22"/>
          <w14:ligatures w14:val="standardContextual"/>
        </w:rPr>
        <w:t>(Bramley)</w:t>
      </w:r>
    </w:p>
    <w:p w14:paraId="0D7BB526" w14:textId="77777777" w:rsidR="00ED4B49" w:rsidRPr="0029161C" w:rsidRDefault="00ED4B49" w:rsidP="00ED4B49">
      <w:pPr>
        <w:jc w:val="both"/>
      </w:pPr>
    </w:p>
    <w:p w14:paraId="5DE11BCA"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1FF3FBF0" w14:textId="77777777" w:rsidR="00ED4B49" w:rsidRDefault="00ED4B49" w:rsidP="00ED4B49">
      <w:pPr>
        <w:jc w:val="both"/>
      </w:pPr>
    </w:p>
    <w:p w14:paraId="6E14DAB6" w14:textId="77777777" w:rsidR="00ED4B49" w:rsidRPr="00A4526E" w:rsidRDefault="00ED4B49" w:rsidP="00ED4B49">
      <w:pPr>
        <w:ind w:left="1440" w:hanging="1440"/>
        <w:jc w:val="both"/>
      </w:pPr>
      <w:r>
        <w:rPr>
          <w:b/>
        </w:rPr>
        <w:t>FIPUG:</w:t>
      </w:r>
      <w:r>
        <w:rPr>
          <w:b/>
        </w:rPr>
        <w:tab/>
      </w:r>
      <w:r w:rsidR="008E1978">
        <w:rPr>
          <w:bCs/>
        </w:rPr>
        <w:t>No position at this time</w:t>
      </w:r>
      <w:r w:rsidR="008E1978" w:rsidRPr="00BE2300">
        <w:rPr>
          <w:bCs/>
        </w:rPr>
        <w:t>.</w:t>
      </w:r>
    </w:p>
    <w:p w14:paraId="31175E9F" w14:textId="77777777" w:rsidR="00ED4B49" w:rsidRPr="0029161C" w:rsidRDefault="00ED4B49" w:rsidP="00ED4B49">
      <w:pPr>
        <w:jc w:val="both"/>
      </w:pPr>
    </w:p>
    <w:p w14:paraId="6895BFD1"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53ECAEC2" w14:textId="77777777" w:rsidR="00ED4B49" w:rsidRPr="0029161C" w:rsidRDefault="00ED4B49" w:rsidP="00ED4B49">
      <w:pPr>
        <w:jc w:val="both"/>
      </w:pPr>
    </w:p>
    <w:p w14:paraId="39F92FA7" w14:textId="77777777" w:rsidR="00ED4B49" w:rsidRPr="0029161C" w:rsidRDefault="00ED4B49" w:rsidP="00ED4B49">
      <w:pPr>
        <w:jc w:val="both"/>
      </w:pPr>
    </w:p>
    <w:p w14:paraId="27A5F814" w14:textId="77777777" w:rsidR="00ED4B49" w:rsidRPr="0029161C" w:rsidRDefault="00ED4B49" w:rsidP="00ED4B49">
      <w:pPr>
        <w:ind w:left="1440" w:hanging="1440"/>
        <w:jc w:val="both"/>
      </w:pPr>
      <w:r>
        <w:rPr>
          <w:b/>
          <w:bCs/>
        </w:rPr>
        <w:t>ISSUE 69</w:t>
      </w:r>
      <w:r w:rsidRPr="0029161C">
        <w:rPr>
          <w:b/>
          <w:bCs/>
        </w:rPr>
        <w:t>:</w:t>
      </w:r>
      <w:r w:rsidRPr="0029161C">
        <w:tab/>
      </w:r>
      <w:r w:rsidR="004D4C00" w:rsidRPr="007F3475">
        <w:rPr>
          <w:b/>
        </w:rPr>
        <w:t>Should the Commission approve PGS’s proposed tariffs reflecting the Commission-approved target revenues?</w:t>
      </w:r>
    </w:p>
    <w:p w14:paraId="252AEC03" w14:textId="77777777" w:rsidR="00ED4B49" w:rsidRPr="0029161C" w:rsidRDefault="00ED4B49" w:rsidP="00ED4B49">
      <w:pPr>
        <w:jc w:val="both"/>
      </w:pPr>
    </w:p>
    <w:p w14:paraId="7AACF345"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Yes. </w:t>
      </w:r>
      <w:r w:rsidR="00B612FC">
        <w:rPr>
          <w:b/>
          <w:bCs/>
          <w:color w:val="000000"/>
          <w:kern w:val="2"/>
          <w:szCs w:val="22"/>
          <w14:ligatures w14:val="standardContextual"/>
        </w:rPr>
        <w:t>(</w:t>
      </w:r>
      <w:r w:rsidR="00B612FC" w:rsidRPr="00F71D16">
        <w:rPr>
          <w:color w:val="000000"/>
          <w:kern w:val="2"/>
          <w:szCs w:val="22"/>
          <w14:ligatures w14:val="standardContextual"/>
        </w:rPr>
        <w:t>Therrien)</w:t>
      </w:r>
    </w:p>
    <w:p w14:paraId="57FDA982" w14:textId="77777777" w:rsidR="00ED4B49" w:rsidRPr="0029161C" w:rsidRDefault="00ED4B49" w:rsidP="00ED4B49">
      <w:pPr>
        <w:jc w:val="both"/>
      </w:pPr>
    </w:p>
    <w:p w14:paraId="395CBB6A" w14:textId="77777777" w:rsidR="00ED4B49" w:rsidRDefault="00ED4B49" w:rsidP="00ED4B49">
      <w:pPr>
        <w:ind w:left="1440" w:hanging="1440"/>
        <w:jc w:val="both"/>
      </w:pPr>
      <w:r>
        <w:rPr>
          <w:b/>
          <w:bCs/>
        </w:rPr>
        <w:t>OPC</w:t>
      </w:r>
      <w:r w:rsidRPr="0029161C">
        <w:rPr>
          <w:b/>
          <w:bCs/>
        </w:rPr>
        <w:t>:</w:t>
      </w:r>
      <w:r>
        <w:tab/>
      </w:r>
      <w:r w:rsidR="003A0A44" w:rsidRPr="00291CE4">
        <w:t>No position.</w:t>
      </w:r>
    </w:p>
    <w:p w14:paraId="358EAD85" w14:textId="77777777" w:rsidR="00ED4B49" w:rsidRDefault="00ED4B49" w:rsidP="00ED4B49">
      <w:pPr>
        <w:jc w:val="both"/>
      </w:pPr>
    </w:p>
    <w:p w14:paraId="3DA3A341"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49BAC995" w14:textId="77777777" w:rsidR="00ED4B49" w:rsidRPr="0029161C" w:rsidRDefault="00ED4B49" w:rsidP="00ED4B49">
      <w:pPr>
        <w:jc w:val="both"/>
      </w:pPr>
    </w:p>
    <w:p w14:paraId="1DD43239"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7097670E" w14:textId="77777777" w:rsidR="00ED4B49" w:rsidRPr="0029161C" w:rsidRDefault="00ED4B49" w:rsidP="00ED4B49">
      <w:pPr>
        <w:jc w:val="both"/>
      </w:pPr>
    </w:p>
    <w:p w14:paraId="7B5986AF" w14:textId="77777777" w:rsidR="00ED4B49" w:rsidRPr="0029161C" w:rsidRDefault="00ED4B49" w:rsidP="00ED4B49">
      <w:pPr>
        <w:jc w:val="both"/>
      </w:pPr>
    </w:p>
    <w:p w14:paraId="3490D87E" w14:textId="77777777" w:rsidR="00ED4B49" w:rsidRPr="0029161C" w:rsidRDefault="00ED4B49" w:rsidP="00ED4B49">
      <w:pPr>
        <w:ind w:left="1440" w:hanging="1440"/>
        <w:jc w:val="both"/>
      </w:pPr>
      <w:r>
        <w:rPr>
          <w:b/>
          <w:bCs/>
        </w:rPr>
        <w:t>ISSUE 70</w:t>
      </w:r>
      <w:r w:rsidRPr="0029161C">
        <w:rPr>
          <w:b/>
          <w:bCs/>
        </w:rPr>
        <w:t>:</w:t>
      </w:r>
      <w:r w:rsidRPr="0029161C">
        <w:tab/>
      </w:r>
      <w:r w:rsidR="004D4C00" w:rsidRPr="007F3475">
        <w:rPr>
          <w:b/>
        </w:rPr>
        <w:t>What is the effective date for PGS’s revised rates and charges?</w:t>
      </w:r>
    </w:p>
    <w:p w14:paraId="33CE296C" w14:textId="77777777" w:rsidR="00ED4B49" w:rsidRPr="0029161C" w:rsidRDefault="00ED4B49" w:rsidP="00ED4B49">
      <w:pPr>
        <w:jc w:val="both"/>
      </w:pPr>
    </w:p>
    <w:p w14:paraId="0717F14D" w14:textId="77777777" w:rsidR="00ED4B49" w:rsidRPr="0029161C" w:rsidRDefault="00ED4B49" w:rsidP="00ED4B49">
      <w:pPr>
        <w:ind w:left="1440" w:hanging="1440"/>
        <w:jc w:val="both"/>
      </w:pPr>
      <w:r>
        <w:rPr>
          <w:b/>
          <w:bCs/>
        </w:rPr>
        <w:t>PGS</w:t>
      </w:r>
      <w:r w:rsidRPr="0029161C">
        <w:rPr>
          <w:b/>
          <w:bCs/>
        </w:rPr>
        <w:t>:</w:t>
      </w:r>
      <w:r w:rsidRPr="0029161C">
        <w:tab/>
      </w:r>
      <w:r w:rsidR="00B612FC">
        <w:rPr>
          <w:color w:val="000000"/>
          <w:kern w:val="2"/>
          <w:szCs w:val="22"/>
          <w14:ligatures w14:val="standardContextual"/>
        </w:rPr>
        <w:t xml:space="preserve">The revised base rates and charges approved in this case should be effective with the first billing cycle in January 2024. </w:t>
      </w:r>
      <w:r w:rsidR="00B612FC" w:rsidRPr="00F71D16">
        <w:rPr>
          <w:color w:val="000000"/>
          <w:kern w:val="2"/>
          <w:szCs w:val="22"/>
          <w14:ligatures w14:val="standardContextual"/>
        </w:rPr>
        <w:t>(Bramley)</w:t>
      </w:r>
    </w:p>
    <w:p w14:paraId="3C90BB04" w14:textId="77777777" w:rsidR="00ED4B49" w:rsidRPr="0029161C" w:rsidRDefault="00ED4B49" w:rsidP="00ED4B49">
      <w:pPr>
        <w:jc w:val="both"/>
      </w:pPr>
    </w:p>
    <w:p w14:paraId="17634A18" w14:textId="77777777" w:rsidR="00ED4B49" w:rsidRDefault="00ED4B49" w:rsidP="00ED4B49">
      <w:pPr>
        <w:ind w:left="1440" w:hanging="1440"/>
        <w:jc w:val="both"/>
      </w:pPr>
      <w:r>
        <w:rPr>
          <w:b/>
          <w:bCs/>
        </w:rPr>
        <w:t>OPC</w:t>
      </w:r>
      <w:r w:rsidRPr="0029161C">
        <w:rPr>
          <w:b/>
          <w:bCs/>
        </w:rPr>
        <w:t>:</w:t>
      </w:r>
      <w:r>
        <w:tab/>
      </w:r>
      <w:r w:rsidR="003A0A44">
        <w:t>The effective date of PGS’ revised rates and charges should allow for time for implementation promptly after the Commission’s final order in this matter.</w:t>
      </w:r>
    </w:p>
    <w:p w14:paraId="571E32B0" w14:textId="77777777" w:rsidR="00ED4B49" w:rsidRDefault="00ED4B49" w:rsidP="00ED4B49">
      <w:pPr>
        <w:jc w:val="both"/>
      </w:pPr>
    </w:p>
    <w:p w14:paraId="3C8B7E14" w14:textId="77777777" w:rsidR="00ED4B49" w:rsidRPr="00A4526E" w:rsidRDefault="00ED4B49" w:rsidP="00ED4B49">
      <w:pPr>
        <w:ind w:left="1440" w:hanging="1440"/>
        <w:jc w:val="both"/>
      </w:pPr>
      <w:r>
        <w:rPr>
          <w:b/>
        </w:rPr>
        <w:t>FIPUG:</w:t>
      </w:r>
      <w:r>
        <w:rPr>
          <w:b/>
        </w:rPr>
        <w:tab/>
      </w:r>
      <w:r w:rsidR="008E1978" w:rsidRPr="00BE2300">
        <w:rPr>
          <w:bCs/>
        </w:rPr>
        <w:t>Adopt position of OPC.</w:t>
      </w:r>
    </w:p>
    <w:p w14:paraId="4E708D92" w14:textId="77777777" w:rsidR="00ED4B49" w:rsidRPr="0029161C" w:rsidRDefault="00ED4B49" w:rsidP="00ED4B49">
      <w:pPr>
        <w:jc w:val="both"/>
      </w:pPr>
    </w:p>
    <w:p w14:paraId="4EF3FEBE"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01809DA9" w14:textId="77777777" w:rsidR="00ED4B49" w:rsidRDefault="00ED4B49" w:rsidP="00ED4B49">
      <w:pPr>
        <w:jc w:val="both"/>
      </w:pPr>
    </w:p>
    <w:p w14:paraId="3E2D1FAE" w14:textId="2462F376" w:rsidR="00B612FC" w:rsidRPr="0029161C" w:rsidRDefault="00B612FC" w:rsidP="00B612FC">
      <w:pPr>
        <w:jc w:val="center"/>
      </w:pPr>
      <w:r w:rsidRPr="00F71D16">
        <w:rPr>
          <w:b/>
          <w:color w:val="000000"/>
          <w:kern w:val="2"/>
          <w:szCs w:val="22"/>
          <w:u w:val="single" w:color="000000"/>
          <w14:ligatures w14:val="standardContextual"/>
        </w:rPr>
        <w:t>OTHER ISSUES</w:t>
      </w:r>
    </w:p>
    <w:p w14:paraId="64253465" w14:textId="77777777" w:rsidR="00ED4B49" w:rsidRPr="0029161C" w:rsidRDefault="00ED4B49" w:rsidP="00ED4B49">
      <w:pPr>
        <w:jc w:val="both"/>
      </w:pPr>
    </w:p>
    <w:p w14:paraId="0257F85D" w14:textId="77777777" w:rsidR="00ED4B49" w:rsidRPr="0029161C" w:rsidRDefault="00ED4B49" w:rsidP="00ED4B49">
      <w:pPr>
        <w:ind w:left="1440" w:hanging="1440"/>
        <w:jc w:val="both"/>
      </w:pPr>
      <w:r w:rsidRPr="0029161C">
        <w:rPr>
          <w:b/>
          <w:bCs/>
        </w:rPr>
        <w:t xml:space="preserve">ISSUE </w:t>
      </w:r>
      <w:r>
        <w:rPr>
          <w:b/>
          <w:bCs/>
        </w:rPr>
        <w:t>7</w:t>
      </w:r>
      <w:r w:rsidRPr="0029161C">
        <w:rPr>
          <w:b/>
          <w:bCs/>
        </w:rPr>
        <w:t>1:</w:t>
      </w:r>
      <w:r w:rsidRPr="0029161C">
        <w:tab/>
      </w:r>
      <w:r w:rsidR="004D4C00" w:rsidRPr="007F3475">
        <w:rPr>
          <w:b/>
        </w:rPr>
        <w:t>Should the Commission approve PGS’s proposed long-term debt cost rate true-up mechanism?</w:t>
      </w:r>
    </w:p>
    <w:p w14:paraId="03DFA9F5" w14:textId="77777777" w:rsidR="00ED4B49" w:rsidRPr="0029161C" w:rsidRDefault="00ED4B49" w:rsidP="00ED4B49">
      <w:pPr>
        <w:jc w:val="both"/>
      </w:pPr>
    </w:p>
    <w:p w14:paraId="3687C8E4" w14:textId="77777777" w:rsidR="00ED4B49" w:rsidRPr="0029161C" w:rsidRDefault="00ED4B49" w:rsidP="00ED4B49">
      <w:pPr>
        <w:ind w:left="1440" w:hanging="1440"/>
        <w:jc w:val="both"/>
      </w:pPr>
      <w:r>
        <w:rPr>
          <w:b/>
          <w:bCs/>
        </w:rPr>
        <w:t>PGS</w:t>
      </w:r>
      <w:r w:rsidRPr="0029161C">
        <w:rPr>
          <w:b/>
          <w:bCs/>
        </w:rPr>
        <w:t>:</w:t>
      </w:r>
      <w:r w:rsidRPr="0029161C">
        <w:tab/>
      </w:r>
      <w:r w:rsidR="00D82CD4">
        <w:rPr>
          <w:color w:val="000000"/>
          <w:kern w:val="2"/>
          <w:szCs w:val="22"/>
          <w14:ligatures w14:val="standardContextual"/>
        </w:rPr>
        <w:t>Ye</w:t>
      </w:r>
      <w:r w:rsidR="00721BF0">
        <w:rPr>
          <w:color w:val="000000"/>
          <w:kern w:val="2"/>
          <w:szCs w:val="22"/>
          <w14:ligatures w14:val="standardContextual"/>
        </w:rPr>
        <w:t>s</w:t>
      </w:r>
      <w:r w:rsidR="00D82CD4">
        <w:rPr>
          <w:color w:val="000000"/>
          <w:kern w:val="2"/>
          <w:szCs w:val="22"/>
          <w14:ligatures w14:val="standardContextual"/>
        </w:rPr>
        <w:t xml:space="preserve">. The proposed mechanism is appropriate under the circumstances and fairly protects the general body of ratepayers. </w:t>
      </w:r>
      <w:r w:rsidR="00D82CD4" w:rsidRPr="00F71D16">
        <w:rPr>
          <w:color w:val="000000"/>
          <w:kern w:val="2"/>
          <w:szCs w:val="22"/>
          <w14:ligatures w14:val="standardContextual"/>
        </w:rPr>
        <w:t>(Parsons)</w:t>
      </w:r>
    </w:p>
    <w:p w14:paraId="123295BC" w14:textId="77777777" w:rsidR="00ED4B49" w:rsidRPr="0029161C" w:rsidRDefault="00ED4B49" w:rsidP="00ED4B49">
      <w:pPr>
        <w:jc w:val="both"/>
      </w:pPr>
    </w:p>
    <w:p w14:paraId="39A6F95B" w14:textId="77777777" w:rsidR="00ED4B49" w:rsidRDefault="00ED4B49" w:rsidP="00ED4B49">
      <w:pPr>
        <w:ind w:left="1440" w:hanging="1440"/>
        <w:jc w:val="both"/>
      </w:pPr>
      <w:r>
        <w:rPr>
          <w:b/>
          <w:bCs/>
        </w:rPr>
        <w:t>OPC</w:t>
      </w:r>
      <w:r w:rsidRPr="0029161C">
        <w:rPr>
          <w:b/>
          <w:bCs/>
        </w:rPr>
        <w:t>:</w:t>
      </w:r>
      <w:r>
        <w:tab/>
      </w:r>
      <w:r w:rsidR="003A0A44">
        <w:t>Based solely on</w:t>
      </w:r>
      <w:r w:rsidR="003A0A44" w:rsidRPr="00844FDE">
        <w:t xml:space="preserve"> the unique factual circumstance</w:t>
      </w:r>
      <w:r w:rsidR="003A0A44">
        <w:t xml:space="preserve"> where an electric company has spun off its gas division</w:t>
      </w:r>
      <w:r w:rsidR="003A0A44" w:rsidRPr="00844FDE">
        <w:t xml:space="preserve"> in this case, </w:t>
      </w:r>
      <w:r w:rsidR="003A0A44">
        <w:t xml:space="preserve">and if the Commission deems the 2023 </w:t>
      </w:r>
      <w:r w:rsidR="003A0A44">
        <w:lastRenderedPageBreak/>
        <w:t xml:space="preserve">Transaction to be prudent in decision and execution, the </w:t>
      </w:r>
      <w:r w:rsidR="003A0A44" w:rsidRPr="00844FDE">
        <w:t xml:space="preserve">OPC </w:t>
      </w:r>
      <w:r w:rsidR="003A0A44">
        <w:t xml:space="preserve">will </w:t>
      </w:r>
      <w:r w:rsidR="003A0A44" w:rsidRPr="00844FDE">
        <w:t xml:space="preserve">not object to the </w:t>
      </w:r>
      <w:r w:rsidR="003A0A44">
        <w:t xml:space="preserve">one-time </w:t>
      </w:r>
      <w:r w:rsidR="003A0A44" w:rsidRPr="00844FDE">
        <w:t>long-term debt cost rate true-up mechanism</w:t>
      </w:r>
      <w:r w:rsidR="003A0A44">
        <w:t xml:space="preserve"> after the gas company’s first debt issuance</w:t>
      </w:r>
      <w:r w:rsidR="003A0A44" w:rsidRPr="00844FDE">
        <w:t>; however, the Commission should disallow the incremental interest expense and other financing costs of the 2023 Transaction. (Kollen)</w:t>
      </w:r>
    </w:p>
    <w:p w14:paraId="55B8EA67" w14:textId="77777777" w:rsidR="00ED4B49" w:rsidRDefault="00ED4B49" w:rsidP="00ED4B49">
      <w:pPr>
        <w:jc w:val="both"/>
      </w:pPr>
    </w:p>
    <w:p w14:paraId="32056329" w14:textId="77777777" w:rsidR="00ED4B49" w:rsidRPr="00A4526E" w:rsidRDefault="00ED4B49" w:rsidP="00ED4B49">
      <w:pPr>
        <w:ind w:left="1440" w:hanging="1440"/>
        <w:jc w:val="both"/>
      </w:pPr>
      <w:r>
        <w:rPr>
          <w:b/>
        </w:rPr>
        <w:t>FIPUG:</w:t>
      </w:r>
      <w:r>
        <w:rPr>
          <w:b/>
        </w:rPr>
        <w:tab/>
      </w:r>
      <w:r w:rsidR="008E1978">
        <w:t>Adopt position of OPC.</w:t>
      </w:r>
    </w:p>
    <w:p w14:paraId="13B9EB65" w14:textId="77777777" w:rsidR="00ED4B49" w:rsidRPr="0029161C" w:rsidRDefault="00ED4B49" w:rsidP="00ED4B49">
      <w:pPr>
        <w:jc w:val="both"/>
      </w:pPr>
    </w:p>
    <w:p w14:paraId="5E8850D0"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2E913493" w14:textId="77777777" w:rsidR="00ED4B49" w:rsidRPr="0029161C" w:rsidRDefault="00ED4B49" w:rsidP="00ED4B49">
      <w:pPr>
        <w:jc w:val="both"/>
      </w:pPr>
    </w:p>
    <w:p w14:paraId="139AAC4B" w14:textId="77777777" w:rsidR="00ED4B49" w:rsidRPr="0029161C" w:rsidRDefault="00ED4B49" w:rsidP="00ED4B49">
      <w:pPr>
        <w:jc w:val="both"/>
      </w:pPr>
    </w:p>
    <w:p w14:paraId="2FD07843" w14:textId="77777777" w:rsidR="00ED4B49" w:rsidRPr="0029161C" w:rsidRDefault="00ED4B49" w:rsidP="00ED4B49">
      <w:pPr>
        <w:ind w:left="1440" w:hanging="1440"/>
        <w:jc w:val="both"/>
      </w:pPr>
      <w:r>
        <w:rPr>
          <w:b/>
          <w:bCs/>
        </w:rPr>
        <w:t>ISSUE 72</w:t>
      </w:r>
      <w:r w:rsidRPr="0029161C">
        <w:rPr>
          <w:b/>
          <w:bCs/>
        </w:rPr>
        <w:t>:</w:t>
      </w:r>
      <w:r w:rsidRPr="0029161C">
        <w:tab/>
      </w:r>
      <w:r w:rsidR="004D4C00" w:rsidRPr="007F3475">
        <w:rPr>
          <w:b/>
        </w:rPr>
        <w:t>What adjustments, if any, should be made to the projected test year related to the spin-off of PGS?</w:t>
      </w:r>
    </w:p>
    <w:p w14:paraId="6BA272F6" w14:textId="77777777" w:rsidR="00ED4B49" w:rsidRPr="0029161C" w:rsidRDefault="00ED4B49" w:rsidP="00ED4B49">
      <w:pPr>
        <w:jc w:val="both"/>
      </w:pPr>
    </w:p>
    <w:p w14:paraId="5221324A" w14:textId="77777777" w:rsidR="00ED4B49" w:rsidRPr="0029161C" w:rsidRDefault="00ED4B49" w:rsidP="00ED4B49">
      <w:pPr>
        <w:ind w:left="1440" w:hanging="1440"/>
        <w:jc w:val="both"/>
      </w:pPr>
      <w:r>
        <w:rPr>
          <w:b/>
          <w:bCs/>
        </w:rPr>
        <w:t>PGS</w:t>
      </w:r>
      <w:r w:rsidRPr="0029161C">
        <w:rPr>
          <w:b/>
          <w:bCs/>
        </w:rPr>
        <w:t>:</w:t>
      </w:r>
      <w:r w:rsidRPr="0029161C">
        <w:tab/>
      </w:r>
      <w:r w:rsidR="00E043D6">
        <w:rPr>
          <w:color w:val="000000"/>
          <w:kern w:val="2"/>
          <w:szCs w:val="22"/>
          <w14:ligatures w14:val="standardContextual"/>
        </w:rPr>
        <w:t>None. The 2023 Transaction adopted a commonly used business structure for Peoples and is prudent. It will sequester risks and allow Peoples to focus on providing safe and reliable gas service to customers and meet the growing demand for gas in Florida. The type of recurring incremental costs (audit fees, credit rating agency fees, interest expense) are the kind of expenses routinely incurred by regulated utilities and recovered through base rates. The level of projected short-term and long-term interest expense reflect the company’s forecasted, market-based borrowing costs on a stand-alone basis</w:t>
      </w:r>
      <w:r w:rsidR="00DB16F3">
        <w:rPr>
          <w:color w:val="000000"/>
          <w:kern w:val="2"/>
          <w:szCs w:val="22"/>
          <w14:ligatures w14:val="standardContextual"/>
        </w:rPr>
        <w:t>.</w:t>
      </w:r>
      <w:r w:rsidR="00E043D6" w:rsidRPr="00F71D16">
        <w:rPr>
          <w:color w:val="000000"/>
          <w:kern w:val="2"/>
          <w:szCs w:val="22"/>
          <w14:ligatures w14:val="standardContextual"/>
        </w:rPr>
        <w:t xml:space="preserve"> (Wesley, Parsons)</w:t>
      </w:r>
    </w:p>
    <w:p w14:paraId="5E932283" w14:textId="77777777" w:rsidR="00ED4B49" w:rsidRPr="0029161C" w:rsidRDefault="00ED4B49" w:rsidP="00ED4B49">
      <w:pPr>
        <w:jc w:val="both"/>
      </w:pPr>
    </w:p>
    <w:p w14:paraId="4D9FEF6E" w14:textId="77777777" w:rsidR="00ED4B49" w:rsidRDefault="00ED4B49" w:rsidP="00ED4B49">
      <w:pPr>
        <w:ind w:left="1440" w:hanging="1440"/>
        <w:jc w:val="both"/>
      </w:pPr>
      <w:r>
        <w:rPr>
          <w:b/>
          <w:bCs/>
        </w:rPr>
        <w:t>OPC</w:t>
      </w:r>
      <w:r w:rsidRPr="0029161C">
        <w:rPr>
          <w:b/>
          <w:bCs/>
        </w:rPr>
        <w:t>:</w:t>
      </w:r>
      <w:r>
        <w:tab/>
      </w:r>
      <w:r w:rsidR="003A0A44" w:rsidRPr="00844FDE">
        <w:t xml:space="preserve">The Commission should disallow all costs associated with the discretionary 2023 Transaction and reduce the requested revenue requirement by </w:t>
      </w:r>
      <w:r w:rsidR="003A0A44">
        <w:t>at least $9,699</w:t>
      </w:r>
      <w:r w:rsidR="003A0A44" w:rsidRPr="00844FDE">
        <w:t>,000. (Kollen)</w:t>
      </w:r>
    </w:p>
    <w:p w14:paraId="0BB121C3" w14:textId="77777777" w:rsidR="00ED4B49" w:rsidRDefault="00ED4B49" w:rsidP="00ED4B49">
      <w:pPr>
        <w:jc w:val="both"/>
      </w:pPr>
    </w:p>
    <w:p w14:paraId="2568DE4E" w14:textId="77777777" w:rsidR="00ED4B49" w:rsidRPr="00A4526E" w:rsidRDefault="00ED4B49" w:rsidP="00ED4B49">
      <w:pPr>
        <w:ind w:left="1440" w:hanging="1440"/>
        <w:jc w:val="both"/>
      </w:pPr>
      <w:r>
        <w:rPr>
          <w:b/>
        </w:rPr>
        <w:t>FIPUG:</w:t>
      </w:r>
      <w:r>
        <w:rPr>
          <w:b/>
        </w:rPr>
        <w:tab/>
      </w:r>
      <w:r w:rsidR="008E1978">
        <w:t>Adopt position of OPC.</w:t>
      </w:r>
    </w:p>
    <w:p w14:paraId="43250D1C" w14:textId="77777777" w:rsidR="00ED4B49" w:rsidRPr="0029161C" w:rsidRDefault="00ED4B49" w:rsidP="00ED4B49">
      <w:pPr>
        <w:jc w:val="both"/>
      </w:pPr>
    </w:p>
    <w:p w14:paraId="7F74BC8A"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3C720460" w14:textId="77777777" w:rsidR="00ED4B49" w:rsidRPr="0029161C" w:rsidRDefault="00ED4B49" w:rsidP="00ED4B49">
      <w:pPr>
        <w:jc w:val="both"/>
      </w:pPr>
    </w:p>
    <w:p w14:paraId="7D1EB5A8" w14:textId="77777777" w:rsidR="00ED4B49" w:rsidRPr="0029161C" w:rsidRDefault="00ED4B49" w:rsidP="00ED4B49">
      <w:pPr>
        <w:jc w:val="both"/>
      </w:pPr>
    </w:p>
    <w:p w14:paraId="0C15674D" w14:textId="3B52BD47" w:rsidR="00ED4B49" w:rsidRPr="00866FC8" w:rsidRDefault="00ED4B49">
      <w:pPr>
        <w:ind w:left="1440" w:hanging="1440"/>
        <w:jc w:val="both"/>
        <w:rPr>
          <w:b/>
          <w:bCs/>
        </w:rPr>
      </w:pPr>
      <w:r>
        <w:rPr>
          <w:b/>
          <w:bCs/>
        </w:rPr>
        <w:t>ISSUE 73</w:t>
      </w:r>
      <w:r w:rsidRPr="0029161C">
        <w:rPr>
          <w:b/>
          <w:bCs/>
        </w:rPr>
        <w:t>:</w:t>
      </w:r>
      <w:r w:rsidRPr="0029161C">
        <w:tab/>
      </w:r>
      <w:r w:rsidR="00866FC8">
        <w:rPr>
          <w:b/>
        </w:rPr>
        <w:t>DROPPED</w:t>
      </w:r>
    </w:p>
    <w:p w14:paraId="2C28BD81" w14:textId="77777777" w:rsidR="00ED4B49" w:rsidRPr="0029161C" w:rsidRDefault="00ED4B49" w:rsidP="00ED4B49">
      <w:pPr>
        <w:jc w:val="both"/>
      </w:pPr>
    </w:p>
    <w:p w14:paraId="31FAD11C" w14:textId="70343398" w:rsidR="00C810C8" w:rsidRDefault="00C810C8"/>
    <w:p w14:paraId="7E34F171" w14:textId="77777777" w:rsidR="00ED4B49" w:rsidRPr="0029161C" w:rsidRDefault="00ED4B49" w:rsidP="00ED4B49">
      <w:pPr>
        <w:ind w:left="1440" w:hanging="1440"/>
        <w:jc w:val="both"/>
      </w:pPr>
      <w:r>
        <w:rPr>
          <w:b/>
          <w:bCs/>
        </w:rPr>
        <w:t>ISSUE 74</w:t>
      </w:r>
      <w:r w:rsidRPr="0029161C">
        <w:rPr>
          <w:b/>
          <w:bCs/>
        </w:rPr>
        <w:t>:</w:t>
      </w:r>
      <w:r w:rsidRPr="0029161C">
        <w:tab/>
      </w:r>
      <w:r w:rsidR="004D4C00" w:rsidRPr="007F3475">
        <w:rPr>
          <w:b/>
        </w:rPr>
        <w:t>Should PGS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p>
    <w:p w14:paraId="501F66D3" w14:textId="77777777" w:rsidR="00ED4B49" w:rsidRPr="0029161C" w:rsidRDefault="00ED4B49" w:rsidP="00ED4B49">
      <w:pPr>
        <w:jc w:val="both"/>
      </w:pPr>
    </w:p>
    <w:p w14:paraId="5FB88058" w14:textId="77777777" w:rsidR="00ED4B49" w:rsidRPr="0029161C" w:rsidRDefault="00ED4B49" w:rsidP="00ED4B49">
      <w:pPr>
        <w:ind w:left="1440" w:hanging="1440"/>
        <w:jc w:val="both"/>
      </w:pPr>
      <w:r>
        <w:rPr>
          <w:b/>
          <w:bCs/>
        </w:rPr>
        <w:t>PGS</w:t>
      </w:r>
      <w:r w:rsidRPr="0029161C">
        <w:rPr>
          <w:b/>
          <w:bCs/>
        </w:rPr>
        <w:t>:</w:t>
      </w:r>
      <w:r w:rsidRPr="0029161C">
        <w:tab/>
      </w:r>
      <w:r w:rsidR="00E043D6">
        <w:rPr>
          <w:color w:val="000000"/>
          <w:kern w:val="2"/>
          <w:szCs w:val="22"/>
          <w14:ligatures w14:val="standardContextual"/>
        </w:rPr>
        <w:t xml:space="preserve">Yes. Peoples does not object to </w:t>
      </w:r>
      <w:r w:rsidR="00DB16F3">
        <w:rPr>
          <w:color w:val="000000"/>
          <w:kern w:val="2"/>
          <w:szCs w:val="22"/>
          <w14:ligatures w14:val="standardContextual"/>
        </w:rPr>
        <w:t>this</w:t>
      </w:r>
      <w:r w:rsidR="00E043D6">
        <w:rPr>
          <w:color w:val="000000"/>
          <w:kern w:val="2"/>
          <w:szCs w:val="22"/>
          <w14:ligatures w14:val="standardContextual"/>
        </w:rPr>
        <w:t xml:space="preserve"> requirement. </w:t>
      </w:r>
      <w:r w:rsidR="00E043D6" w:rsidRPr="00F71D16">
        <w:rPr>
          <w:color w:val="000000"/>
          <w:kern w:val="2"/>
          <w:szCs w:val="22"/>
          <w14:ligatures w14:val="standardContextual"/>
        </w:rPr>
        <w:t>(Parsons)</w:t>
      </w:r>
    </w:p>
    <w:p w14:paraId="4420AC0D" w14:textId="77777777" w:rsidR="00ED4B49" w:rsidRPr="0029161C" w:rsidRDefault="00ED4B49" w:rsidP="00ED4B49">
      <w:pPr>
        <w:jc w:val="both"/>
      </w:pPr>
    </w:p>
    <w:p w14:paraId="347540C5" w14:textId="77777777" w:rsidR="00ED4B49" w:rsidRDefault="00ED4B49" w:rsidP="00ED4B49">
      <w:pPr>
        <w:ind w:left="1440" w:hanging="1440"/>
        <w:jc w:val="both"/>
      </w:pPr>
      <w:r>
        <w:rPr>
          <w:b/>
          <w:bCs/>
        </w:rPr>
        <w:t>OPC</w:t>
      </w:r>
      <w:r w:rsidRPr="0029161C">
        <w:rPr>
          <w:b/>
          <w:bCs/>
        </w:rPr>
        <w:t>:</w:t>
      </w:r>
      <w:r>
        <w:tab/>
      </w:r>
      <w:r w:rsidR="003A0A44" w:rsidRPr="00557382">
        <w:t xml:space="preserve">Yes, the Commission should require PGS to file, within 90 days after the date of the final order in this docket, a description of all entries or adjustments to its </w:t>
      </w:r>
      <w:r w:rsidR="003A0A44" w:rsidRPr="00557382">
        <w:lastRenderedPageBreak/>
        <w:t>annual report, rate of return reports, and books and records which will be required as a result of the Commission’s findings in this rate case.</w:t>
      </w:r>
    </w:p>
    <w:p w14:paraId="11429B70" w14:textId="77777777" w:rsidR="00ED4B49" w:rsidRDefault="00ED4B49" w:rsidP="00ED4B49">
      <w:pPr>
        <w:jc w:val="both"/>
      </w:pPr>
    </w:p>
    <w:p w14:paraId="4351D14F" w14:textId="77777777" w:rsidR="00ED4B49" w:rsidRPr="00A4526E" w:rsidRDefault="00ED4B49" w:rsidP="00ED4B49">
      <w:pPr>
        <w:ind w:left="1440" w:hanging="1440"/>
        <w:jc w:val="both"/>
      </w:pPr>
      <w:r>
        <w:rPr>
          <w:b/>
        </w:rPr>
        <w:t>FIPUG:</w:t>
      </w:r>
      <w:r>
        <w:rPr>
          <w:b/>
        </w:rPr>
        <w:tab/>
      </w:r>
      <w:r w:rsidR="00A83287">
        <w:t>Adopt position of OPC.</w:t>
      </w:r>
    </w:p>
    <w:p w14:paraId="34D79153" w14:textId="77777777" w:rsidR="00ED4B49" w:rsidRPr="0029161C" w:rsidRDefault="00ED4B49" w:rsidP="00ED4B49">
      <w:pPr>
        <w:jc w:val="both"/>
      </w:pPr>
    </w:p>
    <w:p w14:paraId="4CEEFDE2" w14:textId="77777777" w:rsidR="00ED4B49" w:rsidRPr="0029161C" w:rsidRDefault="00ED4B49" w:rsidP="00ED4B49">
      <w:pPr>
        <w:ind w:left="1440" w:hanging="1440"/>
        <w:jc w:val="both"/>
        <w:rPr>
          <w:b/>
          <w:bCs/>
        </w:rPr>
      </w:pPr>
      <w:r w:rsidRPr="0029161C">
        <w:rPr>
          <w:b/>
          <w:bCs/>
        </w:rPr>
        <w:t>STAFF:</w:t>
      </w:r>
      <w:r w:rsidRPr="0029161C">
        <w:rPr>
          <w:b/>
          <w:bCs/>
        </w:rPr>
        <w:tab/>
      </w:r>
      <w:r w:rsidR="008B3A6B">
        <w:t>Staff has no position at this time.</w:t>
      </w:r>
    </w:p>
    <w:p w14:paraId="078EB40D" w14:textId="77777777" w:rsidR="00ED4B49" w:rsidRPr="0029161C" w:rsidRDefault="00ED4B49" w:rsidP="00ED4B49">
      <w:pPr>
        <w:jc w:val="both"/>
      </w:pPr>
    </w:p>
    <w:p w14:paraId="089E0E40" w14:textId="77777777" w:rsidR="00ED4B49" w:rsidRPr="0029161C" w:rsidRDefault="00ED4B49" w:rsidP="00ED4B49">
      <w:pPr>
        <w:jc w:val="both"/>
      </w:pPr>
    </w:p>
    <w:p w14:paraId="32955137" w14:textId="3D3E1A67" w:rsidR="00ED4B49" w:rsidRPr="0029161C" w:rsidRDefault="00ED4B49" w:rsidP="00ED4B49">
      <w:pPr>
        <w:ind w:left="1440" w:hanging="1440"/>
        <w:jc w:val="both"/>
      </w:pPr>
      <w:r>
        <w:rPr>
          <w:b/>
          <w:bCs/>
        </w:rPr>
        <w:t>ISSUE 75</w:t>
      </w:r>
      <w:r w:rsidRPr="0029161C">
        <w:rPr>
          <w:b/>
          <w:bCs/>
        </w:rPr>
        <w:t>:</w:t>
      </w:r>
      <w:r w:rsidRPr="0029161C">
        <w:tab/>
      </w:r>
      <w:r w:rsidR="004D4C00" w:rsidRPr="007F3475">
        <w:rPr>
          <w:b/>
        </w:rPr>
        <w:t>Should this docket be closed?</w:t>
      </w:r>
    </w:p>
    <w:p w14:paraId="25598C04" w14:textId="77777777" w:rsidR="00ED4B49" w:rsidRPr="0029161C" w:rsidRDefault="00ED4B49" w:rsidP="00ED4B49">
      <w:pPr>
        <w:jc w:val="both"/>
      </w:pPr>
    </w:p>
    <w:p w14:paraId="775D318B" w14:textId="77777777" w:rsidR="00ED4B49" w:rsidRPr="0029161C" w:rsidRDefault="00ED4B49" w:rsidP="00ED4B49">
      <w:pPr>
        <w:ind w:left="1440" w:hanging="1440"/>
        <w:jc w:val="both"/>
      </w:pPr>
      <w:r>
        <w:rPr>
          <w:b/>
          <w:bCs/>
        </w:rPr>
        <w:t>PGS</w:t>
      </w:r>
      <w:r w:rsidRPr="0029161C">
        <w:rPr>
          <w:b/>
          <w:bCs/>
        </w:rPr>
        <w:t>:</w:t>
      </w:r>
      <w:r w:rsidRPr="0029161C">
        <w:tab/>
      </w:r>
      <w:r w:rsidR="00E043D6" w:rsidRPr="00692EB2">
        <w:t>Yes.</w:t>
      </w:r>
      <w:r w:rsidR="00E043D6">
        <w:t xml:space="preserve"> This docket should be closed after the Commission has issued its final order and the time for filing an appeal has expired. (Legal)</w:t>
      </w:r>
    </w:p>
    <w:p w14:paraId="4D429543" w14:textId="77777777" w:rsidR="00ED4B49" w:rsidRPr="0029161C" w:rsidRDefault="00ED4B49" w:rsidP="00ED4B49">
      <w:pPr>
        <w:jc w:val="both"/>
      </w:pPr>
    </w:p>
    <w:p w14:paraId="0E64F73F" w14:textId="77777777" w:rsidR="00ED4B49" w:rsidRDefault="00ED4B49" w:rsidP="00ED4B49">
      <w:pPr>
        <w:ind w:left="1440" w:hanging="1440"/>
        <w:jc w:val="both"/>
      </w:pPr>
      <w:r>
        <w:rPr>
          <w:b/>
          <w:bCs/>
        </w:rPr>
        <w:t>OPC</w:t>
      </w:r>
      <w:r w:rsidRPr="0029161C">
        <w:rPr>
          <w:b/>
          <w:bCs/>
        </w:rPr>
        <w:t>:</w:t>
      </w:r>
      <w:r>
        <w:tab/>
      </w:r>
      <w:r w:rsidR="003A0A44" w:rsidRPr="003F0EFF">
        <w:t>No.</w:t>
      </w:r>
    </w:p>
    <w:p w14:paraId="526DDF70" w14:textId="77777777" w:rsidR="00ED4B49" w:rsidRDefault="00ED4B49" w:rsidP="00ED4B49">
      <w:pPr>
        <w:jc w:val="both"/>
      </w:pPr>
    </w:p>
    <w:p w14:paraId="5C21A454" w14:textId="77777777" w:rsidR="00ED4B49" w:rsidRPr="00A4526E" w:rsidRDefault="00ED4B49" w:rsidP="00ED4B49">
      <w:pPr>
        <w:ind w:left="1440" w:hanging="1440"/>
        <w:jc w:val="both"/>
      </w:pPr>
      <w:r>
        <w:rPr>
          <w:b/>
        </w:rPr>
        <w:t>FIPUG:</w:t>
      </w:r>
      <w:r>
        <w:rPr>
          <w:b/>
        </w:rPr>
        <w:tab/>
      </w:r>
      <w:r w:rsidR="00A83287">
        <w:rPr>
          <w:bCs/>
        </w:rPr>
        <w:t>Yes.</w:t>
      </w:r>
    </w:p>
    <w:p w14:paraId="11A9FFCA" w14:textId="77777777" w:rsidR="00ED4B49" w:rsidRPr="0029161C" w:rsidRDefault="00ED4B49" w:rsidP="00ED4B49">
      <w:pPr>
        <w:jc w:val="both"/>
      </w:pPr>
    </w:p>
    <w:p w14:paraId="41C6909F" w14:textId="71EEED99" w:rsidR="00ED4B49" w:rsidRDefault="00ED4B49" w:rsidP="00ED4B49">
      <w:pPr>
        <w:ind w:left="1440" w:hanging="1440"/>
        <w:jc w:val="both"/>
      </w:pPr>
      <w:r w:rsidRPr="0029161C">
        <w:rPr>
          <w:b/>
          <w:bCs/>
        </w:rPr>
        <w:t>STAFF:</w:t>
      </w:r>
      <w:r w:rsidRPr="0029161C">
        <w:rPr>
          <w:b/>
          <w:bCs/>
        </w:rPr>
        <w:tab/>
      </w:r>
      <w:r w:rsidR="008B3A6B">
        <w:t>Staff has no position at this time.</w:t>
      </w:r>
    </w:p>
    <w:p w14:paraId="761E02E3" w14:textId="77777777" w:rsidR="006F71EF" w:rsidRPr="0029161C" w:rsidRDefault="006F71EF" w:rsidP="00ED4B49">
      <w:pPr>
        <w:ind w:left="1440" w:hanging="1440"/>
        <w:jc w:val="both"/>
        <w:rPr>
          <w:b/>
          <w:bCs/>
        </w:rPr>
      </w:pPr>
    </w:p>
    <w:p w14:paraId="13B84D03" w14:textId="77777777" w:rsidR="0029161C" w:rsidRPr="0029161C" w:rsidRDefault="003D2F45" w:rsidP="0029161C">
      <w:pPr>
        <w:jc w:val="both"/>
        <w:rPr>
          <w:b/>
        </w:rPr>
      </w:pPr>
      <w:r>
        <w:rPr>
          <w:b/>
        </w:rPr>
        <w:t>I</w:t>
      </w:r>
      <w:r w:rsidR="0029161C" w:rsidRPr="0029161C">
        <w:rPr>
          <w:b/>
        </w:rPr>
        <w:t>X.</w:t>
      </w:r>
      <w:r w:rsidR="0029161C" w:rsidRPr="0029161C">
        <w:rPr>
          <w:b/>
        </w:rPr>
        <w:tab/>
      </w:r>
      <w:r w:rsidR="0029161C" w:rsidRPr="0029161C">
        <w:rPr>
          <w:b/>
          <w:u w:val="single"/>
        </w:rPr>
        <w:t>EXHIBIT LIST</w:t>
      </w:r>
    </w:p>
    <w:p w14:paraId="206F288F" w14:textId="77777777" w:rsidR="0029161C" w:rsidRPr="0029161C" w:rsidRDefault="0029161C" w:rsidP="0029161C">
      <w:pPr>
        <w:jc w:val="both"/>
      </w:pPr>
    </w:p>
    <w:tbl>
      <w:tblPr>
        <w:tblW w:w="9540" w:type="dxa"/>
        <w:tblInd w:w="30" w:type="dxa"/>
        <w:tblLayout w:type="fixed"/>
        <w:tblCellMar>
          <w:top w:w="86" w:type="dxa"/>
          <w:left w:w="120" w:type="dxa"/>
          <w:bottom w:w="72" w:type="dxa"/>
          <w:right w:w="120" w:type="dxa"/>
        </w:tblCellMar>
        <w:tblLook w:val="0000" w:firstRow="0" w:lastRow="0" w:firstColumn="0" w:lastColumn="0" w:noHBand="0" w:noVBand="0"/>
      </w:tblPr>
      <w:tblGrid>
        <w:gridCol w:w="2610"/>
        <w:gridCol w:w="1530"/>
        <w:gridCol w:w="1350"/>
        <w:gridCol w:w="4050"/>
      </w:tblGrid>
      <w:tr w:rsidR="0029161C" w:rsidRPr="0029161C" w14:paraId="34E80704" w14:textId="77777777" w:rsidTr="009D68D5">
        <w:trPr>
          <w:trHeight w:val="373"/>
          <w:tblHeader/>
        </w:trPr>
        <w:tc>
          <w:tcPr>
            <w:tcW w:w="2610" w:type="dxa"/>
            <w:tcBorders>
              <w:top w:val="single" w:sz="4" w:space="0" w:color="auto"/>
              <w:left w:val="single" w:sz="4" w:space="0" w:color="auto"/>
              <w:bottom w:val="single" w:sz="4" w:space="0" w:color="auto"/>
              <w:right w:val="single" w:sz="4" w:space="0" w:color="auto"/>
            </w:tcBorders>
          </w:tcPr>
          <w:p w14:paraId="6373BFD4" w14:textId="77777777" w:rsidR="0029161C" w:rsidRPr="0029161C" w:rsidRDefault="0029161C" w:rsidP="0029161C">
            <w:pPr>
              <w:jc w:val="both"/>
            </w:pPr>
            <w:r w:rsidRPr="0029161C">
              <w:rPr>
                <w:u w:val="single"/>
              </w:rPr>
              <w:t>Witness</w:t>
            </w:r>
          </w:p>
        </w:tc>
        <w:tc>
          <w:tcPr>
            <w:tcW w:w="1530" w:type="dxa"/>
            <w:tcBorders>
              <w:top w:val="single" w:sz="4" w:space="0" w:color="auto"/>
              <w:left w:val="single" w:sz="4" w:space="0" w:color="auto"/>
              <w:bottom w:val="single" w:sz="4" w:space="0" w:color="auto"/>
              <w:right w:val="single" w:sz="4" w:space="0" w:color="auto"/>
            </w:tcBorders>
          </w:tcPr>
          <w:p w14:paraId="6A930599" w14:textId="77777777" w:rsidR="0029161C" w:rsidRPr="0029161C" w:rsidRDefault="0029161C" w:rsidP="0029161C">
            <w:pPr>
              <w:jc w:val="center"/>
            </w:pPr>
            <w:r w:rsidRPr="0029161C">
              <w:rPr>
                <w:u w:val="single"/>
              </w:rPr>
              <w:t>Proffered By</w:t>
            </w:r>
          </w:p>
        </w:tc>
        <w:tc>
          <w:tcPr>
            <w:tcW w:w="1350" w:type="dxa"/>
            <w:tcBorders>
              <w:top w:val="single" w:sz="4" w:space="0" w:color="auto"/>
              <w:left w:val="single" w:sz="4" w:space="0" w:color="auto"/>
              <w:bottom w:val="single" w:sz="4" w:space="0" w:color="auto"/>
              <w:right w:val="single" w:sz="4" w:space="0" w:color="auto"/>
            </w:tcBorders>
          </w:tcPr>
          <w:p w14:paraId="254AB9C4" w14:textId="77777777" w:rsidR="0029161C" w:rsidRPr="0029161C" w:rsidRDefault="00162299" w:rsidP="0029161C">
            <w:pPr>
              <w:jc w:val="center"/>
            </w:pPr>
            <w:r>
              <w:t>Exhibit</w:t>
            </w:r>
          </w:p>
        </w:tc>
        <w:tc>
          <w:tcPr>
            <w:tcW w:w="4050" w:type="dxa"/>
            <w:tcBorders>
              <w:top w:val="single" w:sz="4" w:space="0" w:color="auto"/>
              <w:left w:val="single" w:sz="4" w:space="0" w:color="auto"/>
              <w:bottom w:val="single" w:sz="4" w:space="0" w:color="auto"/>
              <w:right w:val="single" w:sz="4" w:space="0" w:color="auto"/>
            </w:tcBorders>
          </w:tcPr>
          <w:p w14:paraId="3EC55F5B" w14:textId="77777777" w:rsidR="0029161C" w:rsidRPr="0029161C" w:rsidRDefault="0029161C" w:rsidP="0029161C">
            <w:pPr>
              <w:jc w:val="both"/>
            </w:pPr>
            <w:r w:rsidRPr="0029161C">
              <w:rPr>
                <w:u w:val="single"/>
              </w:rPr>
              <w:t>Description</w:t>
            </w:r>
          </w:p>
        </w:tc>
      </w:tr>
      <w:tr w:rsidR="00525434" w:rsidRPr="0029161C" w14:paraId="7EA49212" w14:textId="77777777" w:rsidTr="009D68D5">
        <w:trPr>
          <w:trHeight w:val="353"/>
        </w:trPr>
        <w:tc>
          <w:tcPr>
            <w:tcW w:w="9540" w:type="dxa"/>
            <w:gridSpan w:val="4"/>
            <w:tcBorders>
              <w:top w:val="single" w:sz="4" w:space="0" w:color="auto"/>
              <w:left w:val="single" w:sz="4" w:space="0" w:color="auto"/>
              <w:bottom w:val="single" w:sz="4" w:space="0" w:color="auto"/>
              <w:right w:val="single" w:sz="4" w:space="0" w:color="auto"/>
            </w:tcBorders>
          </w:tcPr>
          <w:p w14:paraId="4461FFF1" w14:textId="77777777" w:rsidR="00525434" w:rsidRPr="0029161C" w:rsidRDefault="00525434" w:rsidP="0029161C">
            <w:r w:rsidRPr="0029161C">
              <w:tab/>
            </w:r>
            <w:r w:rsidRPr="0029161C">
              <w:rPr>
                <w:u w:val="single"/>
              </w:rPr>
              <w:t>Direct</w:t>
            </w:r>
          </w:p>
        </w:tc>
      </w:tr>
      <w:tr w:rsidR="00E17D45" w:rsidRPr="0029161C" w14:paraId="1E7D85B3"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0A84AE5C" w14:textId="77777777" w:rsidR="00E17D45" w:rsidRPr="0029161C" w:rsidRDefault="00E17D45" w:rsidP="00E17D45">
            <w:pPr>
              <w:jc w:val="both"/>
            </w:pPr>
            <w:r>
              <w:rPr>
                <w:rFonts w:cs="Arial"/>
                <w:spacing w:val="-3"/>
              </w:rPr>
              <w:t>Helen J. Wesley</w:t>
            </w:r>
          </w:p>
        </w:tc>
        <w:tc>
          <w:tcPr>
            <w:tcW w:w="1530" w:type="dxa"/>
            <w:tcBorders>
              <w:top w:val="single" w:sz="4" w:space="0" w:color="auto"/>
              <w:left w:val="single" w:sz="4" w:space="0" w:color="auto"/>
              <w:bottom w:val="single" w:sz="4" w:space="0" w:color="auto"/>
              <w:right w:val="single" w:sz="4" w:space="0" w:color="auto"/>
            </w:tcBorders>
          </w:tcPr>
          <w:p w14:paraId="1F21AF9A" w14:textId="77777777" w:rsidR="00E17D45" w:rsidRPr="0029161C" w:rsidRDefault="00E17D45"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6A5A78EA" w14:textId="77777777" w:rsidR="00525434" w:rsidRPr="0029161C" w:rsidRDefault="00E17D45" w:rsidP="00E17D45">
            <w:pPr>
              <w:jc w:val="center"/>
            </w:pPr>
            <w:r>
              <w:t>HJW-1</w:t>
            </w:r>
          </w:p>
        </w:tc>
        <w:tc>
          <w:tcPr>
            <w:tcW w:w="4050" w:type="dxa"/>
            <w:tcBorders>
              <w:top w:val="single" w:sz="4" w:space="0" w:color="auto"/>
              <w:left w:val="single" w:sz="4" w:space="0" w:color="auto"/>
              <w:bottom w:val="single" w:sz="4" w:space="0" w:color="auto"/>
              <w:right w:val="single" w:sz="4" w:space="0" w:color="auto"/>
            </w:tcBorders>
            <w:vAlign w:val="center"/>
          </w:tcPr>
          <w:p w14:paraId="2BDD9E46" w14:textId="77777777" w:rsidR="00E17D45" w:rsidRPr="00042441" w:rsidRDefault="00042441" w:rsidP="00042441">
            <w:pPr>
              <w:tabs>
                <w:tab w:val="left" w:pos="475"/>
                <w:tab w:val="left" w:pos="1195"/>
                <w:tab w:val="left" w:pos="1915"/>
                <w:tab w:val="left" w:pos="3355"/>
                <w:tab w:val="left" w:pos="4507"/>
                <w:tab w:val="left" w:pos="5515"/>
                <w:tab w:val="left" w:pos="6955"/>
                <w:tab w:val="left" w:pos="9115"/>
              </w:tabs>
              <w:suppressAutoHyphens/>
              <w:rPr>
                <w:rFonts w:cs="Arial"/>
              </w:rPr>
            </w:pPr>
            <w:r w:rsidRPr="00042441">
              <w:rPr>
                <w:rFonts w:cs="Arial"/>
              </w:rPr>
              <w:t>1.</w:t>
            </w:r>
            <w:r>
              <w:rPr>
                <w:rFonts w:cs="Arial"/>
              </w:rPr>
              <w:t xml:space="preserve"> </w:t>
            </w:r>
            <w:r w:rsidRPr="00042441">
              <w:rPr>
                <w:rFonts w:cs="Arial"/>
              </w:rPr>
              <w:t xml:space="preserve"> </w:t>
            </w:r>
            <w:r w:rsidR="00E17D45" w:rsidRPr="00042441">
              <w:rPr>
                <w:rFonts w:cs="Arial"/>
              </w:rPr>
              <w:t>List of Witnesses</w:t>
            </w:r>
          </w:p>
          <w:p w14:paraId="700DA12B" w14:textId="77777777" w:rsidR="00E17D45" w:rsidRPr="00042441" w:rsidRDefault="00042441" w:rsidP="00042441">
            <w:pPr>
              <w:tabs>
                <w:tab w:val="left" w:pos="475"/>
                <w:tab w:val="left" w:pos="1195"/>
                <w:tab w:val="left" w:pos="1915"/>
                <w:tab w:val="left" w:pos="3355"/>
                <w:tab w:val="left" w:pos="4507"/>
                <w:tab w:val="left" w:pos="5515"/>
                <w:tab w:val="left" w:pos="6955"/>
                <w:tab w:val="left" w:pos="9115"/>
              </w:tabs>
              <w:suppressAutoHyphens/>
              <w:rPr>
                <w:rFonts w:cs="Arial"/>
              </w:rPr>
            </w:pPr>
            <w:r>
              <w:rPr>
                <w:rFonts w:cs="Arial"/>
              </w:rPr>
              <w:t xml:space="preserve">2. </w:t>
            </w:r>
            <w:r w:rsidRPr="00042441">
              <w:rPr>
                <w:rFonts w:cs="Arial"/>
              </w:rPr>
              <w:t xml:space="preserve"> </w:t>
            </w:r>
            <w:r w:rsidR="00E17D45" w:rsidRPr="00042441">
              <w:rPr>
                <w:rFonts w:cs="Arial"/>
              </w:rPr>
              <w:t>MFRs Sponsored</w:t>
            </w:r>
          </w:p>
          <w:p w14:paraId="55ECE23C" w14:textId="77777777" w:rsidR="00E17D45" w:rsidRPr="00042441" w:rsidRDefault="00042441" w:rsidP="00042441">
            <w:pPr>
              <w:tabs>
                <w:tab w:val="left" w:pos="475"/>
                <w:tab w:val="left" w:pos="1195"/>
                <w:tab w:val="left" w:pos="1915"/>
                <w:tab w:val="left" w:pos="3355"/>
                <w:tab w:val="left" w:pos="4507"/>
                <w:tab w:val="left" w:pos="5515"/>
                <w:tab w:val="left" w:pos="6955"/>
                <w:tab w:val="left" w:pos="9115"/>
              </w:tabs>
              <w:suppressAutoHyphens/>
              <w:rPr>
                <w:rFonts w:cs="Arial"/>
              </w:rPr>
            </w:pPr>
            <w:r>
              <w:rPr>
                <w:rFonts w:cs="Arial"/>
              </w:rPr>
              <w:t xml:space="preserve">3. </w:t>
            </w:r>
            <w:r w:rsidRPr="00042441">
              <w:rPr>
                <w:rFonts w:cs="Arial"/>
              </w:rPr>
              <w:t xml:space="preserve"> </w:t>
            </w:r>
            <w:r w:rsidR="00E17D45" w:rsidRPr="00042441">
              <w:rPr>
                <w:rFonts w:cs="Arial"/>
              </w:rPr>
              <w:t>Peoples System Map</w:t>
            </w:r>
          </w:p>
          <w:p w14:paraId="7BAFFC1F" w14:textId="77777777" w:rsidR="00E17D45" w:rsidRPr="00042441" w:rsidRDefault="00042441" w:rsidP="00042441">
            <w:pPr>
              <w:tabs>
                <w:tab w:val="left" w:pos="475"/>
                <w:tab w:val="left" w:pos="1195"/>
                <w:tab w:val="left" w:pos="1915"/>
                <w:tab w:val="left" w:pos="3355"/>
                <w:tab w:val="left" w:pos="4507"/>
                <w:tab w:val="left" w:pos="5515"/>
                <w:tab w:val="left" w:pos="6955"/>
                <w:tab w:val="left" w:pos="9115"/>
              </w:tabs>
              <w:suppressAutoHyphens/>
              <w:rPr>
                <w:rFonts w:cs="Arial"/>
              </w:rPr>
            </w:pPr>
            <w:r>
              <w:rPr>
                <w:rFonts w:cs="Arial"/>
              </w:rPr>
              <w:t xml:space="preserve">4. </w:t>
            </w:r>
            <w:r w:rsidRPr="00042441">
              <w:rPr>
                <w:rFonts w:cs="Arial"/>
              </w:rPr>
              <w:t xml:space="preserve"> </w:t>
            </w:r>
            <w:r w:rsidR="00E17D45" w:rsidRPr="00042441">
              <w:rPr>
                <w:rFonts w:cs="Arial"/>
              </w:rPr>
              <w:t>Corporate Structure Diagram</w:t>
            </w:r>
          </w:p>
          <w:p w14:paraId="296839C8" w14:textId="77777777" w:rsidR="00525434" w:rsidRPr="00042441" w:rsidRDefault="00042441" w:rsidP="00042441">
            <w:pPr>
              <w:tabs>
                <w:tab w:val="left" w:pos="475"/>
                <w:tab w:val="left" w:pos="1195"/>
                <w:tab w:val="left" w:pos="1915"/>
                <w:tab w:val="left" w:pos="3355"/>
                <w:tab w:val="left" w:pos="4507"/>
                <w:tab w:val="left" w:pos="5515"/>
                <w:tab w:val="left" w:pos="6955"/>
                <w:tab w:val="left" w:pos="9115"/>
              </w:tabs>
              <w:suppressAutoHyphens/>
              <w:rPr>
                <w:rFonts w:cs="Arial"/>
              </w:rPr>
            </w:pPr>
            <w:r>
              <w:rPr>
                <w:rFonts w:cs="Arial"/>
              </w:rPr>
              <w:t xml:space="preserve">5. </w:t>
            </w:r>
            <w:r w:rsidRPr="00042441">
              <w:rPr>
                <w:rFonts w:cs="Arial"/>
              </w:rPr>
              <w:t xml:space="preserve"> </w:t>
            </w:r>
            <w:r w:rsidR="00E17D45" w:rsidRPr="00042441">
              <w:rPr>
                <w:rFonts w:cs="Arial"/>
              </w:rPr>
              <w:t>Projected Impact of Proposed Increase on Typical Residential Bills</w:t>
            </w:r>
          </w:p>
        </w:tc>
      </w:tr>
      <w:tr w:rsidR="00E17D45" w:rsidRPr="0029161C" w14:paraId="241A056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07EE7E9" w14:textId="77777777" w:rsidR="00E17D45" w:rsidRPr="0029161C" w:rsidRDefault="00042441" w:rsidP="00E17D45">
            <w:pPr>
              <w:jc w:val="both"/>
            </w:pPr>
            <w:r>
              <w:rPr>
                <w:rFonts w:cs="Arial"/>
                <w:spacing w:val="-3"/>
              </w:rPr>
              <w:t>Karen K. Sparkman</w:t>
            </w:r>
          </w:p>
        </w:tc>
        <w:tc>
          <w:tcPr>
            <w:tcW w:w="1530" w:type="dxa"/>
            <w:tcBorders>
              <w:top w:val="single" w:sz="4" w:space="0" w:color="auto"/>
              <w:left w:val="single" w:sz="4" w:space="0" w:color="auto"/>
              <w:bottom w:val="single" w:sz="4" w:space="0" w:color="auto"/>
              <w:right w:val="single" w:sz="4" w:space="0" w:color="auto"/>
            </w:tcBorders>
          </w:tcPr>
          <w:p w14:paraId="2F93C537" w14:textId="77777777" w:rsidR="00E17D45" w:rsidRPr="0029161C" w:rsidRDefault="00042441"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53019437" w14:textId="77777777" w:rsidR="00E17D45" w:rsidRPr="0029161C" w:rsidRDefault="00042441" w:rsidP="00E17D45">
            <w:pPr>
              <w:jc w:val="center"/>
            </w:pPr>
            <w:r>
              <w:t>KKS-1</w:t>
            </w:r>
          </w:p>
        </w:tc>
        <w:tc>
          <w:tcPr>
            <w:tcW w:w="4050" w:type="dxa"/>
            <w:tcBorders>
              <w:top w:val="single" w:sz="4" w:space="0" w:color="auto"/>
              <w:left w:val="single" w:sz="4" w:space="0" w:color="auto"/>
              <w:bottom w:val="single" w:sz="4" w:space="0" w:color="auto"/>
              <w:right w:val="single" w:sz="4" w:space="0" w:color="auto"/>
            </w:tcBorders>
          </w:tcPr>
          <w:p w14:paraId="7E9FD586" w14:textId="77777777" w:rsidR="00042441" w:rsidRDefault="00042441" w:rsidP="00042441">
            <w:r>
              <w:t>1.  MFRs Sponsored</w:t>
            </w:r>
          </w:p>
          <w:p w14:paraId="54CF63D3" w14:textId="77777777" w:rsidR="00042441" w:rsidRDefault="00042441" w:rsidP="00042441">
            <w:r>
              <w:t>2.  JD Power Study Highlights</w:t>
            </w:r>
          </w:p>
          <w:p w14:paraId="33357018" w14:textId="77777777" w:rsidR="00E17D45" w:rsidRPr="0029161C" w:rsidRDefault="00042441" w:rsidP="00042441">
            <w:r>
              <w:t>3.  TECO Peoples Gas Awards</w:t>
            </w:r>
          </w:p>
        </w:tc>
      </w:tr>
      <w:tr w:rsidR="00E17D45" w:rsidRPr="0029161C" w14:paraId="43C02CA8"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154E6BEF" w14:textId="77777777" w:rsidR="00E17D45" w:rsidRPr="0029161C" w:rsidRDefault="00585FD7" w:rsidP="00E17D45">
            <w:pPr>
              <w:jc w:val="both"/>
            </w:pPr>
            <w:r>
              <w:rPr>
                <w:rFonts w:cs="Arial"/>
                <w:spacing w:val="-3"/>
              </w:rPr>
              <w:t>Timothy O’Connor</w:t>
            </w:r>
          </w:p>
        </w:tc>
        <w:tc>
          <w:tcPr>
            <w:tcW w:w="1530" w:type="dxa"/>
            <w:tcBorders>
              <w:top w:val="single" w:sz="4" w:space="0" w:color="auto"/>
              <w:left w:val="single" w:sz="4" w:space="0" w:color="auto"/>
              <w:bottom w:val="single" w:sz="4" w:space="0" w:color="auto"/>
              <w:right w:val="single" w:sz="4" w:space="0" w:color="auto"/>
            </w:tcBorders>
          </w:tcPr>
          <w:p w14:paraId="7C8F5AAE" w14:textId="77777777" w:rsidR="00E17D45" w:rsidRPr="0029161C" w:rsidRDefault="00585FD7"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2296C185" w14:textId="77777777" w:rsidR="00525434" w:rsidRPr="0029161C" w:rsidRDefault="00585FD7" w:rsidP="00E17D45">
            <w:pPr>
              <w:jc w:val="center"/>
            </w:pPr>
            <w:r>
              <w:t>TO-1</w:t>
            </w:r>
          </w:p>
        </w:tc>
        <w:tc>
          <w:tcPr>
            <w:tcW w:w="4050" w:type="dxa"/>
            <w:tcBorders>
              <w:top w:val="single" w:sz="4" w:space="0" w:color="auto"/>
              <w:left w:val="single" w:sz="4" w:space="0" w:color="auto"/>
              <w:bottom w:val="single" w:sz="4" w:space="0" w:color="auto"/>
              <w:right w:val="single" w:sz="4" w:space="0" w:color="auto"/>
            </w:tcBorders>
          </w:tcPr>
          <w:p w14:paraId="0C8ACBFC" w14:textId="77777777" w:rsidR="00525434" w:rsidRPr="0029161C" w:rsidRDefault="00585FD7" w:rsidP="00E17D45">
            <w:r>
              <w:rPr>
                <w:rFonts w:cs="Arial"/>
                <w:spacing w:val="-3"/>
              </w:rPr>
              <w:t>MFRs Sponsored</w:t>
            </w:r>
          </w:p>
        </w:tc>
      </w:tr>
      <w:tr w:rsidR="00E17D45" w:rsidRPr="0029161C" w14:paraId="35795B86"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3E7E0605" w14:textId="77777777" w:rsidR="00E17D45" w:rsidRPr="0029161C" w:rsidRDefault="00585FD7" w:rsidP="00E17D45">
            <w:pPr>
              <w:jc w:val="both"/>
            </w:pPr>
            <w:r>
              <w:rPr>
                <w:rFonts w:cs="Arial"/>
                <w:spacing w:val="-3"/>
              </w:rPr>
              <w:t>Lew Rutkin, Jr.</w:t>
            </w:r>
          </w:p>
        </w:tc>
        <w:tc>
          <w:tcPr>
            <w:tcW w:w="1530" w:type="dxa"/>
            <w:tcBorders>
              <w:top w:val="single" w:sz="4" w:space="0" w:color="auto"/>
              <w:left w:val="single" w:sz="4" w:space="0" w:color="auto"/>
              <w:bottom w:val="single" w:sz="4" w:space="0" w:color="auto"/>
              <w:right w:val="single" w:sz="4" w:space="0" w:color="auto"/>
            </w:tcBorders>
          </w:tcPr>
          <w:p w14:paraId="03B9B142" w14:textId="77777777" w:rsidR="00E17D45" w:rsidRPr="0029161C" w:rsidRDefault="00585FD7" w:rsidP="00585FD7">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05D1D060" w14:textId="77777777" w:rsidR="00E17D45" w:rsidRPr="0029161C" w:rsidRDefault="00585FD7" w:rsidP="00E17D45">
            <w:pPr>
              <w:jc w:val="center"/>
            </w:pPr>
            <w:r>
              <w:t>LR-1</w:t>
            </w:r>
          </w:p>
        </w:tc>
        <w:tc>
          <w:tcPr>
            <w:tcW w:w="4050" w:type="dxa"/>
            <w:tcBorders>
              <w:top w:val="single" w:sz="4" w:space="0" w:color="auto"/>
              <w:left w:val="single" w:sz="4" w:space="0" w:color="auto"/>
              <w:bottom w:val="single" w:sz="4" w:space="0" w:color="auto"/>
              <w:right w:val="single" w:sz="4" w:space="0" w:color="auto"/>
            </w:tcBorders>
          </w:tcPr>
          <w:p w14:paraId="5D33AA78" w14:textId="77777777" w:rsidR="00585FD7" w:rsidRDefault="00585FD7" w:rsidP="00585FD7">
            <w:pPr>
              <w:pStyle w:val="ListParagraph"/>
              <w:tabs>
                <w:tab w:val="left" w:pos="475"/>
                <w:tab w:val="left" w:pos="1195"/>
                <w:tab w:val="left" w:pos="1915"/>
                <w:tab w:val="left" w:pos="3355"/>
                <w:tab w:val="left" w:pos="4507"/>
                <w:tab w:val="left" w:pos="5515"/>
                <w:tab w:val="left" w:pos="6955"/>
                <w:tab w:val="left" w:pos="9115"/>
              </w:tabs>
              <w:suppressAutoHyphens/>
              <w:ind w:left="0"/>
              <w:jc w:val="left"/>
              <w:rPr>
                <w:rFonts w:cs="Arial"/>
                <w:spacing w:val="-3"/>
                <w:szCs w:val="24"/>
              </w:rPr>
            </w:pPr>
            <w:r>
              <w:rPr>
                <w:rFonts w:cs="Arial"/>
                <w:spacing w:val="-3"/>
                <w:szCs w:val="24"/>
              </w:rPr>
              <w:t>1.  MFRs Sponsored</w:t>
            </w:r>
          </w:p>
          <w:p w14:paraId="221FB542" w14:textId="77777777" w:rsidR="00E17D45" w:rsidRPr="0029161C" w:rsidRDefault="00585FD7" w:rsidP="00585FD7">
            <w:r>
              <w:rPr>
                <w:rFonts w:cs="Arial"/>
                <w:spacing w:val="-3"/>
              </w:rPr>
              <w:t>2.  RNG Materials</w:t>
            </w:r>
          </w:p>
        </w:tc>
      </w:tr>
      <w:tr w:rsidR="00E17D45" w:rsidRPr="0029161C" w14:paraId="26E0BF90"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BB90683" w14:textId="77777777" w:rsidR="00E17D45" w:rsidRPr="0029161C" w:rsidRDefault="00585FD7" w:rsidP="00E17D45">
            <w:pPr>
              <w:jc w:val="both"/>
            </w:pPr>
            <w:r>
              <w:rPr>
                <w:rFonts w:cs="Arial"/>
                <w:spacing w:val="-3"/>
              </w:rPr>
              <w:t>Christian C. Richard</w:t>
            </w:r>
          </w:p>
        </w:tc>
        <w:tc>
          <w:tcPr>
            <w:tcW w:w="1530" w:type="dxa"/>
            <w:tcBorders>
              <w:top w:val="single" w:sz="4" w:space="0" w:color="auto"/>
              <w:left w:val="single" w:sz="4" w:space="0" w:color="auto"/>
              <w:bottom w:val="single" w:sz="4" w:space="0" w:color="auto"/>
              <w:right w:val="single" w:sz="4" w:space="0" w:color="auto"/>
            </w:tcBorders>
          </w:tcPr>
          <w:p w14:paraId="543B9978" w14:textId="77777777" w:rsidR="00E17D45" w:rsidRPr="0029161C" w:rsidRDefault="00585FD7"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0D7B6E2F" w14:textId="77777777" w:rsidR="00525434" w:rsidRPr="0029161C" w:rsidRDefault="00585FD7" w:rsidP="00E17D45">
            <w:pPr>
              <w:jc w:val="center"/>
            </w:pPr>
            <w:r>
              <w:t>CCR-1</w:t>
            </w:r>
          </w:p>
        </w:tc>
        <w:tc>
          <w:tcPr>
            <w:tcW w:w="4050" w:type="dxa"/>
            <w:tcBorders>
              <w:top w:val="single" w:sz="4" w:space="0" w:color="auto"/>
              <w:left w:val="single" w:sz="4" w:space="0" w:color="auto"/>
              <w:bottom w:val="single" w:sz="4" w:space="0" w:color="auto"/>
              <w:right w:val="single" w:sz="4" w:space="0" w:color="auto"/>
            </w:tcBorders>
          </w:tcPr>
          <w:p w14:paraId="533EAF87" w14:textId="77777777" w:rsidR="00525434" w:rsidRPr="0029161C" w:rsidRDefault="00585FD7" w:rsidP="00E17D45">
            <w:r>
              <w:rPr>
                <w:rFonts w:cs="Arial"/>
                <w:spacing w:val="-3"/>
              </w:rPr>
              <w:t>MFRs Sponsored</w:t>
            </w:r>
          </w:p>
        </w:tc>
      </w:tr>
      <w:tr w:rsidR="00E17D45" w:rsidRPr="0029161C" w14:paraId="04184B22"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1721B1E9" w14:textId="77777777" w:rsidR="00E17D45" w:rsidRPr="0029161C" w:rsidRDefault="00585FD7" w:rsidP="00E17D45">
            <w:pPr>
              <w:jc w:val="both"/>
            </w:pPr>
            <w:r>
              <w:rPr>
                <w:rFonts w:cs="Arial"/>
                <w:spacing w:val="-3"/>
              </w:rPr>
              <w:t>Donna L. Bluestone</w:t>
            </w:r>
          </w:p>
        </w:tc>
        <w:tc>
          <w:tcPr>
            <w:tcW w:w="1530" w:type="dxa"/>
            <w:tcBorders>
              <w:top w:val="single" w:sz="4" w:space="0" w:color="auto"/>
              <w:left w:val="single" w:sz="4" w:space="0" w:color="auto"/>
              <w:bottom w:val="single" w:sz="4" w:space="0" w:color="auto"/>
              <w:right w:val="single" w:sz="4" w:space="0" w:color="auto"/>
            </w:tcBorders>
          </w:tcPr>
          <w:p w14:paraId="02B2ECC6" w14:textId="77777777" w:rsidR="00E17D45" w:rsidRPr="0029161C" w:rsidRDefault="00585FD7"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25321317" w14:textId="77777777" w:rsidR="00525434" w:rsidRPr="0029161C" w:rsidRDefault="00585FD7" w:rsidP="00E17D45">
            <w:pPr>
              <w:jc w:val="center"/>
            </w:pPr>
            <w:r>
              <w:t>DLB-1</w:t>
            </w:r>
          </w:p>
        </w:tc>
        <w:tc>
          <w:tcPr>
            <w:tcW w:w="4050" w:type="dxa"/>
            <w:tcBorders>
              <w:top w:val="single" w:sz="4" w:space="0" w:color="auto"/>
              <w:left w:val="single" w:sz="4" w:space="0" w:color="auto"/>
              <w:bottom w:val="single" w:sz="4" w:space="0" w:color="auto"/>
              <w:right w:val="single" w:sz="4" w:space="0" w:color="auto"/>
            </w:tcBorders>
          </w:tcPr>
          <w:p w14:paraId="0D1324D0" w14:textId="77777777"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1.  MFRs Sponsored</w:t>
            </w:r>
          </w:p>
          <w:p w14:paraId="327806AC" w14:textId="77777777"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2. Union Base Wage Adjustments (2020-22)</w:t>
            </w:r>
          </w:p>
          <w:p w14:paraId="41A4B66C" w14:textId="7B98E8D8"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lastRenderedPageBreak/>
              <w:t xml:space="preserve">3. </w:t>
            </w:r>
            <w:r w:rsidR="006F71EF">
              <w:rPr>
                <w:rFonts w:cs="Arial"/>
                <w:spacing w:val="-3"/>
              </w:rPr>
              <w:t xml:space="preserve"> </w:t>
            </w:r>
            <w:r>
              <w:rPr>
                <w:rFonts w:cs="Arial"/>
                <w:spacing w:val="-3"/>
              </w:rPr>
              <w:t>Cost of Living and Cost of Labor Analysis</w:t>
            </w:r>
          </w:p>
          <w:p w14:paraId="66F72114" w14:textId="495F366E"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6F71EF">
              <w:rPr>
                <w:rFonts w:cs="Arial"/>
                <w:spacing w:val="-3"/>
              </w:rPr>
              <w:t xml:space="preserve"> </w:t>
            </w:r>
            <w:r>
              <w:rPr>
                <w:rFonts w:cs="Arial"/>
                <w:spacing w:val="-3"/>
              </w:rPr>
              <w:t>Average Base Salary Compa-Ratio</w:t>
            </w:r>
          </w:p>
          <w:p w14:paraId="31BCDFEC" w14:textId="675F5F9E"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6F71EF">
              <w:rPr>
                <w:rFonts w:cs="Arial"/>
                <w:spacing w:val="-3"/>
              </w:rPr>
              <w:t xml:space="preserve"> </w:t>
            </w:r>
            <w:r>
              <w:rPr>
                <w:rFonts w:cs="Arial"/>
                <w:spacing w:val="-3"/>
              </w:rPr>
              <w:t>Salary Budget History 2019-2023</w:t>
            </w:r>
          </w:p>
          <w:p w14:paraId="35E72A8A" w14:textId="0947B377"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6F71EF">
              <w:rPr>
                <w:rFonts w:cs="Arial"/>
                <w:spacing w:val="-3"/>
              </w:rPr>
              <w:t xml:space="preserve"> </w:t>
            </w:r>
            <w:r>
              <w:rPr>
                <w:rFonts w:cs="Arial"/>
                <w:spacing w:val="-3"/>
              </w:rPr>
              <w:t>Benefits Plan Summary (2023)</w:t>
            </w:r>
          </w:p>
          <w:p w14:paraId="0057C6C1" w14:textId="6C42BBE9"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7. </w:t>
            </w:r>
            <w:r w:rsidR="006F71EF">
              <w:rPr>
                <w:rFonts w:cs="Arial"/>
                <w:spacing w:val="-3"/>
              </w:rPr>
              <w:t xml:space="preserve"> </w:t>
            </w:r>
            <w:r>
              <w:rPr>
                <w:rFonts w:cs="Arial"/>
                <w:spacing w:val="-3"/>
              </w:rPr>
              <w:t>Mercer BENVAL Study</w:t>
            </w:r>
          </w:p>
          <w:p w14:paraId="42708CB1" w14:textId="5EBEA73E" w:rsidR="00585FD7" w:rsidRDefault="00585FD7" w:rsidP="00585FD7">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006F71EF">
              <w:rPr>
                <w:rFonts w:cs="Arial"/>
                <w:spacing w:val="-3"/>
              </w:rPr>
              <w:t xml:space="preserve"> </w:t>
            </w:r>
            <w:r>
              <w:rPr>
                <w:rFonts w:cs="Arial"/>
                <w:spacing w:val="-3"/>
              </w:rPr>
              <w:t>Mercer – Average Health Benefits Costs</w:t>
            </w:r>
          </w:p>
          <w:p w14:paraId="72D22D14" w14:textId="6804504C" w:rsidR="00525434" w:rsidRPr="0029161C" w:rsidRDefault="00585FD7" w:rsidP="00585FD7">
            <w:r>
              <w:rPr>
                <w:rFonts w:cs="Arial"/>
                <w:spacing w:val="-3"/>
              </w:rPr>
              <w:t xml:space="preserve">9. </w:t>
            </w:r>
            <w:r w:rsidR="006F71EF">
              <w:rPr>
                <w:rFonts w:cs="Arial"/>
                <w:spacing w:val="-3"/>
              </w:rPr>
              <w:t xml:space="preserve"> </w:t>
            </w:r>
            <w:r>
              <w:rPr>
                <w:rFonts w:cs="Arial"/>
                <w:spacing w:val="-3"/>
              </w:rPr>
              <w:t>Mercer – National Health Plan Survey</w:t>
            </w:r>
          </w:p>
        </w:tc>
      </w:tr>
      <w:tr w:rsidR="00E17D45" w:rsidRPr="0029161C" w14:paraId="5497AB68"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3071C5D" w14:textId="77777777" w:rsidR="00E17D45" w:rsidRPr="0029161C" w:rsidRDefault="0091346C" w:rsidP="00E17D45">
            <w:pPr>
              <w:jc w:val="both"/>
            </w:pPr>
            <w:r>
              <w:rPr>
                <w:rFonts w:cs="Arial"/>
                <w:spacing w:val="-3"/>
              </w:rPr>
              <w:lastRenderedPageBreak/>
              <w:t>Richard K. Harper, PhD</w:t>
            </w:r>
          </w:p>
        </w:tc>
        <w:tc>
          <w:tcPr>
            <w:tcW w:w="1530" w:type="dxa"/>
            <w:tcBorders>
              <w:top w:val="single" w:sz="4" w:space="0" w:color="auto"/>
              <w:left w:val="single" w:sz="4" w:space="0" w:color="auto"/>
              <w:bottom w:val="single" w:sz="4" w:space="0" w:color="auto"/>
              <w:right w:val="single" w:sz="4" w:space="0" w:color="auto"/>
            </w:tcBorders>
          </w:tcPr>
          <w:p w14:paraId="32D7DA6D" w14:textId="77777777" w:rsidR="00E17D45" w:rsidRPr="0029161C" w:rsidRDefault="0091346C"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1DE35BBF" w14:textId="77777777" w:rsidR="00E17D45" w:rsidRPr="0029161C" w:rsidRDefault="0091346C" w:rsidP="00E17D45">
            <w:pPr>
              <w:jc w:val="center"/>
            </w:pPr>
            <w:r>
              <w:t>RKH-1</w:t>
            </w:r>
          </w:p>
        </w:tc>
        <w:tc>
          <w:tcPr>
            <w:tcW w:w="4050" w:type="dxa"/>
            <w:tcBorders>
              <w:top w:val="single" w:sz="4" w:space="0" w:color="auto"/>
              <w:left w:val="single" w:sz="4" w:space="0" w:color="auto"/>
              <w:bottom w:val="single" w:sz="4" w:space="0" w:color="auto"/>
              <w:right w:val="single" w:sz="4" w:space="0" w:color="auto"/>
            </w:tcBorders>
          </w:tcPr>
          <w:p w14:paraId="36436130" w14:textId="144EDD2E"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6F71EF">
              <w:rPr>
                <w:rFonts w:cs="Arial"/>
                <w:spacing w:val="-3"/>
              </w:rPr>
              <w:t xml:space="preserve"> </w:t>
            </w:r>
            <w:r>
              <w:rPr>
                <w:rFonts w:cs="Arial"/>
                <w:spacing w:val="-3"/>
              </w:rPr>
              <w:t>Curriculum Vitae</w:t>
            </w:r>
          </w:p>
          <w:p w14:paraId="51F44E1F" w14:textId="59777E4A"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6F71EF">
              <w:rPr>
                <w:rFonts w:cs="Arial"/>
                <w:spacing w:val="-3"/>
              </w:rPr>
              <w:t xml:space="preserve"> </w:t>
            </w:r>
            <w:r>
              <w:rPr>
                <w:rFonts w:cs="Arial"/>
                <w:spacing w:val="-3"/>
              </w:rPr>
              <w:t>Endnotes to Testimony</w:t>
            </w:r>
          </w:p>
          <w:p w14:paraId="2465D361" w14:textId="0FFB925A"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006F71EF">
              <w:rPr>
                <w:rFonts w:cs="Arial"/>
                <w:spacing w:val="-3"/>
              </w:rPr>
              <w:t xml:space="preserve"> </w:t>
            </w:r>
            <w:r>
              <w:rPr>
                <w:rFonts w:cs="Arial"/>
                <w:spacing w:val="-3"/>
              </w:rPr>
              <w:t>Population Growth in Florida by Decade 1970-2059</w:t>
            </w:r>
          </w:p>
          <w:p w14:paraId="716AFB17" w14:textId="3D95C850"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6F71EF">
              <w:rPr>
                <w:rFonts w:cs="Arial"/>
                <w:spacing w:val="-3"/>
              </w:rPr>
              <w:t xml:space="preserve"> </w:t>
            </w:r>
            <w:r>
              <w:rPr>
                <w:rFonts w:cs="Arial"/>
                <w:spacing w:val="-3"/>
              </w:rPr>
              <w:t>Non-Farm Payroll, Florida and Nation</w:t>
            </w:r>
          </w:p>
          <w:p w14:paraId="302F8CCE" w14:textId="4AF4C130"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6F71EF">
              <w:rPr>
                <w:rFonts w:cs="Arial"/>
                <w:spacing w:val="-3"/>
              </w:rPr>
              <w:t xml:space="preserve"> </w:t>
            </w:r>
            <w:r>
              <w:rPr>
                <w:rFonts w:cs="Arial"/>
                <w:spacing w:val="-3"/>
              </w:rPr>
              <w:t>Annual GDP Growth, Florida and Nation</w:t>
            </w:r>
          </w:p>
          <w:p w14:paraId="2B398099" w14:textId="1261CEE6"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6F71EF">
              <w:rPr>
                <w:rFonts w:cs="Arial"/>
                <w:spacing w:val="-3"/>
              </w:rPr>
              <w:t xml:space="preserve"> </w:t>
            </w:r>
            <w:r>
              <w:rPr>
                <w:rFonts w:cs="Arial"/>
                <w:spacing w:val="-3"/>
              </w:rPr>
              <w:t>All Transactions House Price Index</w:t>
            </w:r>
          </w:p>
          <w:p w14:paraId="5807252D" w14:textId="2994C69B"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7. </w:t>
            </w:r>
            <w:r w:rsidR="006F71EF">
              <w:rPr>
                <w:rFonts w:cs="Arial"/>
                <w:spacing w:val="-3"/>
              </w:rPr>
              <w:t xml:space="preserve"> </w:t>
            </w:r>
            <w:r>
              <w:rPr>
                <w:rFonts w:cs="Arial"/>
                <w:spacing w:val="-3"/>
              </w:rPr>
              <w:t>Produce Price Index, Residential Construction Inputs</w:t>
            </w:r>
          </w:p>
          <w:p w14:paraId="252A2703" w14:textId="1023E15A"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006F71EF">
              <w:rPr>
                <w:rFonts w:cs="Arial"/>
                <w:spacing w:val="-3"/>
              </w:rPr>
              <w:t xml:space="preserve"> </w:t>
            </w:r>
            <w:r>
              <w:rPr>
                <w:rFonts w:cs="Arial"/>
                <w:spacing w:val="-3"/>
              </w:rPr>
              <w:t>Measures of Inflation</w:t>
            </w:r>
          </w:p>
          <w:p w14:paraId="5D2754A3" w14:textId="011EC7AD"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9. </w:t>
            </w:r>
            <w:r w:rsidR="006F71EF">
              <w:rPr>
                <w:rFonts w:cs="Arial"/>
                <w:spacing w:val="-3"/>
              </w:rPr>
              <w:t xml:space="preserve"> </w:t>
            </w:r>
            <w:r>
              <w:rPr>
                <w:rFonts w:cs="Arial"/>
                <w:spacing w:val="-3"/>
              </w:rPr>
              <w:t>Cumulative Increase in Household Costs</w:t>
            </w:r>
          </w:p>
          <w:p w14:paraId="48E6D40C" w14:textId="7C46B7DC"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10.</w:t>
            </w:r>
            <w:r w:rsidR="006F71EF">
              <w:rPr>
                <w:rFonts w:cs="Arial"/>
                <w:spacing w:val="-3"/>
              </w:rPr>
              <w:t xml:space="preserve"> </w:t>
            </w:r>
            <w:r>
              <w:rPr>
                <w:rFonts w:cs="Arial"/>
                <w:spacing w:val="-3"/>
              </w:rPr>
              <w:t xml:space="preserve"> Cumulative Increases in Business Costs </w:t>
            </w:r>
          </w:p>
          <w:p w14:paraId="5A619A3D" w14:textId="4F17FA8A"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11. </w:t>
            </w:r>
            <w:r w:rsidR="006F71EF">
              <w:rPr>
                <w:rFonts w:cs="Arial"/>
                <w:spacing w:val="-3"/>
              </w:rPr>
              <w:t xml:space="preserve"> </w:t>
            </w:r>
            <w:r>
              <w:rPr>
                <w:rFonts w:cs="Arial"/>
                <w:spacing w:val="-3"/>
              </w:rPr>
              <w:t>Cumulative Increase in PGS Business Costs</w:t>
            </w:r>
          </w:p>
          <w:p w14:paraId="6D66F3BE" w14:textId="0E10B31B" w:rsidR="0091346C" w:rsidRDefault="0091346C" w:rsidP="0091346C">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12. </w:t>
            </w:r>
            <w:r w:rsidR="006F71EF">
              <w:rPr>
                <w:rFonts w:cs="Arial"/>
                <w:spacing w:val="-3"/>
              </w:rPr>
              <w:t xml:space="preserve"> </w:t>
            </w:r>
            <w:r>
              <w:rPr>
                <w:rFonts w:cs="Arial"/>
                <w:spacing w:val="-3"/>
              </w:rPr>
              <w:t>Typology for Homebuyer Net Migration</w:t>
            </w:r>
          </w:p>
          <w:p w14:paraId="21A1BB35" w14:textId="58EBEDD4" w:rsidR="00E17D45" w:rsidRPr="0029161C" w:rsidRDefault="0091346C" w:rsidP="0091346C">
            <w:r>
              <w:rPr>
                <w:rFonts w:cs="Arial"/>
                <w:spacing w:val="-3"/>
              </w:rPr>
              <w:t>13-20</w:t>
            </w:r>
            <w:r w:rsidR="006F71EF">
              <w:rPr>
                <w:rFonts w:cs="Arial"/>
                <w:spacing w:val="-3"/>
              </w:rPr>
              <w:t xml:space="preserve">. </w:t>
            </w:r>
            <w:r>
              <w:rPr>
                <w:rFonts w:cs="Arial"/>
                <w:spacing w:val="-3"/>
              </w:rPr>
              <w:t xml:space="preserve"> Total Population Indexed to 2020 for Different Areas of Florida</w:t>
            </w:r>
          </w:p>
        </w:tc>
      </w:tr>
      <w:tr w:rsidR="00585FD7" w:rsidRPr="0029161C" w14:paraId="4081A390"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99795BD" w14:textId="77777777" w:rsidR="00585FD7" w:rsidRPr="0029161C" w:rsidRDefault="005D186A" w:rsidP="00E17D45">
            <w:pPr>
              <w:jc w:val="both"/>
            </w:pPr>
            <w:r>
              <w:rPr>
                <w:rFonts w:cs="Arial"/>
                <w:spacing w:val="-3"/>
              </w:rPr>
              <w:t>Eric Fox</w:t>
            </w:r>
          </w:p>
        </w:tc>
        <w:tc>
          <w:tcPr>
            <w:tcW w:w="1530" w:type="dxa"/>
            <w:tcBorders>
              <w:top w:val="single" w:sz="4" w:space="0" w:color="auto"/>
              <w:left w:val="single" w:sz="4" w:space="0" w:color="auto"/>
              <w:bottom w:val="single" w:sz="4" w:space="0" w:color="auto"/>
              <w:right w:val="single" w:sz="4" w:space="0" w:color="auto"/>
            </w:tcBorders>
          </w:tcPr>
          <w:p w14:paraId="27584F26" w14:textId="77777777" w:rsidR="00585FD7" w:rsidRPr="0029161C" w:rsidRDefault="005D186A"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01E13655" w14:textId="77777777" w:rsidR="00585FD7" w:rsidRPr="0029161C" w:rsidRDefault="005D186A" w:rsidP="00E17D45">
            <w:pPr>
              <w:jc w:val="center"/>
            </w:pPr>
            <w:r>
              <w:t>EF-1</w:t>
            </w:r>
          </w:p>
        </w:tc>
        <w:tc>
          <w:tcPr>
            <w:tcW w:w="4050" w:type="dxa"/>
            <w:tcBorders>
              <w:top w:val="single" w:sz="4" w:space="0" w:color="auto"/>
              <w:left w:val="single" w:sz="4" w:space="0" w:color="auto"/>
              <w:bottom w:val="single" w:sz="4" w:space="0" w:color="auto"/>
              <w:right w:val="single" w:sz="4" w:space="0" w:color="auto"/>
            </w:tcBorders>
          </w:tcPr>
          <w:p w14:paraId="37EDFFF8" w14:textId="77777777" w:rsidR="00585FD7" w:rsidRPr="0029161C" w:rsidRDefault="005D186A" w:rsidP="00E17D45">
            <w:r>
              <w:rPr>
                <w:rFonts w:cs="Arial"/>
                <w:spacing w:val="-3"/>
              </w:rPr>
              <w:t>Itron Report</w:t>
            </w:r>
          </w:p>
        </w:tc>
      </w:tr>
      <w:tr w:rsidR="00585FD7" w:rsidRPr="0029161C" w14:paraId="6714DCF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86CAD52" w14:textId="77777777" w:rsidR="00585FD7" w:rsidRPr="0029161C" w:rsidRDefault="00B80BE3" w:rsidP="00E17D45">
            <w:pPr>
              <w:jc w:val="both"/>
            </w:pPr>
            <w:r>
              <w:rPr>
                <w:rFonts w:cs="Arial"/>
                <w:spacing w:val="-3"/>
              </w:rPr>
              <w:t>Dylan W. D’Ascendis</w:t>
            </w:r>
          </w:p>
        </w:tc>
        <w:tc>
          <w:tcPr>
            <w:tcW w:w="1530" w:type="dxa"/>
            <w:tcBorders>
              <w:top w:val="single" w:sz="4" w:space="0" w:color="auto"/>
              <w:left w:val="single" w:sz="4" w:space="0" w:color="auto"/>
              <w:bottom w:val="single" w:sz="4" w:space="0" w:color="auto"/>
              <w:right w:val="single" w:sz="4" w:space="0" w:color="auto"/>
            </w:tcBorders>
          </w:tcPr>
          <w:p w14:paraId="0C41ECBF" w14:textId="77777777" w:rsidR="00585FD7" w:rsidRPr="0029161C" w:rsidRDefault="00B80BE3"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58241993" w14:textId="77777777" w:rsidR="00525434" w:rsidRPr="0029161C" w:rsidRDefault="00B80BE3" w:rsidP="00E17D45">
            <w:pPr>
              <w:jc w:val="center"/>
            </w:pPr>
            <w:r>
              <w:t>DWD-1</w:t>
            </w:r>
          </w:p>
        </w:tc>
        <w:tc>
          <w:tcPr>
            <w:tcW w:w="4050" w:type="dxa"/>
            <w:tcBorders>
              <w:top w:val="single" w:sz="4" w:space="0" w:color="auto"/>
              <w:left w:val="single" w:sz="4" w:space="0" w:color="auto"/>
              <w:bottom w:val="single" w:sz="4" w:space="0" w:color="auto"/>
              <w:right w:val="single" w:sz="4" w:space="0" w:color="auto"/>
            </w:tcBorders>
          </w:tcPr>
          <w:p w14:paraId="7BF61376"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Pr="00FF5333">
              <w:rPr>
                <w:rFonts w:cs="Arial"/>
                <w:spacing w:val="-3"/>
              </w:rPr>
              <w:t xml:space="preserve">Summary of Common Equity Cost Rate </w:t>
            </w:r>
          </w:p>
          <w:p w14:paraId="2A5587C3" w14:textId="42C171C7" w:rsidR="00B80BE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Pr="00FF5333">
              <w:rPr>
                <w:rFonts w:cs="Arial"/>
                <w:spacing w:val="-3"/>
              </w:rPr>
              <w:t xml:space="preserve">Financial Profile of the Gas Utility Proxy Group </w:t>
            </w:r>
          </w:p>
          <w:p w14:paraId="2E45FAEA" w14:textId="15F91FCA" w:rsidR="00B80BE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Pr="00FF5333">
              <w:rPr>
                <w:rFonts w:cs="Arial"/>
                <w:spacing w:val="-3"/>
              </w:rPr>
              <w:t xml:space="preserve">Application of the Discounted Cash </w:t>
            </w:r>
            <w:r w:rsidR="00242699">
              <w:rPr>
                <w:rFonts w:cs="Arial"/>
                <w:spacing w:val="-3"/>
              </w:rPr>
              <w:t>Flow Model</w:t>
            </w:r>
          </w:p>
          <w:p w14:paraId="11453412" w14:textId="77777777" w:rsidR="00242699" w:rsidRPr="00FF5333" w:rsidRDefault="00242699"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p>
          <w:p w14:paraId="4DB7A9E4"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lastRenderedPageBreak/>
              <w:t xml:space="preserve">4.  </w:t>
            </w:r>
            <w:r w:rsidRPr="00FF5333">
              <w:rPr>
                <w:rFonts w:cs="Arial"/>
                <w:spacing w:val="-3"/>
              </w:rPr>
              <w:t xml:space="preserve">Application of the Risk Premium Model </w:t>
            </w:r>
          </w:p>
          <w:p w14:paraId="19FD633A"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Pr="00FF5333">
              <w:rPr>
                <w:rFonts w:cs="Arial"/>
                <w:spacing w:val="-3"/>
              </w:rPr>
              <w:t xml:space="preserve">Application of the Capital Asset Pricing Model </w:t>
            </w:r>
          </w:p>
          <w:p w14:paraId="28D461EB" w14:textId="263785CF" w:rsidR="00B80BE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Pr="00FF5333">
              <w:rPr>
                <w:rFonts w:cs="Arial"/>
                <w:spacing w:val="-3"/>
              </w:rPr>
              <w:t xml:space="preserve">Basis of Selection for the Non-Price Regulated Companies Comparable in Total Risk to the Gas Utility Proxy Group </w:t>
            </w:r>
          </w:p>
          <w:p w14:paraId="3B1528B2" w14:textId="77777777" w:rsidR="006F71EF" w:rsidRPr="00FF5333" w:rsidRDefault="006F71EF"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p>
          <w:p w14:paraId="76BD3089"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7.  </w:t>
            </w:r>
            <w:r w:rsidRPr="00FF5333">
              <w:rPr>
                <w:rFonts w:cs="Arial"/>
                <w:spacing w:val="-3"/>
              </w:rPr>
              <w:t xml:space="preserve">Application of Cost of Common Equity Models to the Non-Price Regulated Proxy Group </w:t>
            </w:r>
          </w:p>
          <w:p w14:paraId="52FBF280"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Pr="00FF5333">
              <w:rPr>
                <w:rFonts w:cs="Arial"/>
                <w:spacing w:val="-3"/>
              </w:rPr>
              <w:t xml:space="preserve">Derivation of the Flotation Cost Adjustment to the Cost of Common Equity </w:t>
            </w:r>
          </w:p>
          <w:p w14:paraId="269306B9"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9.  </w:t>
            </w:r>
            <w:r w:rsidRPr="00FF5333">
              <w:rPr>
                <w:rFonts w:cs="Arial"/>
                <w:spacing w:val="-3"/>
              </w:rPr>
              <w:t xml:space="preserve">Derivation of the Indicated Size Premium for Peoples Gas Relative to the Gas Utility Proxy Group </w:t>
            </w:r>
          </w:p>
          <w:p w14:paraId="7175A219"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10.  </w:t>
            </w:r>
            <w:r w:rsidRPr="00FF5333">
              <w:rPr>
                <w:rFonts w:cs="Arial"/>
                <w:spacing w:val="-3"/>
              </w:rPr>
              <w:t xml:space="preserve">Comparison of Projected Capital Expenditures Relative to Net Plant </w:t>
            </w:r>
          </w:p>
          <w:p w14:paraId="48D89071" w14:textId="77777777" w:rsidR="00B80BE3" w:rsidRPr="00FF5333" w:rsidRDefault="00B80BE3" w:rsidP="00B80BE3">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11.  </w:t>
            </w:r>
            <w:r w:rsidRPr="00FF5333">
              <w:rPr>
                <w:rFonts w:cs="Arial"/>
                <w:spacing w:val="-3"/>
              </w:rPr>
              <w:t xml:space="preserve">Fama &amp; French – Figure 2 </w:t>
            </w:r>
          </w:p>
          <w:p w14:paraId="372A2687" w14:textId="77777777" w:rsidR="00585FD7" w:rsidRPr="0029161C" w:rsidRDefault="00B80BE3" w:rsidP="00B80BE3">
            <w:r>
              <w:rPr>
                <w:rFonts w:cs="Arial"/>
                <w:spacing w:val="-3"/>
              </w:rPr>
              <w:t xml:space="preserve">12.  </w:t>
            </w:r>
            <w:r w:rsidRPr="00FF5333">
              <w:rPr>
                <w:rFonts w:cs="Arial"/>
                <w:spacing w:val="-3"/>
              </w:rPr>
              <w:t>Referenced Endnotes for the Prepared Direct Testimony of Dylan W. D’Ascendis</w:t>
            </w:r>
          </w:p>
        </w:tc>
      </w:tr>
      <w:tr w:rsidR="00585FD7" w:rsidRPr="0029161C" w14:paraId="14693379"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66DB3FE" w14:textId="77777777" w:rsidR="00585FD7" w:rsidRPr="0029161C" w:rsidRDefault="00020AE0" w:rsidP="00E17D45">
            <w:pPr>
              <w:jc w:val="both"/>
            </w:pPr>
            <w:r>
              <w:rPr>
                <w:rFonts w:cs="Arial"/>
                <w:spacing w:val="-3"/>
              </w:rPr>
              <w:lastRenderedPageBreak/>
              <w:t>Kenneth D. McOnie</w:t>
            </w:r>
          </w:p>
        </w:tc>
        <w:tc>
          <w:tcPr>
            <w:tcW w:w="1530" w:type="dxa"/>
            <w:tcBorders>
              <w:top w:val="single" w:sz="4" w:space="0" w:color="auto"/>
              <w:left w:val="single" w:sz="4" w:space="0" w:color="auto"/>
              <w:bottom w:val="single" w:sz="4" w:space="0" w:color="auto"/>
              <w:right w:val="single" w:sz="4" w:space="0" w:color="auto"/>
            </w:tcBorders>
          </w:tcPr>
          <w:p w14:paraId="599EDCF5" w14:textId="77777777" w:rsidR="00585FD7" w:rsidRPr="0029161C" w:rsidRDefault="00020AE0"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3E8F79FF" w14:textId="77777777" w:rsidR="00525434" w:rsidRPr="0029161C" w:rsidRDefault="00020AE0" w:rsidP="00E17D45">
            <w:pPr>
              <w:jc w:val="center"/>
            </w:pPr>
            <w:r>
              <w:t>KDM-1</w:t>
            </w:r>
          </w:p>
        </w:tc>
        <w:tc>
          <w:tcPr>
            <w:tcW w:w="4050" w:type="dxa"/>
            <w:tcBorders>
              <w:top w:val="single" w:sz="4" w:space="0" w:color="auto"/>
              <w:left w:val="single" w:sz="4" w:space="0" w:color="auto"/>
              <w:bottom w:val="single" w:sz="4" w:space="0" w:color="auto"/>
              <w:right w:val="single" w:sz="4" w:space="0" w:color="auto"/>
            </w:tcBorders>
          </w:tcPr>
          <w:p w14:paraId="2148010F" w14:textId="46023DE4" w:rsidR="00020AE0" w:rsidRDefault="00020AE0" w:rsidP="00020AE0">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Pr>
                <w:rFonts w:cs="Arial"/>
                <w:spacing w:val="-3"/>
              </w:rPr>
              <w:t>MFR</w:t>
            </w:r>
            <w:r w:rsidR="008B2ADE">
              <w:rPr>
                <w:rFonts w:cs="Arial"/>
                <w:spacing w:val="-3"/>
              </w:rPr>
              <w:t>s</w:t>
            </w:r>
            <w:r>
              <w:rPr>
                <w:rFonts w:cs="Arial"/>
                <w:spacing w:val="-3"/>
              </w:rPr>
              <w:t xml:space="preserve"> Sponsored</w:t>
            </w:r>
          </w:p>
          <w:p w14:paraId="625D529F" w14:textId="5B218351" w:rsidR="00020AE0" w:rsidRDefault="00020AE0" w:rsidP="00020AE0">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CC637A">
              <w:rPr>
                <w:rFonts w:cs="Arial"/>
                <w:spacing w:val="-3"/>
              </w:rPr>
              <w:t xml:space="preserve"> </w:t>
            </w:r>
            <w:r>
              <w:rPr>
                <w:rFonts w:cs="Arial"/>
                <w:spacing w:val="-3"/>
              </w:rPr>
              <w:t>Historic Secured Overnight Financing Rate 2021 to 2023</w:t>
            </w:r>
          </w:p>
          <w:p w14:paraId="3137841D" w14:textId="5DCB5C38" w:rsidR="00020AE0" w:rsidRDefault="00020AE0" w:rsidP="00020AE0">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00CC637A">
              <w:rPr>
                <w:rFonts w:cs="Arial"/>
                <w:spacing w:val="-3"/>
              </w:rPr>
              <w:t xml:space="preserve"> </w:t>
            </w:r>
            <w:r>
              <w:rPr>
                <w:rFonts w:cs="Arial"/>
                <w:spacing w:val="-3"/>
              </w:rPr>
              <w:t>Forecasted U.S. Treasury Rates</w:t>
            </w:r>
          </w:p>
          <w:p w14:paraId="39D42B05" w14:textId="7D933A42" w:rsidR="00020AE0" w:rsidRDefault="00020AE0" w:rsidP="00020AE0">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CC637A">
              <w:rPr>
                <w:rFonts w:cs="Arial"/>
                <w:spacing w:val="-3"/>
              </w:rPr>
              <w:t xml:space="preserve"> </w:t>
            </w:r>
            <w:r>
              <w:rPr>
                <w:rFonts w:cs="Arial"/>
                <w:spacing w:val="-3"/>
              </w:rPr>
              <w:t>U.S. Treasury Rates 2020 to 2022</w:t>
            </w:r>
          </w:p>
          <w:p w14:paraId="1B833A88" w14:textId="0B04B6B3" w:rsidR="00525434" w:rsidRPr="0029161C" w:rsidRDefault="00020AE0" w:rsidP="00020AE0">
            <w:r>
              <w:rPr>
                <w:rFonts w:cs="Arial"/>
                <w:spacing w:val="-3"/>
              </w:rPr>
              <w:t xml:space="preserve">5. </w:t>
            </w:r>
            <w:r w:rsidR="00CC637A">
              <w:rPr>
                <w:rFonts w:cs="Arial"/>
                <w:spacing w:val="-3"/>
              </w:rPr>
              <w:t xml:space="preserve"> </w:t>
            </w:r>
            <w:r>
              <w:rPr>
                <w:rFonts w:cs="Arial"/>
                <w:spacing w:val="-3"/>
              </w:rPr>
              <w:t>Thirty Year History of U.S. Treasury Rates and Averages</w:t>
            </w:r>
          </w:p>
        </w:tc>
      </w:tr>
      <w:tr w:rsidR="00585FD7" w:rsidRPr="0029161C" w14:paraId="2AB78E6B" w14:textId="77777777" w:rsidTr="006E1F0C">
        <w:trPr>
          <w:cantSplit/>
          <w:trHeight w:val="373"/>
        </w:trPr>
        <w:tc>
          <w:tcPr>
            <w:tcW w:w="2610" w:type="dxa"/>
            <w:tcBorders>
              <w:top w:val="single" w:sz="4" w:space="0" w:color="auto"/>
              <w:left w:val="single" w:sz="4" w:space="0" w:color="auto"/>
              <w:bottom w:val="single" w:sz="4" w:space="0" w:color="auto"/>
              <w:right w:val="single" w:sz="4" w:space="0" w:color="auto"/>
            </w:tcBorders>
          </w:tcPr>
          <w:p w14:paraId="22E8680C" w14:textId="77777777" w:rsidR="00585FD7" w:rsidRPr="0029161C" w:rsidRDefault="00C4305D" w:rsidP="00E17D45">
            <w:pPr>
              <w:jc w:val="both"/>
            </w:pPr>
            <w:r>
              <w:rPr>
                <w:rFonts w:cs="Arial"/>
                <w:spacing w:val="-3"/>
              </w:rPr>
              <w:t>Dane A. Watson</w:t>
            </w:r>
          </w:p>
        </w:tc>
        <w:tc>
          <w:tcPr>
            <w:tcW w:w="1530" w:type="dxa"/>
            <w:tcBorders>
              <w:top w:val="single" w:sz="4" w:space="0" w:color="auto"/>
              <w:left w:val="single" w:sz="4" w:space="0" w:color="auto"/>
              <w:bottom w:val="single" w:sz="4" w:space="0" w:color="auto"/>
              <w:right w:val="single" w:sz="4" w:space="0" w:color="auto"/>
            </w:tcBorders>
          </w:tcPr>
          <w:p w14:paraId="48EC6BF3" w14:textId="77777777" w:rsidR="00585FD7" w:rsidRPr="0029161C" w:rsidRDefault="00C4305D"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30F63015" w14:textId="77777777" w:rsidR="00525434" w:rsidRPr="0029161C" w:rsidRDefault="00C4305D" w:rsidP="00E17D45">
            <w:pPr>
              <w:jc w:val="center"/>
            </w:pPr>
            <w:r>
              <w:t>DAW-1</w:t>
            </w:r>
          </w:p>
        </w:tc>
        <w:tc>
          <w:tcPr>
            <w:tcW w:w="4050" w:type="dxa"/>
            <w:tcBorders>
              <w:top w:val="single" w:sz="4" w:space="0" w:color="auto"/>
              <w:left w:val="single" w:sz="4" w:space="0" w:color="auto"/>
              <w:bottom w:val="single" w:sz="4" w:space="0" w:color="auto"/>
              <w:right w:val="single" w:sz="4" w:space="0" w:color="auto"/>
            </w:tcBorders>
          </w:tcPr>
          <w:p w14:paraId="6F9F5132" w14:textId="016BA112" w:rsidR="00C4305D" w:rsidRPr="00C4305D" w:rsidRDefault="00C4305D" w:rsidP="00C4305D">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sidRPr="00C4305D">
              <w:rPr>
                <w:rFonts w:cs="Arial"/>
                <w:spacing w:val="-3"/>
              </w:rPr>
              <w:t>Testimony Experience</w:t>
            </w:r>
          </w:p>
          <w:p w14:paraId="4DFAD483" w14:textId="06050414" w:rsidR="00525434" w:rsidRPr="00162299" w:rsidRDefault="00C4305D" w:rsidP="00630814">
            <w:pPr>
              <w:tabs>
                <w:tab w:val="left" w:pos="475"/>
                <w:tab w:val="left" w:pos="1195"/>
                <w:tab w:val="left" w:pos="1915"/>
                <w:tab w:val="left" w:pos="3355"/>
                <w:tab w:val="left" w:pos="4507"/>
                <w:tab w:val="left" w:pos="5515"/>
                <w:tab w:val="left" w:pos="6955"/>
                <w:tab w:val="left" w:pos="9115"/>
              </w:tabs>
              <w:suppressAutoHyphens/>
            </w:pPr>
            <w:r>
              <w:rPr>
                <w:rFonts w:cs="Arial"/>
                <w:spacing w:val="-3"/>
              </w:rPr>
              <w:t xml:space="preserve">2. </w:t>
            </w:r>
            <w:r w:rsidR="00CC637A">
              <w:rPr>
                <w:rFonts w:cs="Arial"/>
                <w:spacing w:val="-3"/>
              </w:rPr>
              <w:t xml:space="preserve"> </w:t>
            </w:r>
            <w:r w:rsidRPr="00C4305D">
              <w:rPr>
                <w:rFonts w:cs="Arial"/>
                <w:spacing w:val="-3"/>
              </w:rPr>
              <w:t>Peoples Depreciation Study</w:t>
            </w:r>
            <w:r w:rsidR="00630814">
              <w:rPr>
                <w:rFonts w:cs="Arial"/>
                <w:spacing w:val="-3"/>
              </w:rPr>
              <w:t xml:space="preserve"> </w:t>
            </w:r>
            <w:r>
              <w:rPr>
                <w:rFonts w:cs="Arial"/>
                <w:spacing w:val="-3"/>
              </w:rPr>
              <w:t>Schedules 1-3 – Summary of Results</w:t>
            </w:r>
          </w:p>
        </w:tc>
      </w:tr>
      <w:tr w:rsidR="00585FD7" w:rsidRPr="0029161C" w14:paraId="5CC053D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EDF56C4" w14:textId="77777777" w:rsidR="00585FD7" w:rsidRPr="0029161C" w:rsidRDefault="00C538FA" w:rsidP="00E17D45">
            <w:pPr>
              <w:jc w:val="both"/>
            </w:pPr>
            <w:r>
              <w:rPr>
                <w:rFonts w:cs="Arial"/>
                <w:spacing w:val="-3"/>
              </w:rPr>
              <w:t>Rachel B. Parsons</w:t>
            </w:r>
          </w:p>
        </w:tc>
        <w:tc>
          <w:tcPr>
            <w:tcW w:w="1530" w:type="dxa"/>
            <w:tcBorders>
              <w:top w:val="single" w:sz="4" w:space="0" w:color="auto"/>
              <w:left w:val="single" w:sz="4" w:space="0" w:color="auto"/>
              <w:bottom w:val="single" w:sz="4" w:space="0" w:color="auto"/>
              <w:right w:val="single" w:sz="4" w:space="0" w:color="auto"/>
            </w:tcBorders>
          </w:tcPr>
          <w:p w14:paraId="39108A60" w14:textId="77777777" w:rsidR="00585FD7" w:rsidRPr="0029161C" w:rsidRDefault="00C538FA"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4A99514D" w14:textId="77777777" w:rsidR="00525434" w:rsidRPr="0029161C" w:rsidRDefault="00C538FA" w:rsidP="00E17D45">
            <w:pPr>
              <w:jc w:val="center"/>
            </w:pPr>
            <w:r>
              <w:t>RBP-1</w:t>
            </w:r>
          </w:p>
        </w:tc>
        <w:tc>
          <w:tcPr>
            <w:tcW w:w="4050" w:type="dxa"/>
            <w:tcBorders>
              <w:top w:val="single" w:sz="4" w:space="0" w:color="auto"/>
              <w:left w:val="single" w:sz="4" w:space="0" w:color="auto"/>
              <w:bottom w:val="single" w:sz="4" w:space="0" w:color="auto"/>
              <w:right w:val="single" w:sz="4" w:space="0" w:color="auto"/>
            </w:tcBorders>
          </w:tcPr>
          <w:p w14:paraId="76D0DB4C" w14:textId="501F949F"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sidRPr="00C538FA">
              <w:rPr>
                <w:rFonts w:cs="Arial"/>
                <w:spacing w:val="-3"/>
              </w:rPr>
              <w:t>MFRs Sponsored</w:t>
            </w:r>
          </w:p>
          <w:p w14:paraId="4579FB21" w14:textId="1C85DF22"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CC637A">
              <w:rPr>
                <w:rFonts w:cs="Arial"/>
                <w:spacing w:val="-3"/>
              </w:rPr>
              <w:t xml:space="preserve"> </w:t>
            </w:r>
            <w:r w:rsidRPr="00C538FA">
              <w:rPr>
                <w:rFonts w:cs="Arial"/>
                <w:spacing w:val="-3"/>
              </w:rPr>
              <w:t>CI/BSR Revenue Requirement Transferred to Base Rates</w:t>
            </w:r>
          </w:p>
          <w:p w14:paraId="73A3F907" w14:textId="10003E48"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00CC637A">
              <w:rPr>
                <w:rFonts w:cs="Arial"/>
                <w:spacing w:val="-3"/>
              </w:rPr>
              <w:t xml:space="preserve"> </w:t>
            </w:r>
            <w:r w:rsidRPr="00C538FA">
              <w:rPr>
                <w:rFonts w:cs="Arial"/>
                <w:spacing w:val="-3"/>
              </w:rPr>
              <w:t>Base Revenue Summary</w:t>
            </w:r>
          </w:p>
          <w:p w14:paraId="74956BCA" w14:textId="48754AEA"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CC637A">
              <w:rPr>
                <w:rFonts w:cs="Arial"/>
                <w:spacing w:val="-3"/>
              </w:rPr>
              <w:t xml:space="preserve"> </w:t>
            </w:r>
            <w:r w:rsidRPr="00C538FA">
              <w:rPr>
                <w:rFonts w:cs="Arial"/>
                <w:spacing w:val="-3"/>
              </w:rPr>
              <w:t>O&amp;M Expense Summary</w:t>
            </w:r>
          </w:p>
          <w:p w14:paraId="2355141A" w14:textId="1027A184"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CC637A">
              <w:rPr>
                <w:rFonts w:cs="Arial"/>
                <w:spacing w:val="-3"/>
              </w:rPr>
              <w:t xml:space="preserve"> </w:t>
            </w:r>
            <w:r w:rsidRPr="00C538FA">
              <w:rPr>
                <w:rFonts w:cs="Arial"/>
                <w:spacing w:val="-3"/>
              </w:rPr>
              <w:t>2023/2024 Capital Budget</w:t>
            </w:r>
          </w:p>
          <w:p w14:paraId="11F0FCB2" w14:textId="274FD40E"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CC637A">
              <w:rPr>
                <w:rFonts w:cs="Arial"/>
                <w:spacing w:val="-3"/>
              </w:rPr>
              <w:t xml:space="preserve"> </w:t>
            </w:r>
            <w:r w:rsidRPr="00C538FA">
              <w:rPr>
                <w:rFonts w:cs="Arial"/>
                <w:spacing w:val="-3"/>
              </w:rPr>
              <w:t>Storm Reserve Analysis</w:t>
            </w:r>
          </w:p>
          <w:p w14:paraId="651AE492" w14:textId="2C4B2ABF"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lastRenderedPageBreak/>
              <w:t xml:space="preserve">7. </w:t>
            </w:r>
            <w:r w:rsidR="00CC637A">
              <w:rPr>
                <w:rFonts w:cs="Arial"/>
                <w:spacing w:val="-3"/>
              </w:rPr>
              <w:t xml:space="preserve"> </w:t>
            </w:r>
            <w:r w:rsidRPr="00C538FA">
              <w:rPr>
                <w:rFonts w:cs="Arial"/>
                <w:spacing w:val="-3"/>
              </w:rPr>
              <w:t>Calculation of IRC Required Deferred Income Tax Adjustment</w:t>
            </w:r>
          </w:p>
          <w:p w14:paraId="53BF9FD0" w14:textId="51484A96" w:rsidR="00C538FA" w:rsidRPr="00C538FA" w:rsidRDefault="00C538FA" w:rsidP="00C538FA">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00CC637A">
              <w:rPr>
                <w:rFonts w:cs="Arial"/>
                <w:spacing w:val="-3"/>
              </w:rPr>
              <w:t xml:space="preserve"> </w:t>
            </w:r>
            <w:r w:rsidRPr="00C538FA">
              <w:rPr>
                <w:rFonts w:cs="Arial"/>
                <w:spacing w:val="-3"/>
              </w:rPr>
              <w:t>2024 Test Year Reconciliation of Capital Structure to Rate Base</w:t>
            </w:r>
          </w:p>
          <w:p w14:paraId="7962C22E" w14:textId="462A36EF" w:rsidR="00525434" w:rsidRPr="0029161C" w:rsidRDefault="00C538FA" w:rsidP="00C538FA">
            <w:r>
              <w:rPr>
                <w:rFonts w:cs="Arial"/>
                <w:spacing w:val="-3"/>
              </w:rPr>
              <w:t>9.</w:t>
            </w:r>
            <w:r w:rsidRPr="00542254">
              <w:rPr>
                <w:rFonts w:cs="Arial"/>
                <w:spacing w:val="-3"/>
              </w:rPr>
              <w:t xml:space="preserve"> </w:t>
            </w:r>
            <w:r w:rsidR="00CC637A">
              <w:rPr>
                <w:rFonts w:cs="Arial"/>
                <w:spacing w:val="-3"/>
              </w:rPr>
              <w:t xml:space="preserve"> </w:t>
            </w:r>
            <w:r w:rsidRPr="00542254">
              <w:rPr>
                <w:rFonts w:cs="Arial"/>
                <w:spacing w:val="-3"/>
              </w:rPr>
              <w:t>2020 Stipulation</w:t>
            </w:r>
          </w:p>
        </w:tc>
      </w:tr>
      <w:tr w:rsidR="00585FD7" w:rsidRPr="0029161C" w14:paraId="6FB3992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95C9BE5" w14:textId="77777777" w:rsidR="00585FD7" w:rsidRPr="0029161C" w:rsidRDefault="00D03AB1" w:rsidP="00E17D45">
            <w:pPr>
              <w:jc w:val="both"/>
            </w:pPr>
            <w:r>
              <w:rPr>
                <w:rFonts w:cs="Arial"/>
                <w:spacing w:val="-3"/>
              </w:rPr>
              <w:lastRenderedPageBreak/>
              <w:t>Gregg Therrien</w:t>
            </w:r>
          </w:p>
        </w:tc>
        <w:tc>
          <w:tcPr>
            <w:tcW w:w="1530" w:type="dxa"/>
            <w:tcBorders>
              <w:top w:val="single" w:sz="4" w:space="0" w:color="auto"/>
              <w:left w:val="single" w:sz="4" w:space="0" w:color="auto"/>
              <w:bottom w:val="single" w:sz="4" w:space="0" w:color="auto"/>
              <w:right w:val="single" w:sz="4" w:space="0" w:color="auto"/>
            </w:tcBorders>
          </w:tcPr>
          <w:p w14:paraId="50D57CA7" w14:textId="77777777" w:rsidR="00585FD7" w:rsidRPr="0029161C" w:rsidRDefault="00D03AB1"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291BF20E" w14:textId="77777777" w:rsidR="00585FD7" w:rsidRPr="0029161C" w:rsidRDefault="00D03AB1" w:rsidP="00E17D45">
            <w:pPr>
              <w:jc w:val="center"/>
            </w:pPr>
            <w:r>
              <w:t>GT-1</w:t>
            </w:r>
          </w:p>
        </w:tc>
        <w:tc>
          <w:tcPr>
            <w:tcW w:w="4050" w:type="dxa"/>
            <w:tcBorders>
              <w:top w:val="single" w:sz="4" w:space="0" w:color="auto"/>
              <w:left w:val="single" w:sz="4" w:space="0" w:color="auto"/>
              <w:bottom w:val="single" w:sz="4" w:space="0" w:color="auto"/>
              <w:right w:val="single" w:sz="4" w:space="0" w:color="auto"/>
            </w:tcBorders>
          </w:tcPr>
          <w:p w14:paraId="3021BF54" w14:textId="60C7D4C3" w:rsidR="00D03AB1" w:rsidRPr="00D03AB1" w:rsidRDefault="00D03AB1" w:rsidP="00D03AB1">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sidRPr="00D03AB1">
              <w:rPr>
                <w:rFonts w:cs="Arial"/>
                <w:spacing w:val="-3"/>
              </w:rPr>
              <w:t>MFRs Sponsored</w:t>
            </w:r>
          </w:p>
          <w:p w14:paraId="19B5D4DB" w14:textId="1E63D4B3" w:rsidR="00585FD7" w:rsidRPr="0029161C" w:rsidRDefault="00D03AB1" w:rsidP="00D03AB1">
            <w:r>
              <w:rPr>
                <w:rFonts w:cs="Arial"/>
                <w:spacing w:val="-3"/>
              </w:rPr>
              <w:t xml:space="preserve">2. </w:t>
            </w:r>
            <w:r w:rsidR="00CC637A">
              <w:rPr>
                <w:rFonts w:cs="Arial"/>
                <w:spacing w:val="-3"/>
              </w:rPr>
              <w:t xml:space="preserve"> </w:t>
            </w:r>
            <w:r>
              <w:rPr>
                <w:rFonts w:cs="Arial"/>
                <w:spacing w:val="-3"/>
              </w:rPr>
              <w:t>Workpaper Supporting Roll-in of CI/BSR</w:t>
            </w:r>
          </w:p>
        </w:tc>
      </w:tr>
      <w:tr w:rsidR="00585FD7" w:rsidRPr="0029161C" w14:paraId="5D80EF7F"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806F423" w14:textId="77777777" w:rsidR="00585FD7" w:rsidRPr="0029161C" w:rsidRDefault="00903EAF" w:rsidP="00E17D45">
            <w:pPr>
              <w:jc w:val="both"/>
            </w:pPr>
            <w:r>
              <w:rPr>
                <w:rFonts w:cs="Arial"/>
                <w:spacing w:val="-3"/>
              </w:rPr>
              <w:t>Karen L. Bramley</w:t>
            </w:r>
          </w:p>
        </w:tc>
        <w:tc>
          <w:tcPr>
            <w:tcW w:w="1530" w:type="dxa"/>
            <w:tcBorders>
              <w:top w:val="single" w:sz="4" w:space="0" w:color="auto"/>
              <w:left w:val="single" w:sz="4" w:space="0" w:color="auto"/>
              <w:bottom w:val="single" w:sz="4" w:space="0" w:color="auto"/>
              <w:right w:val="single" w:sz="4" w:space="0" w:color="auto"/>
            </w:tcBorders>
          </w:tcPr>
          <w:p w14:paraId="1DD0B883" w14:textId="77777777" w:rsidR="00585FD7" w:rsidRPr="0029161C" w:rsidRDefault="00903EAF"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6B432C3D" w14:textId="77777777" w:rsidR="00585FD7" w:rsidRPr="0029161C" w:rsidRDefault="00903EAF" w:rsidP="00E17D45">
            <w:pPr>
              <w:jc w:val="center"/>
            </w:pPr>
            <w:r>
              <w:t>KLB-1</w:t>
            </w:r>
          </w:p>
        </w:tc>
        <w:tc>
          <w:tcPr>
            <w:tcW w:w="4050" w:type="dxa"/>
            <w:tcBorders>
              <w:top w:val="single" w:sz="4" w:space="0" w:color="auto"/>
              <w:left w:val="single" w:sz="4" w:space="0" w:color="auto"/>
              <w:bottom w:val="single" w:sz="4" w:space="0" w:color="auto"/>
              <w:right w:val="single" w:sz="4" w:space="0" w:color="auto"/>
            </w:tcBorders>
          </w:tcPr>
          <w:p w14:paraId="0B051846" w14:textId="77777777" w:rsidR="00585FD7" w:rsidRPr="0029161C" w:rsidRDefault="00903EAF" w:rsidP="00E17D45">
            <w:r>
              <w:rPr>
                <w:rFonts w:cs="Arial"/>
                <w:spacing w:val="-3"/>
              </w:rPr>
              <w:t>MFRs Sponsored</w:t>
            </w:r>
          </w:p>
        </w:tc>
      </w:tr>
      <w:tr w:rsidR="00585FD7" w:rsidRPr="0029161C" w14:paraId="3194F38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670D293" w14:textId="77777777" w:rsidR="00585FD7" w:rsidRPr="0029161C" w:rsidRDefault="003B76EA" w:rsidP="00E17D45">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214B1969" w14:textId="77777777" w:rsidR="00585FD7" w:rsidRPr="0029161C" w:rsidRDefault="003B76EA" w:rsidP="00E17D45">
            <w:pPr>
              <w:jc w:val="center"/>
            </w:pPr>
            <w:r>
              <w:t>OPC</w:t>
            </w:r>
          </w:p>
        </w:tc>
        <w:tc>
          <w:tcPr>
            <w:tcW w:w="1350" w:type="dxa"/>
            <w:tcBorders>
              <w:top w:val="single" w:sz="4" w:space="0" w:color="auto"/>
              <w:left w:val="single" w:sz="4" w:space="0" w:color="auto"/>
              <w:bottom w:val="single" w:sz="4" w:space="0" w:color="auto"/>
              <w:right w:val="single" w:sz="4" w:space="0" w:color="auto"/>
            </w:tcBorders>
          </w:tcPr>
          <w:p w14:paraId="591A99F9" w14:textId="77777777" w:rsidR="00585FD7" w:rsidRPr="0029161C" w:rsidRDefault="003B76EA" w:rsidP="00E17D45">
            <w:pPr>
              <w:jc w:val="center"/>
            </w:pPr>
            <w:r>
              <w:t>LK-1</w:t>
            </w:r>
          </w:p>
        </w:tc>
        <w:tc>
          <w:tcPr>
            <w:tcW w:w="4050" w:type="dxa"/>
            <w:tcBorders>
              <w:top w:val="single" w:sz="4" w:space="0" w:color="auto"/>
              <w:left w:val="single" w:sz="4" w:space="0" w:color="auto"/>
              <w:bottom w:val="single" w:sz="4" w:space="0" w:color="auto"/>
              <w:right w:val="single" w:sz="4" w:space="0" w:color="auto"/>
            </w:tcBorders>
          </w:tcPr>
          <w:p w14:paraId="6C91D493" w14:textId="77777777" w:rsidR="00585FD7" w:rsidRPr="0029161C" w:rsidRDefault="003B76EA" w:rsidP="00E17D45">
            <w:r w:rsidRPr="00F36851">
              <w:rPr>
                <w:bCs/>
              </w:rPr>
              <w:t>Resume of Lane Kollen</w:t>
            </w:r>
          </w:p>
        </w:tc>
      </w:tr>
      <w:tr w:rsidR="003B76EA" w:rsidRPr="0029161C" w14:paraId="3C3F514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A5054A5"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36CC116A"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4DC4D052" w14:textId="77777777" w:rsidR="003B76EA" w:rsidRPr="0029161C" w:rsidRDefault="003B76EA" w:rsidP="003B76EA">
            <w:pPr>
              <w:jc w:val="center"/>
            </w:pPr>
            <w:r>
              <w:t>LK-2</w:t>
            </w:r>
          </w:p>
        </w:tc>
        <w:tc>
          <w:tcPr>
            <w:tcW w:w="4050" w:type="dxa"/>
            <w:tcBorders>
              <w:top w:val="single" w:sz="4" w:space="0" w:color="auto"/>
              <w:left w:val="single" w:sz="4" w:space="0" w:color="auto"/>
              <w:bottom w:val="single" w:sz="4" w:space="0" w:color="auto"/>
              <w:right w:val="single" w:sz="4" w:space="0" w:color="auto"/>
            </w:tcBorders>
          </w:tcPr>
          <w:p w14:paraId="1278B834" w14:textId="77777777" w:rsidR="003B76EA" w:rsidRPr="0029161C" w:rsidRDefault="003B76EA" w:rsidP="003B76EA">
            <w:r w:rsidRPr="00F36851">
              <w:rPr>
                <w:bCs/>
              </w:rPr>
              <w:t>PGS Response to OPC’s First Request for Production, No. 46</w:t>
            </w:r>
          </w:p>
        </w:tc>
      </w:tr>
      <w:tr w:rsidR="003B76EA" w:rsidRPr="0029161C" w14:paraId="7E262C6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41DAE9D"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61C0A21D"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36180DA6" w14:textId="77777777" w:rsidR="003B76EA" w:rsidRPr="0029161C" w:rsidRDefault="003B76EA" w:rsidP="003B76EA">
            <w:pPr>
              <w:jc w:val="center"/>
            </w:pPr>
            <w:r>
              <w:t>LK-3</w:t>
            </w:r>
          </w:p>
        </w:tc>
        <w:tc>
          <w:tcPr>
            <w:tcW w:w="4050" w:type="dxa"/>
            <w:tcBorders>
              <w:top w:val="single" w:sz="4" w:space="0" w:color="auto"/>
              <w:left w:val="single" w:sz="4" w:space="0" w:color="auto"/>
              <w:bottom w:val="single" w:sz="4" w:space="0" w:color="auto"/>
              <w:right w:val="single" w:sz="4" w:space="0" w:color="auto"/>
            </w:tcBorders>
          </w:tcPr>
          <w:p w14:paraId="53D06E59" w14:textId="77777777" w:rsidR="003B76EA" w:rsidRPr="0029161C" w:rsidRDefault="003B76EA" w:rsidP="003B76EA">
            <w:r w:rsidRPr="00F36851">
              <w:rPr>
                <w:bCs/>
              </w:rPr>
              <w:t>PGS Response to OPC’s First Set of Interrogatories, No. 100</w:t>
            </w:r>
          </w:p>
        </w:tc>
      </w:tr>
      <w:tr w:rsidR="003B76EA" w:rsidRPr="0029161C" w14:paraId="45119D2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981CCED"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239F566C"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32C33B29" w14:textId="77777777" w:rsidR="003B76EA" w:rsidRPr="0029161C" w:rsidRDefault="003B76EA" w:rsidP="003B76EA">
            <w:pPr>
              <w:jc w:val="center"/>
            </w:pPr>
            <w:r>
              <w:t>LK-4</w:t>
            </w:r>
          </w:p>
        </w:tc>
        <w:tc>
          <w:tcPr>
            <w:tcW w:w="4050" w:type="dxa"/>
            <w:tcBorders>
              <w:top w:val="single" w:sz="4" w:space="0" w:color="auto"/>
              <w:left w:val="single" w:sz="4" w:space="0" w:color="auto"/>
              <w:bottom w:val="single" w:sz="4" w:space="0" w:color="auto"/>
              <w:right w:val="single" w:sz="4" w:space="0" w:color="auto"/>
            </w:tcBorders>
          </w:tcPr>
          <w:p w14:paraId="06C16A24" w14:textId="77777777" w:rsidR="003B76EA" w:rsidRPr="0029161C" w:rsidRDefault="003B76EA" w:rsidP="003B76EA">
            <w:r w:rsidRPr="00F36851">
              <w:rPr>
                <w:bCs/>
              </w:rPr>
              <w:t>PGS Response to OPC’s First Set of Interrogatories, No. 97</w:t>
            </w:r>
          </w:p>
        </w:tc>
      </w:tr>
      <w:tr w:rsidR="003B76EA" w:rsidRPr="0029161C" w14:paraId="3CA77857"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FC7A6BB"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3954368A"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6EBD2778" w14:textId="77777777" w:rsidR="003B76EA" w:rsidRPr="0029161C" w:rsidRDefault="003B76EA" w:rsidP="003B76EA">
            <w:pPr>
              <w:jc w:val="center"/>
            </w:pPr>
            <w:r>
              <w:t>LK-5</w:t>
            </w:r>
          </w:p>
        </w:tc>
        <w:tc>
          <w:tcPr>
            <w:tcW w:w="4050" w:type="dxa"/>
            <w:tcBorders>
              <w:top w:val="single" w:sz="4" w:space="0" w:color="auto"/>
              <w:left w:val="single" w:sz="4" w:space="0" w:color="auto"/>
              <w:bottom w:val="single" w:sz="4" w:space="0" w:color="auto"/>
              <w:right w:val="single" w:sz="4" w:space="0" w:color="auto"/>
            </w:tcBorders>
          </w:tcPr>
          <w:p w14:paraId="69A0108A" w14:textId="77777777" w:rsidR="003B76EA" w:rsidRPr="0029161C" w:rsidRDefault="003B76EA" w:rsidP="003B76EA">
            <w:r w:rsidRPr="00F36851">
              <w:t>PGS Response to OPC’s First Set of Interrogatories, No. 95</w:t>
            </w:r>
          </w:p>
        </w:tc>
      </w:tr>
      <w:tr w:rsidR="003B76EA" w:rsidRPr="0029161C" w14:paraId="07F8940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FC08542"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17C52526"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012ED323" w14:textId="77777777" w:rsidR="003B76EA" w:rsidRPr="0029161C" w:rsidRDefault="003B76EA" w:rsidP="003B76EA">
            <w:pPr>
              <w:jc w:val="center"/>
            </w:pPr>
            <w:r>
              <w:t>LK-6</w:t>
            </w:r>
          </w:p>
        </w:tc>
        <w:tc>
          <w:tcPr>
            <w:tcW w:w="4050" w:type="dxa"/>
            <w:tcBorders>
              <w:top w:val="single" w:sz="4" w:space="0" w:color="auto"/>
              <w:left w:val="single" w:sz="4" w:space="0" w:color="auto"/>
              <w:bottom w:val="single" w:sz="4" w:space="0" w:color="auto"/>
              <w:right w:val="single" w:sz="4" w:space="0" w:color="auto"/>
            </w:tcBorders>
          </w:tcPr>
          <w:p w14:paraId="7C669F42" w14:textId="77777777" w:rsidR="003B76EA" w:rsidRPr="0029161C" w:rsidRDefault="003B76EA" w:rsidP="003B76EA">
            <w:r w:rsidRPr="00F36851">
              <w:t>PGS Response to OPC’s Fifth Set of Interrogatories, No. 220</w:t>
            </w:r>
          </w:p>
        </w:tc>
      </w:tr>
      <w:tr w:rsidR="003B76EA" w:rsidRPr="0029161C" w14:paraId="45B800BC"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6528E1A"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08226DF1"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BE058A5" w14:textId="77777777" w:rsidR="003B76EA" w:rsidRPr="0029161C" w:rsidRDefault="003B76EA" w:rsidP="003B76EA">
            <w:pPr>
              <w:jc w:val="center"/>
            </w:pPr>
            <w:r>
              <w:t>LK-7</w:t>
            </w:r>
          </w:p>
        </w:tc>
        <w:tc>
          <w:tcPr>
            <w:tcW w:w="4050" w:type="dxa"/>
            <w:tcBorders>
              <w:top w:val="single" w:sz="4" w:space="0" w:color="auto"/>
              <w:left w:val="single" w:sz="4" w:space="0" w:color="auto"/>
              <w:bottom w:val="single" w:sz="4" w:space="0" w:color="auto"/>
              <w:right w:val="single" w:sz="4" w:space="0" w:color="auto"/>
            </w:tcBorders>
          </w:tcPr>
          <w:p w14:paraId="58B57E38" w14:textId="77777777" w:rsidR="003B76EA" w:rsidRPr="0029161C" w:rsidRDefault="003B76EA" w:rsidP="003B76EA">
            <w:r w:rsidRPr="00F36851">
              <w:t>PGS Response to OPC’s Third Set of Interrogatories, No. 132</w:t>
            </w:r>
          </w:p>
        </w:tc>
      </w:tr>
      <w:tr w:rsidR="003B76EA" w:rsidRPr="0029161C" w14:paraId="505C52D2"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F0116B2"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27D081CF"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05109F32" w14:textId="77777777" w:rsidR="003B76EA" w:rsidRPr="0029161C" w:rsidRDefault="003B76EA" w:rsidP="003B76EA">
            <w:pPr>
              <w:jc w:val="center"/>
            </w:pPr>
            <w:r>
              <w:t>LK-8</w:t>
            </w:r>
          </w:p>
        </w:tc>
        <w:tc>
          <w:tcPr>
            <w:tcW w:w="4050" w:type="dxa"/>
            <w:tcBorders>
              <w:top w:val="single" w:sz="4" w:space="0" w:color="auto"/>
              <w:left w:val="single" w:sz="4" w:space="0" w:color="auto"/>
              <w:bottom w:val="single" w:sz="4" w:space="0" w:color="auto"/>
              <w:right w:val="single" w:sz="4" w:space="0" w:color="auto"/>
            </w:tcBorders>
          </w:tcPr>
          <w:p w14:paraId="69B7EF18" w14:textId="77777777" w:rsidR="003B76EA" w:rsidRPr="0029161C" w:rsidRDefault="003B76EA" w:rsidP="003B76EA">
            <w:r w:rsidRPr="00F36851">
              <w:rPr>
                <w:bCs/>
              </w:rPr>
              <w:t>PGS Response to OPC’s First Set of Interrogatories, No. 81</w:t>
            </w:r>
          </w:p>
        </w:tc>
      </w:tr>
      <w:tr w:rsidR="003B76EA" w:rsidRPr="0029161C" w14:paraId="2C812CC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0E219BC"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D01F3CC"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4EF2C349" w14:textId="77777777" w:rsidR="003B76EA" w:rsidRPr="0029161C" w:rsidRDefault="003B76EA" w:rsidP="003B76EA">
            <w:pPr>
              <w:jc w:val="center"/>
            </w:pPr>
            <w:r>
              <w:t>LK-9</w:t>
            </w:r>
          </w:p>
        </w:tc>
        <w:tc>
          <w:tcPr>
            <w:tcW w:w="4050" w:type="dxa"/>
            <w:tcBorders>
              <w:top w:val="single" w:sz="4" w:space="0" w:color="auto"/>
              <w:left w:val="single" w:sz="4" w:space="0" w:color="auto"/>
              <w:bottom w:val="single" w:sz="4" w:space="0" w:color="auto"/>
              <w:right w:val="single" w:sz="4" w:space="0" w:color="auto"/>
            </w:tcBorders>
          </w:tcPr>
          <w:p w14:paraId="523A955F" w14:textId="77777777" w:rsidR="003B76EA" w:rsidRPr="0029161C" w:rsidRDefault="003B76EA" w:rsidP="003B76EA">
            <w:r w:rsidRPr="00F36851">
              <w:rPr>
                <w:bCs/>
              </w:rPr>
              <w:t>PGS Response to OPC’s First Set of Interrogatories, No. 92</w:t>
            </w:r>
          </w:p>
        </w:tc>
      </w:tr>
      <w:tr w:rsidR="003B76EA" w:rsidRPr="0029161C" w14:paraId="0E7E516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29FFB99"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E8421F3"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E1773C5" w14:textId="77777777" w:rsidR="003B76EA" w:rsidRPr="0029161C" w:rsidRDefault="003B76EA" w:rsidP="003B76EA">
            <w:pPr>
              <w:jc w:val="center"/>
            </w:pPr>
            <w:r>
              <w:t>LK-10</w:t>
            </w:r>
          </w:p>
        </w:tc>
        <w:tc>
          <w:tcPr>
            <w:tcW w:w="4050" w:type="dxa"/>
            <w:tcBorders>
              <w:top w:val="single" w:sz="4" w:space="0" w:color="auto"/>
              <w:left w:val="single" w:sz="4" w:space="0" w:color="auto"/>
              <w:bottom w:val="single" w:sz="4" w:space="0" w:color="auto"/>
              <w:right w:val="single" w:sz="4" w:space="0" w:color="auto"/>
            </w:tcBorders>
          </w:tcPr>
          <w:p w14:paraId="54C11638" w14:textId="77777777" w:rsidR="003B76EA" w:rsidRPr="0029161C" w:rsidRDefault="003B76EA" w:rsidP="003B76EA">
            <w:r w:rsidRPr="00F36851">
              <w:rPr>
                <w:bCs/>
              </w:rPr>
              <w:t>PGS Response to OPC’s First Set of Interrogatories, No. 82</w:t>
            </w:r>
          </w:p>
        </w:tc>
      </w:tr>
      <w:tr w:rsidR="003B76EA" w:rsidRPr="0029161C" w14:paraId="5C6A270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F052426"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23488FD6"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31C2C9E7" w14:textId="77777777" w:rsidR="003B76EA" w:rsidRPr="0029161C" w:rsidRDefault="003B76EA" w:rsidP="003B76EA">
            <w:pPr>
              <w:jc w:val="center"/>
            </w:pPr>
            <w:r>
              <w:t>LK-11</w:t>
            </w:r>
          </w:p>
        </w:tc>
        <w:tc>
          <w:tcPr>
            <w:tcW w:w="4050" w:type="dxa"/>
            <w:tcBorders>
              <w:top w:val="single" w:sz="4" w:space="0" w:color="auto"/>
              <w:left w:val="single" w:sz="4" w:space="0" w:color="auto"/>
              <w:bottom w:val="single" w:sz="4" w:space="0" w:color="auto"/>
              <w:right w:val="single" w:sz="4" w:space="0" w:color="auto"/>
            </w:tcBorders>
          </w:tcPr>
          <w:p w14:paraId="18C86F7F" w14:textId="77777777" w:rsidR="003B76EA" w:rsidRPr="0029161C" w:rsidRDefault="003B76EA" w:rsidP="003B76EA">
            <w:r w:rsidRPr="00F36851">
              <w:rPr>
                <w:bCs/>
              </w:rPr>
              <w:t>PGS Response to OPC’s First Set of Interrogatories, No. 13</w:t>
            </w:r>
          </w:p>
        </w:tc>
      </w:tr>
      <w:tr w:rsidR="003B76EA" w:rsidRPr="0029161C" w14:paraId="3A7C65B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F68848B"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17B1C781"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1A3F4ED9" w14:textId="77777777" w:rsidR="003B76EA" w:rsidRPr="0029161C" w:rsidRDefault="003B76EA" w:rsidP="003B76EA">
            <w:pPr>
              <w:jc w:val="center"/>
            </w:pPr>
            <w:r>
              <w:t>LK-12</w:t>
            </w:r>
          </w:p>
        </w:tc>
        <w:tc>
          <w:tcPr>
            <w:tcW w:w="4050" w:type="dxa"/>
            <w:tcBorders>
              <w:top w:val="single" w:sz="4" w:space="0" w:color="auto"/>
              <w:left w:val="single" w:sz="4" w:space="0" w:color="auto"/>
              <w:bottom w:val="single" w:sz="4" w:space="0" w:color="auto"/>
              <w:right w:val="single" w:sz="4" w:space="0" w:color="auto"/>
            </w:tcBorders>
          </w:tcPr>
          <w:p w14:paraId="09C08A0A" w14:textId="77777777" w:rsidR="003B76EA" w:rsidRPr="0029161C" w:rsidRDefault="003B76EA" w:rsidP="003B76EA">
            <w:r w:rsidRPr="00F36851">
              <w:rPr>
                <w:bCs/>
              </w:rPr>
              <w:t>PGS Response to OPC’s Fourth Set of Interrogatories, No. 202</w:t>
            </w:r>
          </w:p>
        </w:tc>
      </w:tr>
      <w:tr w:rsidR="003B76EA" w:rsidRPr="0029161C" w14:paraId="0EAD553C"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1580822" w14:textId="77777777" w:rsidR="003B76EA" w:rsidRPr="0029161C" w:rsidRDefault="003B76EA" w:rsidP="003B76EA">
            <w:pPr>
              <w:jc w:val="both"/>
            </w:pPr>
            <w:r w:rsidRPr="00F36851">
              <w:rPr>
                <w:bCs/>
              </w:rPr>
              <w:lastRenderedPageBreak/>
              <w:t>Lane Kollen</w:t>
            </w:r>
          </w:p>
        </w:tc>
        <w:tc>
          <w:tcPr>
            <w:tcW w:w="1530" w:type="dxa"/>
            <w:tcBorders>
              <w:top w:val="single" w:sz="4" w:space="0" w:color="auto"/>
              <w:left w:val="single" w:sz="4" w:space="0" w:color="auto"/>
              <w:bottom w:val="single" w:sz="4" w:space="0" w:color="auto"/>
              <w:right w:val="single" w:sz="4" w:space="0" w:color="auto"/>
            </w:tcBorders>
          </w:tcPr>
          <w:p w14:paraId="393CDF96"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6F5A5229" w14:textId="77777777" w:rsidR="003B76EA" w:rsidRPr="0029161C" w:rsidRDefault="003B76EA" w:rsidP="003B76EA">
            <w:pPr>
              <w:jc w:val="center"/>
            </w:pPr>
            <w:r>
              <w:t>LK-13</w:t>
            </w:r>
          </w:p>
        </w:tc>
        <w:tc>
          <w:tcPr>
            <w:tcW w:w="4050" w:type="dxa"/>
            <w:tcBorders>
              <w:top w:val="single" w:sz="4" w:space="0" w:color="auto"/>
              <w:left w:val="single" w:sz="4" w:space="0" w:color="auto"/>
              <w:bottom w:val="single" w:sz="4" w:space="0" w:color="auto"/>
              <w:right w:val="single" w:sz="4" w:space="0" w:color="auto"/>
            </w:tcBorders>
          </w:tcPr>
          <w:p w14:paraId="770ED279" w14:textId="77777777" w:rsidR="003B76EA" w:rsidRPr="0029161C" w:rsidRDefault="003B76EA" w:rsidP="003B76EA">
            <w:r w:rsidRPr="00F36851">
              <w:rPr>
                <w:bCs/>
              </w:rPr>
              <w:t>PGS Response to OPC’s First Set of Interrogatories, No. 11</w:t>
            </w:r>
          </w:p>
        </w:tc>
      </w:tr>
      <w:tr w:rsidR="003B76EA" w:rsidRPr="0029161C" w14:paraId="389A10F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AAB9A37"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14480B65"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AE9EC3F" w14:textId="77777777" w:rsidR="003B76EA" w:rsidRPr="0029161C" w:rsidRDefault="003B76EA" w:rsidP="003B76EA">
            <w:pPr>
              <w:jc w:val="center"/>
            </w:pPr>
            <w:r>
              <w:t>LK-14</w:t>
            </w:r>
          </w:p>
        </w:tc>
        <w:tc>
          <w:tcPr>
            <w:tcW w:w="4050" w:type="dxa"/>
            <w:tcBorders>
              <w:top w:val="single" w:sz="4" w:space="0" w:color="auto"/>
              <w:left w:val="single" w:sz="4" w:space="0" w:color="auto"/>
              <w:bottom w:val="single" w:sz="4" w:space="0" w:color="auto"/>
              <w:right w:val="single" w:sz="4" w:space="0" w:color="auto"/>
            </w:tcBorders>
          </w:tcPr>
          <w:p w14:paraId="6B18FC75" w14:textId="77777777" w:rsidR="003B76EA" w:rsidRPr="0029161C" w:rsidRDefault="003B76EA" w:rsidP="003B76EA">
            <w:r w:rsidRPr="00F36851">
              <w:rPr>
                <w:bCs/>
              </w:rPr>
              <w:t>PGS Response to OPC’s First Set of Interrogatories, No. 21</w:t>
            </w:r>
          </w:p>
        </w:tc>
      </w:tr>
      <w:tr w:rsidR="003B76EA" w:rsidRPr="0029161C" w14:paraId="55E6B27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9897BF8"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A65A152"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7EACAE4" w14:textId="77777777" w:rsidR="003B76EA" w:rsidRPr="0029161C" w:rsidRDefault="003B76EA" w:rsidP="003B76EA">
            <w:pPr>
              <w:jc w:val="center"/>
            </w:pPr>
            <w:r>
              <w:t>LK-15</w:t>
            </w:r>
          </w:p>
        </w:tc>
        <w:tc>
          <w:tcPr>
            <w:tcW w:w="4050" w:type="dxa"/>
            <w:tcBorders>
              <w:top w:val="single" w:sz="4" w:space="0" w:color="auto"/>
              <w:left w:val="single" w:sz="4" w:space="0" w:color="auto"/>
              <w:bottom w:val="single" w:sz="4" w:space="0" w:color="auto"/>
              <w:right w:val="single" w:sz="4" w:space="0" w:color="auto"/>
            </w:tcBorders>
          </w:tcPr>
          <w:p w14:paraId="7576494B" w14:textId="77777777" w:rsidR="003B76EA" w:rsidRPr="0029161C" w:rsidRDefault="003B76EA" w:rsidP="003B76EA">
            <w:r w:rsidRPr="00F36851">
              <w:rPr>
                <w:bCs/>
              </w:rPr>
              <w:t>PGS Response to OPC’s First Set of Interrogatories, No. 8</w:t>
            </w:r>
          </w:p>
        </w:tc>
      </w:tr>
      <w:tr w:rsidR="003B76EA" w:rsidRPr="0029161C" w14:paraId="0820712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E5A4326"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37CEC533"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126FF871" w14:textId="77777777" w:rsidR="003B76EA" w:rsidRPr="0029161C" w:rsidRDefault="003B76EA" w:rsidP="003B76EA">
            <w:pPr>
              <w:jc w:val="center"/>
            </w:pPr>
            <w:r>
              <w:t>LK-16</w:t>
            </w:r>
          </w:p>
        </w:tc>
        <w:tc>
          <w:tcPr>
            <w:tcW w:w="4050" w:type="dxa"/>
            <w:tcBorders>
              <w:top w:val="single" w:sz="4" w:space="0" w:color="auto"/>
              <w:left w:val="single" w:sz="4" w:space="0" w:color="auto"/>
              <w:bottom w:val="single" w:sz="4" w:space="0" w:color="auto"/>
              <w:right w:val="single" w:sz="4" w:space="0" w:color="auto"/>
            </w:tcBorders>
          </w:tcPr>
          <w:p w14:paraId="6C9AC264" w14:textId="77777777" w:rsidR="003B76EA" w:rsidRPr="0029161C" w:rsidRDefault="003B76EA" w:rsidP="003B76EA">
            <w:r w:rsidRPr="00F36851">
              <w:rPr>
                <w:bCs/>
              </w:rPr>
              <w:t>PGS Response to OPC’s Eighth Request for Production, No. 95</w:t>
            </w:r>
          </w:p>
        </w:tc>
      </w:tr>
      <w:tr w:rsidR="003B76EA" w:rsidRPr="0029161C" w14:paraId="7CC39703" w14:textId="77777777" w:rsidTr="006F71EF">
        <w:trPr>
          <w:cantSplit/>
          <w:trHeight w:val="373"/>
        </w:trPr>
        <w:tc>
          <w:tcPr>
            <w:tcW w:w="2610" w:type="dxa"/>
            <w:tcBorders>
              <w:top w:val="single" w:sz="4" w:space="0" w:color="auto"/>
              <w:left w:val="single" w:sz="4" w:space="0" w:color="auto"/>
              <w:bottom w:val="single" w:sz="4" w:space="0" w:color="auto"/>
              <w:right w:val="single" w:sz="4" w:space="0" w:color="auto"/>
            </w:tcBorders>
          </w:tcPr>
          <w:p w14:paraId="5FA11A76"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42811D66"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6E51A78C" w14:textId="77777777" w:rsidR="003B76EA" w:rsidRPr="0029161C" w:rsidRDefault="003B76EA" w:rsidP="003B76EA">
            <w:pPr>
              <w:jc w:val="center"/>
            </w:pPr>
            <w:r>
              <w:t>LK-17</w:t>
            </w:r>
          </w:p>
        </w:tc>
        <w:tc>
          <w:tcPr>
            <w:tcW w:w="4050" w:type="dxa"/>
            <w:tcBorders>
              <w:top w:val="single" w:sz="4" w:space="0" w:color="auto"/>
              <w:left w:val="single" w:sz="4" w:space="0" w:color="auto"/>
              <w:bottom w:val="single" w:sz="4" w:space="0" w:color="auto"/>
              <w:right w:val="single" w:sz="4" w:space="0" w:color="auto"/>
            </w:tcBorders>
          </w:tcPr>
          <w:p w14:paraId="4D95895D" w14:textId="77777777" w:rsidR="003B76EA" w:rsidRPr="0029161C" w:rsidRDefault="003B76EA" w:rsidP="003B76EA">
            <w:r w:rsidRPr="00F36851">
              <w:rPr>
                <w:bCs/>
              </w:rPr>
              <w:t>PGS Response to OPC’s Fourth Set of Interrogatories, No. 203</w:t>
            </w:r>
          </w:p>
        </w:tc>
      </w:tr>
      <w:tr w:rsidR="003B76EA" w:rsidRPr="0029161C" w14:paraId="2D83AED2"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685534F"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3D9FC66"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0CB4DB41" w14:textId="77777777" w:rsidR="003B76EA" w:rsidRPr="0029161C" w:rsidRDefault="003B76EA" w:rsidP="003B76EA">
            <w:pPr>
              <w:jc w:val="center"/>
            </w:pPr>
            <w:r>
              <w:t>LK-18</w:t>
            </w:r>
          </w:p>
        </w:tc>
        <w:tc>
          <w:tcPr>
            <w:tcW w:w="4050" w:type="dxa"/>
            <w:tcBorders>
              <w:top w:val="single" w:sz="4" w:space="0" w:color="auto"/>
              <w:left w:val="single" w:sz="4" w:space="0" w:color="auto"/>
              <w:bottom w:val="single" w:sz="4" w:space="0" w:color="auto"/>
              <w:right w:val="single" w:sz="4" w:space="0" w:color="auto"/>
            </w:tcBorders>
          </w:tcPr>
          <w:p w14:paraId="114C0C61" w14:textId="77777777" w:rsidR="003B76EA" w:rsidRPr="0029161C" w:rsidRDefault="003B76EA" w:rsidP="003B76EA">
            <w:r w:rsidRPr="00F36851">
              <w:rPr>
                <w:bCs/>
              </w:rPr>
              <w:t>PGS Response to OPC’s Fourth Set of Interrogatories, Nos. 180 and 181</w:t>
            </w:r>
          </w:p>
        </w:tc>
      </w:tr>
      <w:tr w:rsidR="003B76EA" w:rsidRPr="0029161C" w14:paraId="558FD3D2"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FD67001"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5093954D"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48D39AFE" w14:textId="77777777" w:rsidR="003B76EA" w:rsidRPr="0029161C" w:rsidRDefault="003B76EA" w:rsidP="003B76EA">
            <w:pPr>
              <w:jc w:val="center"/>
            </w:pPr>
            <w:r>
              <w:t>LK-19</w:t>
            </w:r>
          </w:p>
        </w:tc>
        <w:tc>
          <w:tcPr>
            <w:tcW w:w="4050" w:type="dxa"/>
            <w:tcBorders>
              <w:top w:val="single" w:sz="4" w:space="0" w:color="auto"/>
              <w:left w:val="single" w:sz="4" w:space="0" w:color="auto"/>
              <w:bottom w:val="single" w:sz="4" w:space="0" w:color="auto"/>
              <w:right w:val="single" w:sz="4" w:space="0" w:color="auto"/>
            </w:tcBorders>
          </w:tcPr>
          <w:p w14:paraId="78EDCAF3" w14:textId="77777777" w:rsidR="003B76EA" w:rsidRPr="0029161C" w:rsidRDefault="003B76EA" w:rsidP="003B76EA">
            <w:r w:rsidRPr="00F36851">
              <w:rPr>
                <w:bCs/>
              </w:rPr>
              <w:t>PGS Response to OPC’s First Set of Interrogatories, Nos. 7, 186, and 238</w:t>
            </w:r>
          </w:p>
        </w:tc>
      </w:tr>
      <w:tr w:rsidR="003B76EA" w:rsidRPr="0029161C" w14:paraId="22070B1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9BE0FC3"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5B6F519A"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589A6FC3" w14:textId="77777777" w:rsidR="003B76EA" w:rsidRPr="0029161C" w:rsidRDefault="003B76EA" w:rsidP="003B76EA">
            <w:pPr>
              <w:jc w:val="center"/>
            </w:pPr>
            <w:r>
              <w:t>LK-20</w:t>
            </w:r>
          </w:p>
        </w:tc>
        <w:tc>
          <w:tcPr>
            <w:tcW w:w="4050" w:type="dxa"/>
            <w:tcBorders>
              <w:top w:val="single" w:sz="4" w:space="0" w:color="auto"/>
              <w:left w:val="single" w:sz="4" w:space="0" w:color="auto"/>
              <w:bottom w:val="single" w:sz="4" w:space="0" w:color="auto"/>
              <w:right w:val="single" w:sz="4" w:space="0" w:color="auto"/>
            </w:tcBorders>
          </w:tcPr>
          <w:p w14:paraId="37BE7E7B" w14:textId="77777777" w:rsidR="003B76EA" w:rsidRPr="0029161C" w:rsidRDefault="003B76EA" w:rsidP="003B76EA">
            <w:r w:rsidRPr="00F36851">
              <w:rPr>
                <w:bCs/>
              </w:rPr>
              <w:t>PGS Response to OPC’s First Set of Interrogatories, No. 18</w:t>
            </w:r>
          </w:p>
        </w:tc>
      </w:tr>
      <w:tr w:rsidR="003B76EA" w:rsidRPr="0029161C" w14:paraId="72B541A8"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340C24E"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666ADB1D"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C64CAE5" w14:textId="77777777" w:rsidR="003B76EA" w:rsidRPr="0029161C" w:rsidRDefault="003B76EA" w:rsidP="003B76EA">
            <w:pPr>
              <w:jc w:val="center"/>
            </w:pPr>
            <w:r>
              <w:t>LK-21</w:t>
            </w:r>
          </w:p>
        </w:tc>
        <w:tc>
          <w:tcPr>
            <w:tcW w:w="4050" w:type="dxa"/>
            <w:tcBorders>
              <w:top w:val="single" w:sz="4" w:space="0" w:color="auto"/>
              <w:left w:val="single" w:sz="4" w:space="0" w:color="auto"/>
              <w:bottom w:val="single" w:sz="4" w:space="0" w:color="auto"/>
              <w:right w:val="single" w:sz="4" w:space="0" w:color="auto"/>
            </w:tcBorders>
          </w:tcPr>
          <w:p w14:paraId="31C87820" w14:textId="77777777" w:rsidR="003B76EA" w:rsidRPr="0029161C" w:rsidRDefault="003B76EA" w:rsidP="003B76EA">
            <w:r w:rsidRPr="00F36851">
              <w:rPr>
                <w:bCs/>
              </w:rPr>
              <w:t>PGS Response to OPC’s Fourth Set of Interrogatories, No. 185</w:t>
            </w:r>
          </w:p>
        </w:tc>
      </w:tr>
      <w:tr w:rsidR="003B76EA" w:rsidRPr="0029161C" w14:paraId="03229A59"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EA4C8A9"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02B2D457"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2188B206" w14:textId="77777777" w:rsidR="003B76EA" w:rsidRPr="0029161C" w:rsidRDefault="003B76EA" w:rsidP="003B76EA">
            <w:pPr>
              <w:jc w:val="center"/>
            </w:pPr>
            <w:r>
              <w:t>LK-22</w:t>
            </w:r>
          </w:p>
        </w:tc>
        <w:tc>
          <w:tcPr>
            <w:tcW w:w="4050" w:type="dxa"/>
            <w:tcBorders>
              <w:top w:val="single" w:sz="4" w:space="0" w:color="auto"/>
              <w:left w:val="single" w:sz="4" w:space="0" w:color="auto"/>
              <w:bottom w:val="single" w:sz="4" w:space="0" w:color="auto"/>
              <w:right w:val="single" w:sz="4" w:space="0" w:color="auto"/>
            </w:tcBorders>
          </w:tcPr>
          <w:p w14:paraId="14224E4D" w14:textId="77777777" w:rsidR="003B76EA" w:rsidRPr="0029161C" w:rsidRDefault="003B76EA" w:rsidP="003B76EA">
            <w:r w:rsidRPr="00F36851">
              <w:rPr>
                <w:bCs/>
              </w:rPr>
              <w:t>PGS Response to OPC’s Fourth Set of Interrogatories, No. 198</w:t>
            </w:r>
          </w:p>
        </w:tc>
      </w:tr>
      <w:tr w:rsidR="003B76EA" w:rsidRPr="0029161C" w14:paraId="5701F24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187E88D"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35F1471C"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0441DE82" w14:textId="77777777" w:rsidR="003B76EA" w:rsidRPr="0029161C" w:rsidRDefault="003B76EA" w:rsidP="003B76EA">
            <w:pPr>
              <w:jc w:val="center"/>
            </w:pPr>
            <w:r>
              <w:t>LK-23</w:t>
            </w:r>
          </w:p>
        </w:tc>
        <w:tc>
          <w:tcPr>
            <w:tcW w:w="4050" w:type="dxa"/>
            <w:tcBorders>
              <w:top w:val="single" w:sz="4" w:space="0" w:color="auto"/>
              <w:left w:val="single" w:sz="4" w:space="0" w:color="auto"/>
              <w:bottom w:val="single" w:sz="4" w:space="0" w:color="auto"/>
              <w:right w:val="single" w:sz="4" w:space="0" w:color="auto"/>
            </w:tcBorders>
          </w:tcPr>
          <w:p w14:paraId="6E01D2D4" w14:textId="77777777" w:rsidR="003B76EA" w:rsidRPr="0029161C" w:rsidRDefault="003B76EA" w:rsidP="003B76EA">
            <w:r w:rsidRPr="00F36851">
              <w:rPr>
                <w:bCs/>
              </w:rPr>
              <w:t>PGS Response to OPC’s Fourth Set of Interrogatories, No. 199</w:t>
            </w:r>
          </w:p>
        </w:tc>
      </w:tr>
      <w:tr w:rsidR="003B76EA" w:rsidRPr="0029161C" w14:paraId="5BA8ED8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0B91B04"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584E0DEB"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4578C351" w14:textId="77777777" w:rsidR="003B76EA" w:rsidRPr="0029161C" w:rsidRDefault="003B76EA" w:rsidP="003B76EA">
            <w:pPr>
              <w:jc w:val="center"/>
            </w:pPr>
            <w:r>
              <w:t>LK-24</w:t>
            </w:r>
          </w:p>
        </w:tc>
        <w:tc>
          <w:tcPr>
            <w:tcW w:w="4050" w:type="dxa"/>
            <w:tcBorders>
              <w:top w:val="single" w:sz="4" w:space="0" w:color="auto"/>
              <w:left w:val="single" w:sz="4" w:space="0" w:color="auto"/>
              <w:bottom w:val="single" w:sz="4" w:space="0" w:color="auto"/>
              <w:right w:val="single" w:sz="4" w:space="0" w:color="auto"/>
            </w:tcBorders>
          </w:tcPr>
          <w:p w14:paraId="44E9E2A7" w14:textId="77777777" w:rsidR="003B76EA" w:rsidRPr="0029161C" w:rsidRDefault="003B76EA" w:rsidP="003B76EA">
            <w:r w:rsidRPr="00F36851">
              <w:rPr>
                <w:bCs/>
              </w:rPr>
              <w:t>PGS Response to OPC’s First Request for Production, No. 45 (Narrative and 1 Worksheet)</w:t>
            </w:r>
          </w:p>
        </w:tc>
      </w:tr>
      <w:tr w:rsidR="003B76EA" w:rsidRPr="0029161C" w14:paraId="2A07007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AADD545"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9DBA7DB"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7AC37D0F" w14:textId="77777777" w:rsidR="003B76EA" w:rsidRPr="0029161C" w:rsidRDefault="003B76EA" w:rsidP="003B76EA">
            <w:pPr>
              <w:jc w:val="center"/>
            </w:pPr>
            <w:r>
              <w:t>LK-25</w:t>
            </w:r>
          </w:p>
        </w:tc>
        <w:tc>
          <w:tcPr>
            <w:tcW w:w="4050" w:type="dxa"/>
            <w:tcBorders>
              <w:top w:val="single" w:sz="4" w:space="0" w:color="auto"/>
              <w:left w:val="single" w:sz="4" w:space="0" w:color="auto"/>
              <w:bottom w:val="single" w:sz="4" w:space="0" w:color="auto"/>
              <w:right w:val="single" w:sz="4" w:space="0" w:color="auto"/>
            </w:tcBorders>
          </w:tcPr>
          <w:p w14:paraId="38A19612" w14:textId="77777777" w:rsidR="003B76EA" w:rsidRPr="0029161C" w:rsidRDefault="003B76EA" w:rsidP="003B76EA">
            <w:r w:rsidRPr="00F36851">
              <w:rPr>
                <w:bCs/>
              </w:rPr>
              <w:t>PGS Response to OPC’s Ninth Set of Interrogatories, No. 241</w:t>
            </w:r>
          </w:p>
        </w:tc>
      </w:tr>
      <w:tr w:rsidR="003B76EA" w:rsidRPr="0029161C" w14:paraId="4BB34D28"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9AA8DFB"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4F15B677"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0F05DCBC" w14:textId="77777777" w:rsidR="003B76EA" w:rsidRPr="0029161C" w:rsidRDefault="003B76EA" w:rsidP="003B76EA">
            <w:pPr>
              <w:jc w:val="center"/>
            </w:pPr>
            <w:r>
              <w:t>LK-26</w:t>
            </w:r>
          </w:p>
        </w:tc>
        <w:tc>
          <w:tcPr>
            <w:tcW w:w="4050" w:type="dxa"/>
            <w:tcBorders>
              <w:top w:val="single" w:sz="4" w:space="0" w:color="auto"/>
              <w:left w:val="single" w:sz="4" w:space="0" w:color="auto"/>
              <w:bottom w:val="single" w:sz="4" w:space="0" w:color="auto"/>
              <w:right w:val="single" w:sz="4" w:space="0" w:color="auto"/>
            </w:tcBorders>
          </w:tcPr>
          <w:p w14:paraId="6EF1C22E" w14:textId="77777777" w:rsidR="003B76EA" w:rsidRPr="0029161C" w:rsidRDefault="003B76EA" w:rsidP="003B76EA">
            <w:r w:rsidRPr="00F36851">
              <w:rPr>
                <w:bCs/>
              </w:rPr>
              <w:t>PGS Response to OPC’s Ninth Set of Interrogatories, No. 240</w:t>
            </w:r>
          </w:p>
        </w:tc>
      </w:tr>
      <w:tr w:rsidR="003B76EA" w:rsidRPr="0029161C" w14:paraId="1FC3497F"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8A3C77B" w14:textId="77777777" w:rsidR="003B76EA" w:rsidRDefault="003B76EA" w:rsidP="003B76EA">
            <w:r w:rsidRPr="00F17EA6">
              <w:rPr>
                <w:bCs/>
              </w:rPr>
              <w:t>Lane Kollen</w:t>
            </w:r>
          </w:p>
        </w:tc>
        <w:tc>
          <w:tcPr>
            <w:tcW w:w="1530" w:type="dxa"/>
            <w:tcBorders>
              <w:top w:val="single" w:sz="4" w:space="0" w:color="auto"/>
              <w:left w:val="single" w:sz="4" w:space="0" w:color="auto"/>
              <w:bottom w:val="single" w:sz="4" w:space="0" w:color="auto"/>
              <w:right w:val="single" w:sz="4" w:space="0" w:color="auto"/>
            </w:tcBorders>
          </w:tcPr>
          <w:p w14:paraId="7E288C40"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749979E5" w14:textId="77777777" w:rsidR="003B76EA" w:rsidRPr="0029161C" w:rsidRDefault="003B76EA" w:rsidP="003B76EA">
            <w:pPr>
              <w:jc w:val="center"/>
            </w:pPr>
            <w:r>
              <w:t>LK-27</w:t>
            </w:r>
          </w:p>
        </w:tc>
        <w:tc>
          <w:tcPr>
            <w:tcW w:w="4050" w:type="dxa"/>
            <w:tcBorders>
              <w:top w:val="single" w:sz="4" w:space="0" w:color="auto"/>
              <w:left w:val="single" w:sz="4" w:space="0" w:color="auto"/>
              <w:bottom w:val="single" w:sz="4" w:space="0" w:color="auto"/>
              <w:right w:val="single" w:sz="4" w:space="0" w:color="auto"/>
            </w:tcBorders>
          </w:tcPr>
          <w:p w14:paraId="3EE62FC4" w14:textId="77777777" w:rsidR="003B76EA" w:rsidRPr="0029161C" w:rsidRDefault="003B76EA" w:rsidP="003B76EA">
            <w:r w:rsidRPr="00F36851">
              <w:rPr>
                <w:bCs/>
              </w:rPr>
              <w:t>PGS Response to Staff’s First Data Request, No. 1</w:t>
            </w:r>
          </w:p>
        </w:tc>
      </w:tr>
      <w:tr w:rsidR="003B76EA" w:rsidRPr="0029161C" w14:paraId="0DE68C5F"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1E75811" w14:textId="77777777" w:rsidR="003B76EA" w:rsidRPr="0029161C" w:rsidRDefault="003B76EA" w:rsidP="003B76EA">
            <w:pPr>
              <w:jc w:val="both"/>
            </w:pPr>
            <w:r w:rsidRPr="00F36851">
              <w:rPr>
                <w:bCs/>
              </w:rPr>
              <w:t>Lane Kollen</w:t>
            </w:r>
          </w:p>
        </w:tc>
        <w:tc>
          <w:tcPr>
            <w:tcW w:w="1530" w:type="dxa"/>
            <w:tcBorders>
              <w:top w:val="single" w:sz="4" w:space="0" w:color="auto"/>
              <w:left w:val="single" w:sz="4" w:space="0" w:color="auto"/>
              <w:bottom w:val="single" w:sz="4" w:space="0" w:color="auto"/>
              <w:right w:val="single" w:sz="4" w:space="0" w:color="auto"/>
            </w:tcBorders>
          </w:tcPr>
          <w:p w14:paraId="432A503A" w14:textId="77777777" w:rsidR="003B76EA" w:rsidRDefault="003B76EA" w:rsidP="003B76EA">
            <w:pPr>
              <w:jc w:val="center"/>
            </w:pPr>
            <w:r w:rsidRPr="005F29A6">
              <w:t>OPC</w:t>
            </w:r>
          </w:p>
        </w:tc>
        <w:tc>
          <w:tcPr>
            <w:tcW w:w="1350" w:type="dxa"/>
            <w:tcBorders>
              <w:top w:val="single" w:sz="4" w:space="0" w:color="auto"/>
              <w:left w:val="single" w:sz="4" w:space="0" w:color="auto"/>
              <w:bottom w:val="single" w:sz="4" w:space="0" w:color="auto"/>
              <w:right w:val="single" w:sz="4" w:space="0" w:color="auto"/>
            </w:tcBorders>
          </w:tcPr>
          <w:p w14:paraId="4954A8EC" w14:textId="77777777" w:rsidR="003B76EA" w:rsidRPr="0029161C" w:rsidRDefault="003B76EA" w:rsidP="003B76EA">
            <w:pPr>
              <w:jc w:val="center"/>
            </w:pPr>
            <w:r>
              <w:t>LK-28</w:t>
            </w:r>
          </w:p>
        </w:tc>
        <w:tc>
          <w:tcPr>
            <w:tcW w:w="4050" w:type="dxa"/>
            <w:tcBorders>
              <w:top w:val="single" w:sz="4" w:space="0" w:color="auto"/>
              <w:left w:val="single" w:sz="4" w:space="0" w:color="auto"/>
              <w:bottom w:val="single" w:sz="4" w:space="0" w:color="auto"/>
              <w:right w:val="single" w:sz="4" w:space="0" w:color="auto"/>
            </w:tcBorders>
          </w:tcPr>
          <w:p w14:paraId="4FE13622" w14:textId="77777777" w:rsidR="003B76EA" w:rsidRPr="0029161C" w:rsidRDefault="003B76EA" w:rsidP="003B76EA">
            <w:r w:rsidRPr="00F36851">
              <w:rPr>
                <w:bCs/>
              </w:rPr>
              <w:t>PGS Response to OPC’s First Set of Interrogatories, No. 99</w:t>
            </w:r>
          </w:p>
        </w:tc>
      </w:tr>
      <w:tr w:rsidR="00C06AD6" w:rsidRPr="0029161C" w14:paraId="13A21A2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0A3E011" w14:textId="77777777" w:rsidR="00C06AD6" w:rsidRPr="0029161C" w:rsidRDefault="00C06AD6" w:rsidP="00C06AD6">
            <w:pPr>
              <w:jc w:val="both"/>
            </w:pPr>
            <w:r w:rsidRPr="00D55AE7">
              <w:rPr>
                <w:bCs/>
              </w:rPr>
              <w:lastRenderedPageBreak/>
              <w:t>David Garrett</w:t>
            </w:r>
          </w:p>
        </w:tc>
        <w:tc>
          <w:tcPr>
            <w:tcW w:w="1530" w:type="dxa"/>
            <w:tcBorders>
              <w:top w:val="single" w:sz="4" w:space="0" w:color="auto"/>
              <w:left w:val="single" w:sz="4" w:space="0" w:color="auto"/>
              <w:bottom w:val="single" w:sz="4" w:space="0" w:color="auto"/>
              <w:right w:val="single" w:sz="4" w:space="0" w:color="auto"/>
            </w:tcBorders>
          </w:tcPr>
          <w:p w14:paraId="09D7D7ED"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8835A38" w14:textId="77777777" w:rsidR="00C06AD6" w:rsidRPr="0029161C" w:rsidRDefault="00C06AD6" w:rsidP="00C06AD6">
            <w:pPr>
              <w:jc w:val="center"/>
            </w:pPr>
            <w:r>
              <w:t>DJG-1</w:t>
            </w:r>
          </w:p>
        </w:tc>
        <w:tc>
          <w:tcPr>
            <w:tcW w:w="4050" w:type="dxa"/>
            <w:tcBorders>
              <w:top w:val="single" w:sz="4" w:space="0" w:color="auto"/>
              <w:left w:val="single" w:sz="4" w:space="0" w:color="auto"/>
              <w:bottom w:val="single" w:sz="4" w:space="0" w:color="auto"/>
              <w:right w:val="single" w:sz="4" w:space="0" w:color="auto"/>
            </w:tcBorders>
          </w:tcPr>
          <w:p w14:paraId="2228D5E3" w14:textId="77777777" w:rsidR="00C06AD6" w:rsidRPr="0029161C" w:rsidRDefault="006A1152" w:rsidP="00C06AD6">
            <w:r w:rsidRPr="00B47467">
              <w:rPr>
                <w:bCs/>
              </w:rPr>
              <w:t>Curriculum Vitae</w:t>
            </w:r>
          </w:p>
        </w:tc>
      </w:tr>
      <w:tr w:rsidR="00C06AD6" w:rsidRPr="0029161C" w14:paraId="3FF036B2"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CD1A527"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1B9AD59"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6B3C038D" w14:textId="77777777" w:rsidR="00C06AD6" w:rsidRPr="0029161C" w:rsidRDefault="00C06AD6" w:rsidP="00C06AD6">
            <w:pPr>
              <w:jc w:val="center"/>
            </w:pPr>
            <w:r>
              <w:t>DJG-2</w:t>
            </w:r>
          </w:p>
        </w:tc>
        <w:tc>
          <w:tcPr>
            <w:tcW w:w="4050" w:type="dxa"/>
            <w:tcBorders>
              <w:top w:val="single" w:sz="4" w:space="0" w:color="auto"/>
              <w:left w:val="single" w:sz="4" w:space="0" w:color="auto"/>
              <w:bottom w:val="single" w:sz="4" w:space="0" w:color="auto"/>
              <w:right w:val="single" w:sz="4" w:space="0" w:color="auto"/>
            </w:tcBorders>
          </w:tcPr>
          <w:p w14:paraId="7861185A" w14:textId="77777777" w:rsidR="00C06AD6" w:rsidRPr="0029161C" w:rsidRDefault="006A1152" w:rsidP="00C06AD6">
            <w:r>
              <w:rPr>
                <w:bCs/>
              </w:rPr>
              <w:t>Rate of Return Recommendation</w:t>
            </w:r>
          </w:p>
        </w:tc>
      </w:tr>
      <w:tr w:rsidR="00C06AD6" w:rsidRPr="0029161C" w14:paraId="7CADC6D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D6F2A32"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CB2B0B5"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E31E2FF" w14:textId="77777777" w:rsidR="00C06AD6" w:rsidRPr="0029161C" w:rsidRDefault="00C06AD6" w:rsidP="00C06AD6">
            <w:pPr>
              <w:jc w:val="center"/>
            </w:pPr>
            <w:r>
              <w:t>DJG-3</w:t>
            </w:r>
          </w:p>
        </w:tc>
        <w:tc>
          <w:tcPr>
            <w:tcW w:w="4050" w:type="dxa"/>
            <w:tcBorders>
              <w:top w:val="single" w:sz="4" w:space="0" w:color="auto"/>
              <w:left w:val="single" w:sz="4" w:space="0" w:color="auto"/>
              <w:bottom w:val="single" w:sz="4" w:space="0" w:color="auto"/>
              <w:right w:val="single" w:sz="4" w:space="0" w:color="auto"/>
            </w:tcBorders>
          </w:tcPr>
          <w:p w14:paraId="3ADE4946" w14:textId="77777777" w:rsidR="00C06AD6" w:rsidRPr="0029161C" w:rsidRDefault="006A1152" w:rsidP="00C06AD6">
            <w:r>
              <w:rPr>
                <w:bCs/>
              </w:rPr>
              <w:t>Proxy Group Summary</w:t>
            </w:r>
          </w:p>
        </w:tc>
      </w:tr>
      <w:tr w:rsidR="00C06AD6" w:rsidRPr="0029161C" w14:paraId="51BACDA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1B1F9BA"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3C6235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345D6F5" w14:textId="77777777" w:rsidR="00C06AD6" w:rsidRPr="0029161C" w:rsidRDefault="00C06AD6" w:rsidP="00C06AD6">
            <w:pPr>
              <w:jc w:val="center"/>
            </w:pPr>
            <w:r>
              <w:t>DJG-4</w:t>
            </w:r>
          </w:p>
        </w:tc>
        <w:tc>
          <w:tcPr>
            <w:tcW w:w="4050" w:type="dxa"/>
            <w:tcBorders>
              <w:top w:val="single" w:sz="4" w:space="0" w:color="auto"/>
              <w:left w:val="single" w:sz="4" w:space="0" w:color="auto"/>
              <w:bottom w:val="single" w:sz="4" w:space="0" w:color="auto"/>
              <w:right w:val="single" w:sz="4" w:space="0" w:color="auto"/>
            </w:tcBorders>
          </w:tcPr>
          <w:p w14:paraId="19544A80" w14:textId="77777777" w:rsidR="00C06AD6" w:rsidRPr="0029161C" w:rsidRDefault="006A1152" w:rsidP="00C06AD6">
            <w:r>
              <w:rPr>
                <w:bCs/>
              </w:rPr>
              <w:t>DCF Stock and Index</w:t>
            </w:r>
          </w:p>
        </w:tc>
      </w:tr>
      <w:tr w:rsidR="00C06AD6" w:rsidRPr="0029161C" w14:paraId="58A2B26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66FEED0"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0F295A10"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070C9A4" w14:textId="77777777" w:rsidR="00C06AD6" w:rsidRPr="0029161C" w:rsidRDefault="00C06AD6" w:rsidP="00C06AD6">
            <w:pPr>
              <w:jc w:val="center"/>
            </w:pPr>
            <w:r>
              <w:t>DJG-5</w:t>
            </w:r>
          </w:p>
        </w:tc>
        <w:tc>
          <w:tcPr>
            <w:tcW w:w="4050" w:type="dxa"/>
            <w:tcBorders>
              <w:top w:val="single" w:sz="4" w:space="0" w:color="auto"/>
              <w:left w:val="single" w:sz="4" w:space="0" w:color="auto"/>
              <w:bottom w:val="single" w:sz="4" w:space="0" w:color="auto"/>
              <w:right w:val="single" w:sz="4" w:space="0" w:color="auto"/>
            </w:tcBorders>
          </w:tcPr>
          <w:p w14:paraId="41F46A66" w14:textId="77777777" w:rsidR="00C06AD6" w:rsidRPr="0029161C" w:rsidRDefault="006A1152" w:rsidP="00C06AD6">
            <w:r>
              <w:rPr>
                <w:bCs/>
              </w:rPr>
              <w:t>DCF Dividend Yields</w:t>
            </w:r>
          </w:p>
        </w:tc>
      </w:tr>
      <w:tr w:rsidR="00C06AD6" w:rsidRPr="0029161C" w14:paraId="6BDA3E0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4A21F95"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0AA289FF"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894C0A6" w14:textId="77777777" w:rsidR="00C06AD6" w:rsidRPr="0029161C" w:rsidRDefault="00C06AD6" w:rsidP="00C06AD6">
            <w:pPr>
              <w:jc w:val="center"/>
            </w:pPr>
            <w:r>
              <w:t>DJG-6</w:t>
            </w:r>
          </w:p>
        </w:tc>
        <w:tc>
          <w:tcPr>
            <w:tcW w:w="4050" w:type="dxa"/>
            <w:tcBorders>
              <w:top w:val="single" w:sz="4" w:space="0" w:color="auto"/>
              <w:left w:val="single" w:sz="4" w:space="0" w:color="auto"/>
              <w:bottom w:val="single" w:sz="4" w:space="0" w:color="auto"/>
              <w:right w:val="single" w:sz="4" w:space="0" w:color="auto"/>
            </w:tcBorders>
          </w:tcPr>
          <w:p w14:paraId="1DAF5EF2" w14:textId="77777777" w:rsidR="00C06AD6" w:rsidRPr="0029161C" w:rsidRDefault="006A1152" w:rsidP="00C06AD6">
            <w:r>
              <w:rPr>
                <w:bCs/>
              </w:rPr>
              <w:t>DCF Terminal Growth Determinants</w:t>
            </w:r>
          </w:p>
        </w:tc>
      </w:tr>
      <w:tr w:rsidR="00C06AD6" w:rsidRPr="0029161C" w14:paraId="16992E3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E8B9E9E"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D50CCDE"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FD046B3" w14:textId="77777777" w:rsidR="00C06AD6" w:rsidRPr="0029161C" w:rsidRDefault="00C06AD6" w:rsidP="00C06AD6">
            <w:pPr>
              <w:jc w:val="center"/>
            </w:pPr>
            <w:r>
              <w:t>DJG-7</w:t>
            </w:r>
          </w:p>
        </w:tc>
        <w:tc>
          <w:tcPr>
            <w:tcW w:w="4050" w:type="dxa"/>
            <w:tcBorders>
              <w:top w:val="single" w:sz="4" w:space="0" w:color="auto"/>
              <w:left w:val="single" w:sz="4" w:space="0" w:color="auto"/>
              <w:bottom w:val="single" w:sz="4" w:space="0" w:color="auto"/>
              <w:right w:val="single" w:sz="4" w:space="0" w:color="auto"/>
            </w:tcBorders>
          </w:tcPr>
          <w:p w14:paraId="54352A00" w14:textId="77777777" w:rsidR="00C06AD6" w:rsidRPr="0029161C" w:rsidRDefault="006A1152" w:rsidP="00C06AD6">
            <w:r>
              <w:rPr>
                <w:bCs/>
              </w:rPr>
              <w:t>DCF Final Results</w:t>
            </w:r>
          </w:p>
        </w:tc>
      </w:tr>
      <w:tr w:rsidR="00C06AD6" w:rsidRPr="0029161C" w14:paraId="068CA72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D8E1919"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F657AE6"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328807B" w14:textId="77777777" w:rsidR="00C06AD6" w:rsidRPr="0029161C" w:rsidRDefault="00C06AD6" w:rsidP="00C06AD6">
            <w:pPr>
              <w:jc w:val="center"/>
            </w:pPr>
            <w:r>
              <w:t>DJG-8</w:t>
            </w:r>
          </w:p>
        </w:tc>
        <w:tc>
          <w:tcPr>
            <w:tcW w:w="4050" w:type="dxa"/>
            <w:tcBorders>
              <w:top w:val="single" w:sz="4" w:space="0" w:color="auto"/>
              <w:left w:val="single" w:sz="4" w:space="0" w:color="auto"/>
              <w:bottom w:val="single" w:sz="4" w:space="0" w:color="auto"/>
              <w:right w:val="single" w:sz="4" w:space="0" w:color="auto"/>
            </w:tcBorders>
          </w:tcPr>
          <w:p w14:paraId="13D5A7A2" w14:textId="77777777" w:rsidR="00C06AD6" w:rsidRPr="0029161C" w:rsidRDefault="006A1152" w:rsidP="00C06AD6">
            <w:r>
              <w:rPr>
                <w:bCs/>
              </w:rPr>
              <w:t>CAPM Risk-Free Rate</w:t>
            </w:r>
          </w:p>
        </w:tc>
      </w:tr>
      <w:tr w:rsidR="00C06AD6" w:rsidRPr="0029161C" w14:paraId="33A8F987"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CF45615"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4974D34"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B799B1B" w14:textId="77777777" w:rsidR="00C06AD6" w:rsidRPr="0029161C" w:rsidRDefault="00C06AD6" w:rsidP="00C06AD6">
            <w:pPr>
              <w:jc w:val="center"/>
            </w:pPr>
            <w:r>
              <w:t>DJG-9</w:t>
            </w:r>
          </w:p>
        </w:tc>
        <w:tc>
          <w:tcPr>
            <w:tcW w:w="4050" w:type="dxa"/>
            <w:tcBorders>
              <w:top w:val="single" w:sz="4" w:space="0" w:color="auto"/>
              <w:left w:val="single" w:sz="4" w:space="0" w:color="auto"/>
              <w:bottom w:val="single" w:sz="4" w:space="0" w:color="auto"/>
              <w:right w:val="single" w:sz="4" w:space="0" w:color="auto"/>
            </w:tcBorders>
          </w:tcPr>
          <w:p w14:paraId="63404521" w14:textId="77777777" w:rsidR="00C06AD6" w:rsidRPr="0029161C" w:rsidRDefault="006A1152" w:rsidP="00C06AD6">
            <w:r>
              <w:rPr>
                <w:bCs/>
              </w:rPr>
              <w:t>CAPM Beta Coefficient</w:t>
            </w:r>
          </w:p>
        </w:tc>
      </w:tr>
      <w:tr w:rsidR="00C06AD6" w:rsidRPr="0029161C" w14:paraId="6FF50E4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4797127"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71F6DF7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26E72967" w14:textId="77777777" w:rsidR="00C06AD6" w:rsidRPr="0029161C" w:rsidRDefault="00C06AD6" w:rsidP="00C06AD6">
            <w:pPr>
              <w:jc w:val="center"/>
            </w:pPr>
            <w:r>
              <w:t>DJG-10</w:t>
            </w:r>
          </w:p>
        </w:tc>
        <w:tc>
          <w:tcPr>
            <w:tcW w:w="4050" w:type="dxa"/>
            <w:tcBorders>
              <w:top w:val="single" w:sz="4" w:space="0" w:color="auto"/>
              <w:left w:val="single" w:sz="4" w:space="0" w:color="auto"/>
              <w:bottom w:val="single" w:sz="4" w:space="0" w:color="auto"/>
              <w:right w:val="single" w:sz="4" w:space="0" w:color="auto"/>
            </w:tcBorders>
          </w:tcPr>
          <w:p w14:paraId="0D2C1A2E" w14:textId="77777777" w:rsidR="00C06AD6" w:rsidRPr="0029161C" w:rsidRDefault="006A1152" w:rsidP="00C06AD6">
            <w:r>
              <w:rPr>
                <w:bCs/>
              </w:rPr>
              <w:t>CAPM Implied Equity Risk Premium</w:t>
            </w:r>
          </w:p>
        </w:tc>
      </w:tr>
      <w:tr w:rsidR="00C06AD6" w:rsidRPr="0029161C" w14:paraId="24965380"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732BE00"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60AFBC9F"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0E4098F" w14:textId="77777777" w:rsidR="00C06AD6" w:rsidRPr="0029161C" w:rsidRDefault="00C06AD6" w:rsidP="00C06AD6">
            <w:pPr>
              <w:jc w:val="center"/>
            </w:pPr>
            <w:r>
              <w:t>DJG-11</w:t>
            </w:r>
          </w:p>
        </w:tc>
        <w:tc>
          <w:tcPr>
            <w:tcW w:w="4050" w:type="dxa"/>
            <w:tcBorders>
              <w:top w:val="single" w:sz="4" w:space="0" w:color="auto"/>
              <w:left w:val="single" w:sz="4" w:space="0" w:color="auto"/>
              <w:bottom w:val="single" w:sz="4" w:space="0" w:color="auto"/>
              <w:right w:val="single" w:sz="4" w:space="0" w:color="auto"/>
            </w:tcBorders>
          </w:tcPr>
          <w:p w14:paraId="574F9F12" w14:textId="77777777" w:rsidR="00C06AD6" w:rsidRPr="0029161C" w:rsidRDefault="006A1152" w:rsidP="00C06AD6">
            <w:r>
              <w:rPr>
                <w:bCs/>
              </w:rPr>
              <w:t>CAPM Equity Risk Premium Results</w:t>
            </w:r>
          </w:p>
        </w:tc>
      </w:tr>
      <w:tr w:rsidR="00C06AD6" w:rsidRPr="0029161C" w14:paraId="41B50DA9"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60E26CC"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7F33D05"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2978CBA6" w14:textId="77777777" w:rsidR="00C06AD6" w:rsidRPr="0029161C" w:rsidRDefault="00C06AD6" w:rsidP="00C06AD6">
            <w:pPr>
              <w:jc w:val="center"/>
            </w:pPr>
            <w:r>
              <w:t>DJG-12</w:t>
            </w:r>
          </w:p>
        </w:tc>
        <w:tc>
          <w:tcPr>
            <w:tcW w:w="4050" w:type="dxa"/>
            <w:tcBorders>
              <w:top w:val="single" w:sz="4" w:space="0" w:color="auto"/>
              <w:left w:val="single" w:sz="4" w:space="0" w:color="auto"/>
              <w:bottom w:val="single" w:sz="4" w:space="0" w:color="auto"/>
              <w:right w:val="single" w:sz="4" w:space="0" w:color="auto"/>
            </w:tcBorders>
          </w:tcPr>
          <w:p w14:paraId="1A296930" w14:textId="77777777" w:rsidR="00C06AD6" w:rsidRPr="0029161C" w:rsidRDefault="006A1152" w:rsidP="00C06AD6">
            <w:r>
              <w:t>CAPM Final Results</w:t>
            </w:r>
          </w:p>
        </w:tc>
      </w:tr>
      <w:tr w:rsidR="00C06AD6" w:rsidRPr="0029161C" w14:paraId="70430BF5"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9D9E136"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6A1C62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73AE74F" w14:textId="77777777" w:rsidR="00C06AD6" w:rsidRPr="0029161C" w:rsidRDefault="00C06AD6" w:rsidP="00C06AD6">
            <w:pPr>
              <w:jc w:val="center"/>
            </w:pPr>
            <w:r>
              <w:t>DJG-13</w:t>
            </w:r>
          </w:p>
        </w:tc>
        <w:tc>
          <w:tcPr>
            <w:tcW w:w="4050" w:type="dxa"/>
            <w:tcBorders>
              <w:top w:val="single" w:sz="4" w:space="0" w:color="auto"/>
              <w:left w:val="single" w:sz="4" w:space="0" w:color="auto"/>
              <w:bottom w:val="single" w:sz="4" w:space="0" w:color="auto"/>
              <w:right w:val="single" w:sz="4" w:space="0" w:color="auto"/>
            </w:tcBorders>
          </w:tcPr>
          <w:p w14:paraId="09C89D31" w14:textId="77777777" w:rsidR="00C06AD6" w:rsidRPr="0029161C" w:rsidRDefault="006A1152" w:rsidP="00C06AD6">
            <w:r>
              <w:rPr>
                <w:bCs/>
              </w:rPr>
              <w:t>Cost of Equity Summary</w:t>
            </w:r>
          </w:p>
        </w:tc>
      </w:tr>
      <w:tr w:rsidR="00C06AD6" w:rsidRPr="0029161C" w14:paraId="7C912C52"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72EA7D2"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3E8F9D5"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0BC5325B" w14:textId="77777777" w:rsidR="00C06AD6" w:rsidRPr="0029161C" w:rsidRDefault="00C06AD6" w:rsidP="00C06AD6">
            <w:pPr>
              <w:jc w:val="center"/>
            </w:pPr>
            <w:r>
              <w:t>DJG-14</w:t>
            </w:r>
          </w:p>
        </w:tc>
        <w:tc>
          <w:tcPr>
            <w:tcW w:w="4050" w:type="dxa"/>
            <w:tcBorders>
              <w:top w:val="single" w:sz="4" w:space="0" w:color="auto"/>
              <w:left w:val="single" w:sz="4" w:space="0" w:color="auto"/>
              <w:bottom w:val="single" w:sz="4" w:space="0" w:color="auto"/>
              <w:right w:val="single" w:sz="4" w:space="0" w:color="auto"/>
            </w:tcBorders>
          </w:tcPr>
          <w:p w14:paraId="27297599" w14:textId="77777777" w:rsidR="00C06AD6" w:rsidRPr="0029161C" w:rsidRDefault="006A1152" w:rsidP="00C06AD6">
            <w:r>
              <w:rPr>
                <w:bCs/>
              </w:rPr>
              <w:t>Market Cost of Equity vs. Awarded Returns</w:t>
            </w:r>
          </w:p>
        </w:tc>
      </w:tr>
      <w:tr w:rsidR="00C06AD6" w:rsidRPr="0029161C" w14:paraId="7BF3B647"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85E3967"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01CD08C0"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1D5698B" w14:textId="77777777" w:rsidR="00C06AD6" w:rsidRPr="0029161C" w:rsidRDefault="00C06AD6" w:rsidP="00C06AD6">
            <w:pPr>
              <w:jc w:val="center"/>
            </w:pPr>
            <w:r>
              <w:t>DJG-15</w:t>
            </w:r>
          </w:p>
        </w:tc>
        <w:tc>
          <w:tcPr>
            <w:tcW w:w="4050" w:type="dxa"/>
            <w:tcBorders>
              <w:top w:val="single" w:sz="4" w:space="0" w:color="auto"/>
              <w:left w:val="single" w:sz="4" w:space="0" w:color="auto"/>
              <w:bottom w:val="single" w:sz="4" w:space="0" w:color="auto"/>
              <w:right w:val="single" w:sz="4" w:space="0" w:color="auto"/>
            </w:tcBorders>
          </w:tcPr>
          <w:p w14:paraId="633ED163" w14:textId="77777777" w:rsidR="00C06AD6" w:rsidRPr="0029161C" w:rsidRDefault="006A1152" w:rsidP="00C06AD6">
            <w:r>
              <w:rPr>
                <w:bCs/>
              </w:rPr>
              <w:t>Proxy Group Debt Ratios</w:t>
            </w:r>
          </w:p>
        </w:tc>
      </w:tr>
      <w:tr w:rsidR="00C06AD6" w:rsidRPr="0029161C" w14:paraId="157EA40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FA4B089"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7C156397"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B9A804E" w14:textId="77777777" w:rsidR="00C06AD6" w:rsidRPr="0029161C" w:rsidRDefault="00C06AD6" w:rsidP="00C06AD6">
            <w:pPr>
              <w:jc w:val="center"/>
            </w:pPr>
            <w:r>
              <w:t>DJG-16</w:t>
            </w:r>
          </w:p>
        </w:tc>
        <w:tc>
          <w:tcPr>
            <w:tcW w:w="4050" w:type="dxa"/>
            <w:tcBorders>
              <w:top w:val="single" w:sz="4" w:space="0" w:color="auto"/>
              <w:left w:val="single" w:sz="4" w:space="0" w:color="auto"/>
              <w:bottom w:val="single" w:sz="4" w:space="0" w:color="auto"/>
              <w:right w:val="single" w:sz="4" w:space="0" w:color="auto"/>
            </w:tcBorders>
          </w:tcPr>
          <w:p w14:paraId="51391244" w14:textId="77777777" w:rsidR="00C06AD6" w:rsidRPr="0029161C" w:rsidRDefault="006A1152" w:rsidP="00C06AD6">
            <w:r>
              <w:rPr>
                <w:bCs/>
              </w:rPr>
              <w:t>Competitive Industry Debt Ratios</w:t>
            </w:r>
          </w:p>
        </w:tc>
      </w:tr>
      <w:tr w:rsidR="00C06AD6" w:rsidRPr="0029161C" w14:paraId="04CBA75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6686F66"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F866C60"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2F8944A" w14:textId="77777777" w:rsidR="00C06AD6" w:rsidRPr="0029161C" w:rsidRDefault="00C06AD6" w:rsidP="00C06AD6">
            <w:pPr>
              <w:jc w:val="center"/>
            </w:pPr>
            <w:r>
              <w:t>DJG-17</w:t>
            </w:r>
          </w:p>
        </w:tc>
        <w:tc>
          <w:tcPr>
            <w:tcW w:w="4050" w:type="dxa"/>
            <w:tcBorders>
              <w:top w:val="single" w:sz="4" w:space="0" w:color="auto"/>
              <w:left w:val="single" w:sz="4" w:space="0" w:color="auto"/>
              <w:bottom w:val="single" w:sz="4" w:space="0" w:color="auto"/>
              <w:right w:val="single" w:sz="4" w:space="0" w:color="auto"/>
            </w:tcBorders>
          </w:tcPr>
          <w:p w14:paraId="555DA68F" w14:textId="77777777" w:rsidR="00C06AD6" w:rsidRPr="0029161C" w:rsidRDefault="006A1152" w:rsidP="00C06AD6">
            <w:r>
              <w:rPr>
                <w:bCs/>
              </w:rPr>
              <w:t>Hamada Model ROE</w:t>
            </w:r>
          </w:p>
        </w:tc>
      </w:tr>
      <w:tr w:rsidR="00C06AD6" w:rsidRPr="0029161C" w14:paraId="169B213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3DED9CC"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675614E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6C6C47FE" w14:textId="77777777" w:rsidR="00C06AD6" w:rsidRPr="0029161C" w:rsidRDefault="00C06AD6" w:rsidP="00C06AD6">
            <w:pPr>
              <w:jc w:val="center"/>
            </w:pPr>
            <w:r>
              <w:t>DJG-18</w:t>
            </w:r>
          </w:p>
        </w:tc>
        <w:tc>
          <w:tcPr>
            <w:tcW w:w="4050" w:type="dxa"/>
            <w:tcBorders>
              <w:top w:val="single" w:sz="4" w:space="0" w:color="auto"/>
              <w:left w:val="single" w:sz="4" w:space="0" w:color="auto"/>
              <w:bottom w:val="single" w:sz="4" w:space="0" w:color="auto"/>
              <w:right w:val="single" w:sz="4" w:space="0" w:color="auto"/>
            </w:tcBorders>
          </w:tcPr>
          <w:p w14:paraId="1112BAF6" w14:textId="77777777" w:rsidR="00C06AD6" w:rsidRPr="0029161C" w:rsidRDefault="006A1152" w:rsidP="00C06AD6">
            <w:r>
              <w:rPr>
                <w:bCs/>
              </w:rPr>
              <w:t>Summary Depreciation Accrual Adjustment</w:t>
            </w:r>
          </w:p>
        </w:tc>
      </w:tr>
      <w:tr w:rsidR="00C06AD6" w:rsidRPr="0029161C" w14:paraId="06981709"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8554CFC"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B7746DF"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09E6C55D" w14:textId="77777777" w:rsidR="00C06AD6" w:rsidRPr="0029161C" w:rsidRDefault="00C06AD6" w:rsidP="00C06AD6">
            <w:pPr>
              <w:jc w:val="center"/>
            </w:pPr>
            <w:r>
              <w:t>DJG-19</w:t>
            </w:r>
          </w:p>
        </w:tc>
        <w:tc>
          <w:tcPr>
            <w:tcW w:w="4050" w:type="dxa"/>
            <w:tcBorders>
              <w:top w:val="single" w:sz="4" w:space="0" w:color="auto"/>
              <w:left w:val="single" w:sz="4" w:space="0" w:color="auto"/>
              <w:bottom w:val="single" w:sz="4" w:space="0" w:color="auto"/>
              <w:right w:val="single" w:sz="4" w:space="0" w:color="auto"/>
            </w:tcBorders>
          </w:tcPr>
          <w:p w14:paraId="752E26EC" w14:textId="77777777" w:rsidR="00C06AD6" w:rsidRPr="0029161C" w:rsidRDefault="006A1152" w:rsidP="00C06AD6">
            <w:r>
              <w:rPr>
                <w:bCs/>
              </w:rPr>
              <w:t>Detail Rate Comparison – 2024 Study</w:t>
            </w:r>
          </w:p>
        </w:tc>
      </w:tr>
      <w:tr w:rsidR="00C06AD6" w:rsidRPr="0029161C" w14:paraId="1E2DF74C"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3B86BF2"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511D4D1"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81E2EB7" w14:textId="77777777" w:rsidR="00C06AD6" w:rsidRPr="0029161C" w:rsidRDefault="00C06AD6" w:rsidP="00C06AD6">
            <w:pPr>
              <w:jc w:val="center"/>
            </w:pPr>
            <w:r>
              <w:t>DJG-20</w:t>
            </w:r>
          </w:p>
        </w:tc>
        <w:tc>
          <w:tcPr>
            <w:tcW w:w="4050" w:type="dxa"/>
            <w:tcBorders>
              <w:top w:val="single" w:sz="4" w:space="0" w:color="auto"/>
              <w:left w:val="single" w:sz="4" w:space="0" w:color="auto"/>
              <w:bottom w:val="single" w:sz="4" w:space="0" w:color="auto"/>
              <w:right w:val="single" w:sz="4" w:space="0" w:color="auto"/>
            </w:tcBorders>
          </w:tcPr>
          <w:p w14:paraId="78F305AF" w14:textId="77777777" w:rsidR="00C06AD6" w:rsidRPr="0029161C" w:rsidRDefault="006A1152" w:rsidP="00C06AD6">
            <w:r>
              <w:rPr>
                <w:bCs/>
              </w:rPr>
              <w:t>Depreciation Rate Development – 2024 Study (Book Reserve)</w:t>
            </w:r>
          </w:p>
        </w:tc>
      </w:tr>
      <w:tr w:rsidR="00C06AD6" w:rsidRPr="0029161C" w14:paraId="76EFD6CC" w14:textId="77777777" w:rsidTr="00242699">
        <w:trPr>
          <w:cantSplit/>
          <w:trHeight w:val="373"/>
        </w:trPr>
        <w:tc>
          <w:tcPr>
            <w:tcW w:w="2610" w:type="dxa"/>
            <w:tcBorders>
              <w:top w:val="single" w:sz="4" w:space="0" w:color="auto"/>
              <w:left w:val="single" w:sz="4" w:space="0" w:color="auto"/>
              <w:bottom w:val="single" w:sz="4" w:space="0" w:color="auto"/>
              <w:right w:val="single" w:sz="4" w:space="0" w:color="auto"/>
            </w:tcBorders>
          </w:tcPr>
          <w:p w14:paraId="6474E7AA" w14:textId="77777777" w:rsidR="00C06AD6" w:rsidRDefault="00C06AD6" w:rsidP="00C06AD6">
            <w:r w:rsidRPr="00422204">
              <w:rPr>
                <w:bCs/>
              </w:rPr>
              <w:lastRenderedPageBreak/>
              <w:t>David Garrett</w:t>
            </w:r>
          </w:p>
        </w:tc>
        <w:tc>
          <w:tcPr>
            <w:tcW w:w="1530" w:type="dxa"/>
            <w:tcBorders>
              <w:top w:val="single" w:sz="4" w:space="0" w:color="auto"/>
              <w:left w:val="single" w:sz="4" w:space="0" w:color="auto"/>
              <w:bottom w:val="single" w:sz="4" w:space="0" w:color="auto"/>
              <w:right w:val="single" w:sz="4" w:space="0" w:color="auto"/>
            </w:tcBorders>
          </w:tcPr>
          <w:p w14:paraId="73E8426A"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048DEA9" w14:textId="77777777" w:rsidR="00C06AD6" w:rsidRPr="0029161C" w:rsidRDefault="00C06AD6" w:rsidP="00C06AD6">
            <w:pPr>
              <w:jc w:val="center"/>
            </w:pPr>
            <w:r>
              <w:t>DJG-21</w:t>
            </w:r>
          </w:p>
        </w:tc>
        <w:tc>
          <w:tcPr>
            <w:tcW w:w="4050" w:type="dxa"/>
            <w:tcBorders>
              <w:top w:val="single" w:sz="4" w:space="0" w:color="auto"/>
              <w:left w:val="single" w:sz="4" w:space="0" w:color="auto"/>
              <w:bottom w:val="single" w:sz="4" w:space="0" w:color="auto"/>
              <w:right w:val="single" w:sz="4" w:space="0" w:color="auto"/>
            </w:tcBorders>
          </w:tcPr>
          <w:p w14:paraId="7692C080" w14:textId="77777777" w:rsidR="00C06AD6" w:rsidRPr="0029161C" w:rsidRDefault="006A1152" w:rsidP="00C06AD6">
            <w:r>
              <w:rPr>
                <w:bCs/>
              </w:rPr>
              <w:t>Depreciation Rate Development – 2024 Study (Theoretical Reserve)</w:t>
            </w:r>
          </w:p>
        </w:tc>
      </w:tr>
      <w:tr w:rsidR="00C06AD6" w:rsidRPr="0029161C" w14:paraId="6AFF12B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A104A51"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0DFFE929"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2DA0744E" w14:textId="77777777" w:rsidR="00C06AD6" w:rsidRPr="0029161C" w:rsidRDefault="00C06AD6" w:rsidP="00C06AD6">
            <w:pPr>
              <w:jc w:val="center"/>
            </w:pPr>
            <w:r>
              <w:t>DJG-22</w:t>
            </w:r>
          </w:p>
        </w:tc>
        <w:tc>
          <w:tcPr>
            <w:tcW w:w="4050" w:type="dxa"/>
            <w:tcBorders>
              <w:top w:val="single" w:sz="4" w:space="0" w:color="auto"/>
              <w:left w:val="single" w:sz="4" w:space="0" w:color="auto"/>
              <w:bottom w:val="single" w:sz="4" w:space="0" w:color="auto"/>
              <w:right w:val="single" w:sz="4" w:space="0" w:color="auto"/>
            </w:tcBorders>
          </w:tcPr>
          <w:p w14:paraId="7F9AA6D4" w14:textId="77777777" w:rsidR="00C06AD6" w:rsidRPr="0029161C" w:rsidRDefault="006A1152" w:rsidP="00C06AD6">
            <w:r>
              <w:rPr>
                <w:bCs/>
              </w:rPr>
              <w:t>Reserve Surplus Calculation – 2024 Study (Adjusted Parameters)</w:t>
            </w:r>
          </w:p>
        </w:tc>
      </w:tr>
      <w:tr w:rsidR="00C06AD6" w:rsidRPr="0029161C" w14:paraId="0E2E5BB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67CFDEB"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42616B0"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4410A26" w14:textId="77777777" w:rsidR="00C06AD6" w:rsidRPr="0029161C" w:rsidRDefault="00C06AD6" w:rsidP="00C06AD6">
            <w:pPr>
              <w:jc w:val="center"/>
            </w:pPr>
            <w:r>
              <w:t>DJG-23</w:t>
            </w:r>
          </w:p>
        </w:tc>
        <w:tc>
          <w:tcPr>
            <w:tcW w:w="4050" w:type="dxa"/>
            <w:tcBorders>
              <w:top w:val="single" w:sz="4" w:space="0" w:color="auto"/>
              <w:left w:val="single" w:sz="4" w:space="0" w:color="auto"/>
              <w:bottom w:val="single" w:sz="4" w:space="0" w:color="auto"/>
              <w:right w:val="single" w:sz="4" w:space="0" w:color="auto"/>
            </w:tcBorders>
          </w:tcPr>
          <w:p w14:paraId="1E2F0DBA" w14:textId="77777777" w:rsidR="00C06AD6" w:rsidRPr="0029161C" w:rsidRDefault="006A1152" w:rsidP="00C06AD6">
            <w:r>
              <w:rPr>
                <w:bCs/>
              </w:rPr>
              <w:t>Reserve Surplus Calculation – 2024 Study (Unadjusted Parameters)</w:t>
            </w:r>
          </w:p>
        </w:tc>
      </w:tr>
      <w:tr w:rsidR="00C06AD6" w:rsidRPr="0029161C" w14:paraId="55B5CB8F"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380FF01"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6C39172"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7AF9237" w14:textId="77777777" w:rsidR="00C06AD6" w:rsidRPr="0029161C" w:rsidRDefault="00C06AD6" w:rsidP="00C06AD6">
            <w:pPr>
              <w:jc w:val="center"/>
            </w:pPr>
            <w:r>
              <w:t>DJG-24</w:t>
            </w:r>
          </w:p>
        </w:tc>
        <w:tc>
          <w:tcPr>
            <w:tcW w:w="4050" w:type="dxa"/>
            <w:tcBorders>
              <w:top w:val="single" w:sz="4" w:space="0" w:color="auto"/>
              <w:left w:val="single" w:sz="4" w:space="0" w:color="auto"/>
              <w:bottom w:val="single" w:sz="4" w:space="0" w:color="auto"/>
              <w:right w:val="single" w:sz="4" w:space="0" w:color="auto"/>
            </w:tcBorders>
          </w:tcPr>
          <w:p w14:paraId="65890C9D" w14:textId="77777777" w:rsidR="00C06AD6" w:rsidRPr="0029161C" w:rsidRDefault="006A1152" w:rsidP="00C06AD6">
            <w:r>
              <w:rPr>
                <w:bCs/>
              </w:rPr>
              <w:t>Depreciation Rate Development – 2023 Study (Book Reserve, Adjusted)</w:t>
            </w:r>
          </w:p>
        </w:tc>
      </w:tr>
      <w:tr w:rsidR="00C06AD6" w:rsidRPr="0029161C" w14:paraId="5BDB8A0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A4F15B3"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07004B5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15653B8" w14:textId="77777777" w:rsidR="00C06AD6" w:rsidRPr="0029161C" w:rsidRDefault="00C06AD6" w:rsidP="00C06AD6">
            <w:pPr>
              <w:jc w:val="center"/>
            </w:pPr>
            <w:r>
              <w:t>DJG-25</w:t>
            </w:r>
          </w:p>
        </w:tc>
        <w:tc>
          <w:tcPr>
            <w:tcW w:w="4050" w:type="dxa"/>
            <w:tcBorders>
              <w:top w:val="single" w:sz="4" w:space="0" w:color="auto"/>
              <w:left w:val="single" w:sz="4" w:space="0" w:color="auto"/>
              <w:bottom w:val="single" w:sz="4" w:space="0" w:color="auto"/>
              <w:right w:val="single" w:sz="4" w:space="0" w:color="auto"/>
            </w:tcBorders>
          </w:tcPr>
          <w:p w14:paraId="57D685E5" w14:textId="77777777" w:rsidR="00C06AD6" w:rsidRPr="0029161C" w:rsidRDefault="006A1152" w:rsidP="00C06AD6">
            <w:r>
              <w:rPr>
                <w:bCs/>
              </w:rPr>
              <w:t>Depreciation Rate Development – 2023 Study (Theo. Reserve, Adjusted)</w:t>
            </w:r>
          </w:p>
        </w:tc>
      </w:tr>
      <w:tr w:rsidR="00C06AD6" w:rsidRPr="0029161C" w14:paraId="4EC687E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04B9866"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F2230B6"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DB37DAD" w14:textId="77777777" w:rsidR="00C06AD6" w:rsidRPr="0029161C" w:rsidRDefault="00C06AD6" w:rsidP="00C06AD6">
            <w:pPr>
              <w:jc w:val="center"/>
            </w:pPr>
            <w:r>
              <w:t>DJG-26</w:t>
            </w:r>
          </w:p>
        </w:tc>
        <w:tc>
          <w:tcPr>
            <w:tcW w:w="4050" w:type="dxa"/>
            <w:tcBorders>
              <w:top w:val="single" w:sz="4" w:space="0" w:color="auto"/>
              <w:left w:val="single" w:sz="4" w:space="0" w:color="auto"/>
              <w:bottom w:val="single" w:sz="4" w:space="0" w:color="auto"/>
              <w:right w:val="single" w:sz="4" w:space="0" w:color="auto"/>
            </w:tcBorders>
          </w:tcPr>
          <w:p w14:paraId="09E91B3C" w14:textId="77777777" w:rsidR="00C06AD6" w:rsidRPr="0029161C" w:rsidRDefault="006A1152" w:rsidP="00C06AD6">
            <w:r>
              <w:rPr>
                <w:bCs/>
              </w:rPr>
              <w:t>Depreciation Rate Development – 2023 Study (Unadjusted Parameters)</w:t>
            </w:r>
          </w:p>
        </w:tc>
      </w:tr>
      <w:tr w:rsidR="00C06AD6" w:rsidRPr="0029161C" w14:paraId="5FA6C64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15901E9"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EAB22AF"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65E61A6" w14:textId="77777777" w:rsidR="00C06AD6" w:rsidRPr="0029161C" w:rsidRDefault="00C06AD6" w:rsidP="00C06AD6">
            <w:pPr>
              <w:jc w:val="center"/>
            </w:pPr>
            <w:r>
              <w:t>DJG-27</w:t>
            </w:r>
          </w:p>
        </w:tc>
        <w:tc>
          <w:tcPr>
            <w:tcW w:w="4050" w:type="dxa"/>
            <w:tcBorders>
              <w:top w:val="single" w:sz="4" w:space="0" w:color="auto"/>
              <w:left w:val="single" w:sz="4" w:space="0" w:color="auto"/>
              <w:bottom w:val="single" w:sz="4" w:space="0" w:color="auto"/>
              <w:right w:val="single" w:sz="4" w:space="0" w:color="auto"/>
            </w:tcBorders>
          </w:tcPr>
          <w:p w14:paraId="2DD5017C" w14:textId="77777777" w:rsidR="00C06AD6" w:rsidRPr="0029161C" w:rsidRDefault="006A1152" w:rsidP="00C06AD6">
            <w:r>
              <w:rPr>
                <w:bCs/>
              </w:rPr>
              <w:t>Reserve Surplus Calculation – 2023 Study (Adjusted Parameters)</w:t>
            </w:r>
          </w:p>
        </w:tc>
      </w:tr>
      <w:tr w:rsidR="00C06AD6" w:rsidRPr="0029161C" w14:paraId="69D5D02C"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C10FED7"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30D334E"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C760FD4" w14:textId="77777777" w:rsidR="00C06AD6" w:rsidRPr="0029161C" w:rsidRDefault="00C06AD6" w:rsidP="00C06AD6">
            <w:pPr>
              <w:jc w:val="center"/>
            </w:pPr>
            <w:r>
              <w:t>DJG-28</w:t>
            </w:r>
          </w:p>
        </w:tc>
        <w:tc>
          <w:tcPr>
            <w:tcW w:w="4050" w:type="dxa"/>
            <w:tcBorders>
              <w:top w:val="single" w:sz="4" w:space="0" w:color="auto"/>
              <w:left w:val="single" w:sz="4" w:space="0" w:color="auto"/>
              <w:bottom w:val="single" w:sz="4" w:space="0" w:color="auto"/>
              <w:right w:val="single" w:sz="4" w:space="0" w:color="auto"/>
            </w:tcBorders>
          </w:tcPr>
          <w:p w14:paraId="1849FF5A" w14:textId="77777777" w:rsidR="00C06AD6" w:rsidRPr="0029161C" w:rsidRDefault="006A1152" w:rsidP="00C06AD6">
            <w:r>
              <w:rPr>
                <w:bCs/>
              </w:rPr>
              <w:t>Reserve Surplus Calculation – 2023 Study (Unadjusted Parameters)</w:t>
            </w:r>
          </w:p>
        </w:tc>
      </w:tr>
      <w:tr w:rsidR="00C06AD6" w:rsidRPr="0029161C" w14:paraId="4352507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AA015D4"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7A724ACA"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0DAC335A" w14:textId="77777777" w:rsidR="00C06AD6" w:rsidRPr="0029161C" w:rsidRDefault="00C06AD6" w:rsidP="00C06AD6">
            <w:pPr>
              <w:jc w:val="center"/>
            </w:pPr>
            <w:r>
              <w:t>DJG-29</w:t>
            </w:r>
          </w:p>
        </w:tc>
        <w:tc>
          <w:tcPr>
            <w:tcW w:w="4050" w:type="dxa"/>
            <w:tcBorders>
              <w:top w:val="single" w:sz="4" w:space="0" w:color="auto"/>
              <w:left w:val="single" w:sz="4" w:space="0" w:color="auto"/>
              <w:bottom w:val="single" w:sz="4" w:space="0" w:color="auto"/>
              <w:right w:val="single" w:sz="4" w:space="0" w:color="auto"/>
            </w:tcBorders>
          </w:tcPr>
          <w:p w14:paraId="223AC2DD" w14:textId="77777777" w:rsidR="00C06AD6" w:rsidRPr="0029161C" w:rsidRDefault="006A1152" w:rsidP="00C06AD6">
            <w:r>
              <w:rPr>
                <w:bCs/>
              </w:rPr>
              <w:t>Account 376 (Steel Mains) Iowa Curve Fitting</w:t>
            </w:r>
          </w:p>
        </w:tc>
      </w:tr>
      <w:tr w:rsidR="00C06AD6" w:rsidRPr="0029161C" w14:paraId="72E6A38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7E6615D"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6C320F17"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5779CB2F" w14:textId="77777777" w:rsidR="00C06AD6" w:rsidRPr="0029161C" w:rsidRDefault="00C06AD6" w:rsidP="00C06AD6">
            <w:pPr>
              <w:jc w:val="center"/>
            </w:pPr>
            <w:r>
              <w:t>DJG-30</w:t>
            </w:r>
          </w:p>
        </w:tc>
        <w:tc>
          <w:tcPr>
            <w:tcW w:w="4050" w:type="dxa"/>
            <w:tcBorders>
              <w:top w:val="single" w:sz="4" w:space="0" w:color="auto"/>
              <w:left w:val="single" w:sz="4" w:space="0" w:color="auto"/>
              <w:bottom w:val="single" w:sz="4" w:space="0" w:color="auto"/>
              <w:right w:val="single" w:sz="4" w:space="0" w:color="auto"/>
            </w:tcBorders>
          </w:tcPr>
          <w:p w14:paraId="76749E37" w14:textId="77777777" w:rsidR="00C06AD6" w:rsidRPr="0029161C" w:rsidRDefault="006A1152" w:rsidP="00C06AD6">
            <w:r>
              <w:rPr>
                <w:bCs/>
              </w:rPr>
              <w:t>Account 376.02 (Plastic Mains) Iowa Curve Fitting</w:t>
            </w:r>
          </w:p>
        </w:tc>
      </w:tr>
      <w:tr w:rsidR="00C06AD6" w:rsidRPr="0029161C" w14:paraId="295C1D4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51B9210"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DBF2F9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0A910A59" w14:textId="77777777" w:rsidR="00C06AD6" w:rsidRPr="0029161C" w:rsidRDefault="00C06AD6" w:rsidP="00C06AD6">
            <w:pPr>
              <w:jc w:val="center"/>
            </w:pPr>
            <w:r>
              <w:t>DJG-31</w:t>
            </w:r>
          </w:p>
        </w:tc>
        <w:tc>
          <w:tcPr>
            <w:tcW w:w="4050" w:type="dxa"/>
            <w:tcBorders>
              <w:top w:val="single" w:sz="4" w:space="0" w:color="auto"/>
              <w:left w:val="single" w:sz="4" w:space="0" w:color="auto"/>
              <w:bottom w:val="single" w:sz="4" w:space="0" w:color="auto"/>
              <w:right w:val="single" w:sz="4" w:space="0" w:color="auto"/>
            </w:tcBorders>
          </w:tcPr>
          <w:p w14:paraId="7946BA0A" w14:textId="77777777" w:rsidR="00C06AD6" w:rsidRPr="0029161C" w:rsidRDefault="006A1152" w:rsidP="00C06AD6">
            <w:r>
              <w:rPr>
                <w:bCs/>
              </w:rPr>
              <w:t>Account 379 (M&amp;R Station Equip. – City Gate) Iowa Curve Fitting</w:t>
            </w:r>
          </w:p>
        </w:tc>
      </w:tr>
      <w:tr w:rsidR="00C06AD6" w:rsidRPr="0029161C" w14:paraId="7F439CC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DDCDCA0"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2D08D52C"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6E6B3CE" w14:textId="77777777" w:rsidR="00C06AD6" w:rsidRPr="0029161C" w:rsidRDefault="00C06AD6" w:rsidP="00C06AD6">
            <w:pPr>
              <w:jc w:val="center"/>
            </w:pPr>
            <w:r>
              <w:t>DJG-32</w:t>
            </w:r>
          </w:p>
        </w:tc>
        <w:tc>
          <w:tcPr>
            <w:tcW w:w="4050" w:type="dxa"/>
            <w:tcBorders>
              <w:top w:val="single" w:sz="4" w:space="0" w:color="auto"/>
              <w:left w:val="single" w:sz="4" w:space="0" w:color="auto"/>
              <w:bottom w:val="single" w:sz="4" w:space="0" w:color="auto"/>
              <w:right w:val="single" w:sz="4" w:space="0" w:color="auto"/>
            </w:tcBorders>
          </w:tcPr>
          <w:p w14:paraId="1B8CAFDE" w14:textId="77777777" w:rsidR="00C06AD6" w:rsidRPr="0029161C" w:rsidRDefault="006A1152" w:rsidP="00C06AD6">
            <w:r>
              <w:rPr>
                <w:bCs/>
              </w:rPr>
              <w:t>Account 380.02 (Plastic Services) Iowa Curve Fitting</w:t>
            </w:r>
          </w:p>
        </w:tc>
      </w:tr>
      <w:tr w:rsidR="00C06AD6" w:rsidRPr="0029161C" w14:paraId="3DAD8FF5"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FE37DC6"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55D0759"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CEFA2D2" w14:textId="77777777" w:rsidR="00C06AD6" w:rsidRPr="0029161C" w:rsidRDefault="00C06AD6" w:rsidP="00C06AD6">
            <w:pPr>
              <w:jc w:val="center"/>
            </w:pPr>
            <w:r>
              <w:t>DJG-33</w:t>
            </w:r>
          </w:p>
        </w:tc>
        <w:tc>
          <w:tcPr>
            <w:tcW w:w="4050" w:type="dxa"/>
            <w:tcBorders>
              <w:top w:val="single" w:sz="4" w:space="0" w:color="auto"/>
              <w:left w:val="single" w:sz="4" w:space="0" w:color="auto"/>
              <w:bottom w:val="single" w:sz="4" w:space="0" w:color="auto"/>
              <w:right w:val="single" w:sz="4" w:space="0" w:color="auto"/>
            </w:tcBorders>
          </w:tcPr>
          <w:p w14:paraId="204622B0" w14:textId="77777777" w:rsidR="00C06AD6" w:rsidRPr="0029161C" w:rsidRDefault="006A1152" w:rsidP="00C06AD6">
            <w:r>
              <w:rPr>
                <w:bCs/>
              </w:rPr>
              <w:t>Account 382 (Meter Installations) Iowa Curve Fitting</w:t>
            </w:r>
          </w:p>
        </w:tc>
      </w:tr>
      <w:tr w:rsidR="00C06AD6" w:rsidRPr="0029161C" w14:paraId="7B769401"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678718F"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5A966B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ED59C26" w14:textId="77777777" w:rsidR="00C06AD6" w:rsidRPr="0029161C" w:rsidRDefault="00C06AD6" w:rsidP="00C06AD6">
            <w:pPr>
              <w:jc w:val="center"/>
            </w:pPr>
            <w:r>
              <w:t>DJG-34</w:t>
            </w:r>
          </w:p>
        </w:tc>
        <w:tc>
          <w:tcPr>
            <w:tcW w:w="4050" w:type="dxa"/>
            <w:tcBorders>
              <w:top w:val="single" w:sz="4" w:space="0" w:color="auto"/>
              <w:left w:val="single" w:sz="4" w:space="0" w:color="auto"/>
              <w:bottom w:val="single" w:sz="4" w:space="0" w:color="auto"/>
              <w:right w:val="single" w:sz="4" w:space="0" w:color="auto"/>
            </w:tcBorders>
          </w:tcPr>
          <w:p w14:paraId="03D41D59" w14:textId="77777777" w:rsidR="00C06AD6" w:rsidRPr="0029161C" w:rsidRDefault="006A1152" w:rsidP="00C06AD6">
            <w:r>
              <w:rPr>
                <w:bCs/>
              </w:rPr>
              <w:t>Observed Life Tables from Depreciation Study for Adjusted Accounts</w:t>
            </w:r>
          </w:p>
        </w:tc>
      </w:tr>
      <w:tr w:rsidR="00C06AD6" w:rsidRPr="0029161C" w14:paraId="22A0B18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F18DECE"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482842CD"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B9794A1" w14:textId="77777777" w:rsidR="00C06AD6" w:rsidRPr="0029161C" w:rsidRDefault="00C06AD6" w:rsidP="00C06AD6">
            <w:pPr>
              <w:jc w:val="center"/>
            </w:pPr>
            <w:r>
              <w:t>DJG-35</w:t>
            </w:r>
          </w:p>
        </w:tc>
        <w:tc>
          <w:tcPr>
            <w:tcW w:w="4050" w:type="dxa"/>
            <w:tcBorders>
              <w:top w:val="single" w:sz="4" w:space="0" w:color="auto"/>
              <w:left w:val="single" w:sz="4" w:space="0" w:color="auto"/>
              <w:bottom w:val="single" w:sz="4" w:space="0" w:color="auto"/>
              <w:right w:val="single" w:sz="4" w:space="0" w:color="auto"/>
            </w:tcBorders>
          </w:tcPr>
          <w:p w14:paraId="112DBC62" w14:textId="77777777" w:rsidR="00C06AD6" w:rsidRPr="0029161C" w:rsidRDefault="006A1152" w:rsidP="00C06AD6">
            <w:r>
              <w:rPr>
                <w:bCs/>
              </w:rPr>
              <w:t>Computed Reserves – 2024 Study (With Adjusted Parameters)</w:t>
            </w:r>
          </w:p>
        </w:tc>
      </w:tr>
      <w:tr w:rsidR="00C06AD6" w:rsidRPr="0029161C" w14:paraId="55775A6F"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9C83FAC"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623F6DF8"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66A9DAF" w14:textId="77777777" w:rsidR="00C06AD6" w:rsidRPr="0029161C" w:rsidRDefault="00C06AD6" w:rsidP="00C06AD6">
            <w:pPr>
              <w:jc w:val="center"/>
            </w:pPr>
            <w:r>
              <w:t>DJG-36</w:t>
            </w:r>
          </w:p>
        </w:tc>
        <w:tc>
          <w:tcPr>
            <w:tcW w:w="4050" w:type="dxa"/>
            <w:tcBorders>
              <w:top w:val="single" w:sz="4" w:space="0" w:color="auto"/>
              <w:left w:val="single" w:sz="4" w:space="0" w:color="auto"/>
              <w:bottom w:val="single" w:sz="4" w:space="0" w:color="auto"/>
              <w:right w:val="single" w:sz="4" w:space="0" w:color="auto"/>
            </w:tcBorders>
          </w:tcPr>
          <w:p w14:paraId="33300D34" w14:textId="77777777" w:rsidR="00C06AD6" w:rsidRPr="0029161C" w:rsidRDefault="006A1152" w:rsidP="00C06AD6">
            <w:r>
              <w:rPr>
                <w:bCs/>
              </w:rPr>
              <w:t>Computed Reserves – 2024 Study (With Unadjusted Parameters)</w:t>
            </w:r>
          </w:p>
        </w:tc>
      </w:tr>
      <w:tr w:rsidR="00C06AD6" w:rsidRPr="0029161C" w14:paraId="64398F3E"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ED5264B" w14:textId="77777777" w:rsidR="00C06AD6" w:rsidRDefault="00C06AD6" w:rsidP="00C06AD6">
            <w:r w:rsidRPr="00422204">
              <w:rPr>
                <w:bCs/>
              </w:rPr>
              <w:lastRenderedPageBreak/>
              <w:t>David Garrett</w:t>
            </w:r>
          </w:p>
        </w:tc>
        <w:tc>
          <w:tcPr>
            <w:tcW w:w="1530" w:type="dxa"/>
            <w:tcBorders>
              <w:top w:val="single" w:sz="4" w:space="0" w:color="auto"/>
              <w:left w:val="single" w:sz="4" w:space="0" w:color="auto"/>
              <w:bottom w:val="single" w:sz="4" w:space="0" w:color="auto"/>
              <w:right w:val="single" w:sz="4" w:space="0" w:color="auto"/>
            </w:tcBorders>
          </w:tcPr>
          <w:p w14:paraId="322B008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6BF5F55" w14:textId="77777777" w:rsidR="00C06AD6" w:rsidRPr="0029161C" w:rsidRDefault="00C06AD6" w:rsidP="00C06AD6">
            <w:pPr>
              <w:jc w:val="center"/>
            </w:pPr>
            <w:r>
              <w:t>DJG-37</w:t>
            </w:r>
          </w:p>
        </w:tc>
        <w:tc>
          <w:tcPr>
            <w:tcW w:w="4050" w:type="dxa"/>
            <w:tcBorders>
              <w:top w:val="single" w:sz="4" w:space="0" w:color="auto"/>
              <w:left w:val="single" w:sz="4" w:space="0" w:color="auto"/>
              <w:bottom w:val="single" w:sz="4" w:space="0" w:color="auto"/>
              <w:right w:val="single" w:sz="4" w:space="0" w:color="auto"/>
            </w:tcBorders>
          </w:tcPr>
          <w:p w14:paraId="66B90D21" w14:textId="77777777" w:rsidR="00C06AD6" w:rsidRPr="0029161C" w:rsidRDefault="006A1152" w:rsidP="00C06AD6">
            <w:r>
              <w:rPr>
                <w:bCs/>
              </w:rPr>
              <w:t>Remaining Life Development – 2024 Study</w:t>
            </w:r>
          </w:p>
        </w:tc>
      </w:tr>
      <w:tr w:rsidR="00C06AD6" w:rsidRPr="0029161C" w14:paraId="4FC5F16A"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F3918B7"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1C75DA22"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703DFFEC" w14:textId="77777777" w:rsidR="00C06AD6" w:rsidRPr="0029161C" w:rsidRDefault="00C06AD6" w:rsidP="00C06AD6">
            <w:pPr>
              <w:jc w:val="center"/>
            </w:pPr>
            <w:r>
              <w:t>DJG-38</w:t>
            </w:r>
          </w:p>
        </w:tc>
        <w:tc>
          <w:tcPr>
            <w:tcW w:w="4050" w:type="dxa"/>
            <w:tcBorders>
              <w:top w:val="single" w:sz="4" w:space="0" w:color="auto"/>
              <w:left w:val="single" w:sz="4" w:space="0" w:color="auto"/>
              <w:bottom w:val="single" w:sz="4" w:space="0" w:color="auto"/>
              <w:right w:val="single" w:sz="4" w:space="0" w:color="auto"/>
            </w:tcBorders>
          </w:tcPr>
          <w:p w14:paraId="158FFC12" w14:textId="77777777" w:rsidR="00C06AD6" w:rsidRPr="0029161C" w:rsidRDefault="006A1152" w:rsidP="00C06AD6">
            <w:r>
              <w:rPr>
                <w:bCs/>
              </w:rPr>
              <w:t>Computed Reserves – 2023 Study (With Adjusted Parameters)</w:t>
            </w:r>
          </w:p>
        </w:tc>
      </w:tr>
      <w:tr w:rsidR="00C06AD6" w:rsidRPr="0029161C" w14:paraId="43244559"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77CB5628"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4EB536E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19079422" w14:textId="77777777" w:rsidR="00C06AD6" w:rsidRPr="0029161C" w:rsidRDefault="00C06AD6" w:rsidP="00C06AD6">
            <w:pPr>
              <w:jc w:val="center"/>
            </w:pPr>
            <w:r>
              <w:t>DJG-39</w:t>
            </w:r>
          </w:p>
        </w:tc>
        <w:tc>
          <w:tcPr>
            <w:tcW w:w="4050" w:type="dxa"/>
            <w:tcBorders>
              <w:top w:val="single" w:sz="4" w:space="0" w:color="auto"/>
              <w:left w:val="single" w:sz="4" w:space="0" w:color="auto"/>
              <w:bottom w:val="single" w:sz="4" w:space="0" w:color="auto"/>
              <w:right w:val="single" w:sz="4" w:space="0" w:color="auto"/>
            </w:tcBorders>
          </w:tcPr>
          <w:p w14:paraId="52CAA4E2" w14:textId="77777777" w:rsidR="00C06AD6" w:rsidRPr="0029161C" w:rsidRDefault="006A1152" w:rsidP="00C06AD6">
            <w:r>
              <w:rPr>
                <w:bCs/>
              </w:rPr>
              <w:t>Computed Reserves – 2023 Study (With Unadjusted Parameters)</w:t>
            </w:r>
          </w:p>
        </w:tc>
      </w:tr>
      <w:tr w:rsidR="00C06AD6" w:rsidRPr="0029161C" w14:paraId="19623F5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185399A"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4EFFB3B8"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429E6D77" w14:textId="77777777" w:rsidR="00C06AD6" w:rsidRPr="0029161C" w:rsidRDefault="00C06AD6" w:rsidP="00C06AD6">
            <w:pPr>
              <w:jc w:val="center"/>
            </w:pPr>
            <w:r>
              <w:t>DJG-40</w:t>
            </w:r>
          </w:p>
        </w:tc>
        <w:tc>
          <w:tcPr>
            <w:tcW w:w="4050" w:type="dxa"/>
            <w:tcBorders>
              <w:top w:val="single" w:sz="4" w:space="0" w:color="auto"/>
              <w:left w:val="single" w:sz="4" w:space="0" w:color="auto"/>
              <w:bottom w:val="single" w:sz="4" w:space="0" w:color="auto"/>
              <w:right w:val="single" w:sz="4" w:space="0" w:color="auto"/>
            </w:tcBorders>
          </w:tcPr>
          <w:p w14:paraId="52DA3CFB" w14:textId="77777777" w:rsidR="00C06AD6" w:rsidRPr="0029161C" w:rsidRDefault="0077160E" w:rsidP="00C06AD6">
            <w:r>
              <w:rPr>
                <w:bCs/>
              </w:rPr>
              <w:t>Remaining Life Development – 2023 Study (Adjusted Parameters)</w:t>
            </w:r>
          </w:p>
        </w:tc>
      </w:tr>
      <w:tr w:rsidR="00C06AD6" w:rsidRPr="0029161C" w14:paraId="3F0D9B4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69253530"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537655F1"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7DCBE0C7" w14:textId="77777777" w:rsidR="00C06AD6" w:rsidRPr="0029161C" w:rsidRDefault="00C06AD6" w:rsidP="00C06AD6">
            <w:pPr>
              <w:jc w:val="center"/>
            </w:pPr>
            <w:r>
              <w:t>DJG-41</w:t>
            </w:r>
          </w:p>
        </w:tc>
        <w:tc>
          <w:tcPr>
            <w:tcW w:w="4050" w:type="dxa"/>
            <w:tcBorders>
              <w:top w:val="single" w:sz="4" w:space="0" w:color="auto"/>
              <w:left w:val="single" w:sz="4" w:space="0" w:color="auto"/>
              <w:bottom w:val="single" w:sz="4" w:space="0" w:color="auto"/>
              <w:right w:val="single" w:sz="4" w:space="0" w:color="auto"/>
            </w:tcBorders>
          </w:tcPr>
          <w:p w14:paraId="117B3785" w14:textId="77777777" w:rsidR="00C06AD6" w:rsidRPr="0029161C" w:rsidRDefault="0077160E" w:rsidP="00C06AD6">
            <w:r>
              <w:rPr>
                <w:bCs/>
              </w:rPr>
              <w:t>Remaining Life Development – 2023 Study (Unadjusted Parameters)</w:t>
            </w:r>
          </w:p>
        </w:tc>
      </w:tr>
      <w:tr w:rsidR="00C06AD6" w:rsidRPr="0029161C" w14:paraId="3117F6D0"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80B6C02" w14:textId="77777777" w:rsidR="00C06AD6" w:rsidRDefault="00C06AD6" w:rsidP="00C06AD6">
            <w:r w:rsidRPr="00422204">
              <w:rPr>
                <w:bCs/>
              </w:rPr>
              <w:t>David Garrett</w:t>
            </w:r>
          </w:p>
        </w:tc>
        <w:tc>
          <w:tcPr>
            <w:tcW w:w="1530" w:type="dxa"/>
            <w:tcBorders>
              <w:top w:val="single" w:sz="4" w:space="0" w:color="auto"/>
              <w:left w:val="single" w:sz="4" w:space="0" w:color="auto"/>
              <w:bottom w:val="single" w:sz="4" w:space="0" w:color="auto"/>
              <w:right w:val="single" w:sz="4" w:space="0" w:color="auto"/>
            </w:tcBorders>
          </w:tcPr>
          <w:p w14:paraId="393B4173" w14:textId="77777777" w:rsidR="00C06AD6" w:rsidRDefault="00C06AD6" w:rsidP="00C06AD6">
            <w:pPr>
              <w:jc w:val="center"/>
            </w:pPr>
            <w:r w:rsidRPr="001256AD">
              <w:t>OPC</w:t>
            </w:r>
          </w:p>
        </w:tc>
        <w:tc>
          <w:tcPr>
            <w:tcW w:w="1350" w:type="dxa"/>
            <w:tcBorders>
              <w:top w:val="single" w:sz="4" w:space="0" w:color="auto"/>
              <w:left w:val="single" w:sz="4" w:space="0" w:color="auto"/>
              <w:bottom w:val="single" w:sz="4" w:space="0" w:color="auto"/>
              <w:right w:val="single" w:sz="4" w:space="0" w:color="auto"/>
            </w:tcBorders>
          </w:tcPr>
          <w:p w14:paraId="314A9F83" w14:textId="77777777" w:rsidR="00C06AD6" w:rsidRPr="0029161C" w:rsidRDefault="00C06AD6" w:rsidP="00C06AD6">
            <w:pPr>
              <w:jc w:val="center"/>
            </w:pPr>
            <w:r>
              <w:t>DJG-42</w:t>
            </w:r>
          </w:p>
        </w:tc>
        <w:tc>
          <w:tcPr>
            <w:tcW w:w="4050" w:type="dxa"/>
            <w:tcBorders>
              <w:top w:val="single" w:sz="4" w:space="0" w:color="auto"/>
              <w:left w:val="single" w:sz="4" w:space="0" w:color="auto"/>
              <w:bottom w:val="single" w:sz="4" w:space="0" w:color="auto"/>
              <w:right w:val="single" w:sz="4" w:space="0" w:color="auto"/>
            </w:tcBorders>
          </w:tcPr>
          <w:p w14:paraId="16D62A0D" w14:textId="77777777" w:rsidR="00C06AD6" w:rsidRPr="0029161C" w:rsidRDefault="0077160E" w:rsidP="00C06AD6">
            <w:r>
              <w:rPr>
                <w:bCs/>
              </w:rPr>
              <w:t>Appendices</w:t>
            </w:r>
          </w:p>
        </w:tc>
      </w:tr>
      <w:tr w:rsidR="00C06AD6" w:rsidRPr="0029161C" w14:paraId="6B1F8358"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44B72C99" w14:textId="605229AC" w:rsidR="00C06AD6" w:rsidRDefault="00945D59" w:rsidP="002041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45D59">
              <w:t>Donna D. Brown</w:t>
            </w:r>
          </w:p>
        </w:tc>
        <w:tc>
          <w:tcPr>
            <w:tcW w:w="1530" w:type="dxa"/>
            <w:tcBorders>
              <w:top w:val="single" w:sz="4" w:space="0" w:color="auto"/>
              <w:left w:val="single" w:sz="4" w:space="0" w:color="auto"/>
              <w:bottom w:val="single" w:sz="4" w:space="0" w:color="auto"/>
              <w:right w:val="single" w:sz="4" w:space="0" w:color="auto"/>
            </w:tcBorders>
          </w:tcPr>
          <w:p w14:paraId="4236B423" w14:textId="77777777" w:rsidR="00C06AD6" w:rsidRDefault="00945D59" w:rsidP="00C06AD6">
            <w:pPr>
              <w:jc w:val="center"/>
            </w:pPr>
            <w:r>
              <w:t>STAFF</w:t>
            </w:r>
          </w:p>
        </w:tc>
        <w:tc>
          <w:tcPr>
            <w:tcW w:w="1350" w:type="dxa"/>
            <w:tcBorders>
              <w:top w:val="single" w:sz="4" w:space="0" w:color="auto"/>
              <w:left w:val="single" w:sz="4" w:space="0" w:color="auto"/>
              <w:bottom w:val="single" w:sz="4" w:space="0" w:color="auto"/>
              <w:right w:val="single" w:sz="4" w:space="0" w:color="auto"/>
            </w:tcBorders>
          </w:tcPr>
          <w:p w14:paraId="47A9724A" w14:textId="77777777" w:rsidR="00C06AD6" w:rsidRPr="0029161C" w:rsidRDefault="00945D59" w:rsidP="00C06AD6">
            <w:pPr>
              <w:jc w:val="center"/>
            </w:pPr>
            <w:r>
              <w:t>DDB-1</w:t>
            </w:r>
          </w:p>
        </w:tc>
        <w:tc>
          <w:tcPr>
            <w:tcW w:w="4050" w:type="dxa"/>
            <w:tcBorders>
              <w:top w:val="single" w:sz="4" w:space="0" w:color="auto"/>
              <w:left w:val="single" w:sz="4" w:space="0" w:color="auto"/>
              <w:bottom w:val="single" w:sz="4" w:space="0" w:color="auto"/>
              <w:right w:val="single" w:sz="4" w:space="0" w:color="auto"/>
            </w:tcBorders>
          </w:tcPr>
          <w:p w14:paraId="4A9256FA" w14:textId="77777777" w:rsidR="00C06AD6" w:rsidRPr="0029161C" w:rsidRDefault="00945D59" w:rsidP="00C06AD6">
            <w:r>
              <w:t>Auditor’s Report</w:t>
            </w:r>
          </w:p>
        </w:tc>
      </w:tr>
      <w:tr w:rsidR="00C06AD6" w:rsidRPr="0029161C" w14:paraId="6535BC88"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32FEAE99" w14:textId="77777777" w:rsidR="00C06AD6" w:rsidRDefault="00945D59" w:rsidP="00945D59">
            <w:r w:rsidRPr="00945D59">
              <w:t>Angela L. Calhoun</w:t>
            </w:r>
          </w:p>
        </w:tc>
        <w:tc>
          <w:tcPr>
            <w:tcW w:w="1530" w:type="dxa"/>
            <w:tcBorders>
              <w:top w:val="single" w:sz="4" w:space="0" w:color="auto"/>
              <w:left w:val="single" w:sz="4" w:space="0" w:color="auto"/>
              <w:bottom w:val="single" w:sz="4" w:space="0" w:color="auto"/>
              <w:right w:val="single" w:sz="4" w:space="0" w:color="auto"/>
            </w:tcBorders>
          </w:tcPr>
          <w:p w14:paraId="6F7CDF26" w14:textId="77777777" w:rsidR="00C06AD6" w:rsidRDefault="00945D59" w:rsidP="00C06AD6">
            <w:pPr>
              <w:jc w:val="center"/>
            </w:pPr>
            <w:r>
              <w:t>STAFF</w:t>
            </w:r>
          </w:p>
        </w:tc>
        <w:tc>
          <w:tcPr>
            <w:tcW w:w="1350" w:type="dxa"/>
            <w:tcBorders>
              <w:top w:val="single" w:sz="4" w:space="0" w:color="auto"/>
              <w:left w:val="single" w:sz="4" w:space="0" w:color="auto"/>
              <w:bottom w:val="single" w:sz="4" w:space="0" w:color="auto"/>
              <w:right w:val="single" w:sz="4" w:space="0" w:color="auto"/>
            </w:tcBorders>
          </w:tcPr>
          <w:p w14:paraId="24899E28" w14:textId="77777777" w:rsidR="00C06AD6" w:rsidRPr="0029161C" w:rsidRDefault="00945D59" w:rsidP="00C06AD6">
            <w:pPr>
              <w:jc w:val="center"/>
            </w:pPr>
            <w:r>
              <w:t>ALC-1</w:t>
            </w:r>
          </w:p>
        </w:tc>
        <w:tc>
          <w:tcPr>
            <w:tcW w:w="4050" w:type="dxa"/>
            <w:tcBorders>
              <w:top w:val="single" w:sz="4" w:space="0" w:color="auto"/>
              <w:left w:val="single" w:sz="4" w:space="0" w:color="auto"/>
              <w:bottom w:val="single" w:sz="4" w:space="0" w:color="auto"/>
              <w:right w:val="single" w:sz="4" w:space="0" w:color="auto"/>
            </w:tcBorders>
          </w:tcPr>
          <w:p w14:paraId="4E8526FE" w14:textId="77777777" w:rsidR="00C06AD6" w:rsidRPr="0029161C" w:rsidRDefault="00945D59" w:rsidP="00945D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945D59">
              <w:t>List of Service Complaints</w:t>
            </w:r>
          </w:p>
        </w:tc>
      </w:tr>
      <w:tr w:rsidR="003B76EA" w:rsidRPr="0029161C" w14:paraId="33941F55"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98E9A93" w14:textId="77777777" w:rsidR="003B76EA" w:rsidRPr="0029161C" w:rsidRDefault="00945D59" w:rsidP="00945D59">
            <w:pPr>
              <w:jc w:val="both"/>
            </w:pPr>
            <w:r w:rsidRPr="00945D59">
              <w:t>Angela L. Calhoun</w:t>
            </w:r>
          </w:p>
        </w:tc>
        <w:tc>
          <w:tcPr>
            <w:tcW w:w="1530" w:type="dxa"/>
            <w:tcBorders>
              <w:top w:val="single" w:sz="4" w:space="0" w:color="auto"/>
              <w:left w:val="single" w:sz="4" w:space="0" w:color="auto"/>
              <w:bottom w:val="single" w:sz="4" w:space="0" w:color="auto"/>
              <w:right w:val="single" w:sz="4" w:space="0" w:color="auto"/>
            </w:tcBorders>
          </w:tcPr>
          <w:p w14:paraId="4ECCEC31" w14:textId="77777777" w:rsidR="003B76EA" w:rsidRPr="0029161C" w:rsidRDefault="00945D59" w:rsidP="00E17D45">
            <w:pPr>
              <w:jc w:val="center"/>
            </w:pPr>
            <w:r>
              <w:t>STAFF</w:t>
            </w:r>
          </w:p>
        </w:tc>
        <w:tc>
          <w:tcPr>
            <w:tcW w:w="1350" w:type="dxa"/>
            <w:tcBorders>
              <w:top w:val="single" w:sz="4" w:space="0" w:color="auto"/>
              <w:left w:val="single" w:sz="4" w:space="0" w:color="auto"/>
              <w:bottom w:val="single" w:sz="4" w:space="0" w:color="auto"/>
              <w:right w:val="single" w:sz="4" w:space="0" w:color="auto"/>
            </w:tcBorders>
          </w:tcPr>
          <w:p w14:paraId="268DF822" w14:textId="77777777" w:rsidR="003B76EA" w:rsidRPr="0029161C" w:rsidRDefault="00945D59" w:rsidP="00E17D45">
            <w:pPr>
              <w:jc w:val="center"/>
            </w:pPr>
            <w:r>
              <w:t>ALC-2</w:t>
            </w:r>
          </w:p>
        </w:tc>
        <w:tc>
          <w:tcPr>
            <w:tcW w:w="4050" w:type="dxa"/>
            <w:tcBorders>
              <w:top w:val="single" w:sz="4" w:space="0" w:color="auto"/>
              <w:left w:val="single" w:sz="4" w:space="0" w:color="auto"/>
              <w:bottom w:val="single" w:sz="4" w:space="0" w:color="auto"/>
              <w:right w:val="single" w:sz="4" w:space="0" w:color="auto"/>
            </w:tcBorders>
          </w:tcPr>
          <w:p w14:paraId="2F74EC25" w14:textId="77777777" w:rsidR="003B76EA" w:rsidRPr="0029161C" w:rsidRDefault="00945D59" w:rsidP="00945D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945D59">
              <w:t>List of Billing Complaints</w:t>
            </w:r>
          </w:p>
        </w:tc>
      </w:tr>
      <w:tr w:rsidR="003B76EA" w:rsidRPr="0029161C" w14:paraId="727CD917"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5482DC31" w14:textId="77777777" w:rsidR="003B76EA" w:rsidRPr="0029161C" w:rsidRDefault="00945D59" w:rsidP="00945D59">
            <w:pPr>
              <w:jc w:val="both"/>
            </w:pPr>
            <w:r w:rsidRPr="00945D59">
              <w:t>Angela L. Calhoun</w:t>
            </w:r>
          </w:p>
        </w:tc>
        <w:tc>
          <w:tcPr>
            <w:tcW w:w="1530" w:type="dxa"/>
            <w:tcBorders>
              <w:top w:val="single" w:sz="4" w:space="0" w:color="auto"/>
              <w:left w:val="single" w:sz="4" w:space="0" w:color="auto"/>
              <w:bottom w:val="single" w:sz="4" w:space="0" w:color="auto"/>
              <w:right w:val="single" w:sz="4" w:space="0" w:color="auto"/>
            </w:tcBorders>
          </w:tcPr>
          <w:p w14:paraId="3B461540" w14:textId="77777777" w:rsidR="003B76EA" w:rsidRPr="0029161C" w:rsidRDefault="00945D59" w:rsidP="00E17D45">
            <w:pPr>
              <w:jc w:val="center"/>
            </w:pPr>
            <w:r>
              <w:t>STAFF</w:t>
            </w:r>
          </w:p>
        </w:tc>
        <w:tc>
          <w:tcPr>
            <w:tcW w:w="1350" w:type="dxa"/>
            <w:tcBorders>
              <w:top w:val="single" w:sz="4" w:space="0" w:color="auto"/>
              <w:left w:val="single" w:sz="4" w:space="0" w:color="auto"/>
              <w:bottom w:val="single" w:sz="4" w:space="0" w:color="auto"/>
              <w:right w:val="single" w:sz="4" w:space="0" w:color="auto"/>
            </w:tcBorders>
          </w:tcPr>
          <w:p w14:paraId="0AA9FCBD" w14:textId="77777777" w:rsidR="003B76EA" w:rsidRPr="0029161C" w:rsidRDefault="00945D59" w:rsidP="00E17D45">
            <w:pPr>
              <w:jc w:val="center"/>
            </w:pPr>
            <w:r>
              <w:t>ALC-3</w:t>
            </w:r>
          </w:p>
        </w:tc>
        <w:tc>
          <w:tcPr>
            <w:tcW w:w="4050" w:type="dxa"/>
            <w:tcBorders>
              <w:top w:val="single" w:sz="4" w:space="0" w:color="auto"/>
              <w:left w:val="single" w:sz="4" w:space="0" w:color="auto"/>
              <w:bottom w:val="single" w:sz="4" w:space="0" w:color="auto"/>
              <w:right w:val="single" w:sz="4" w:space="0" w:color="auto"/>
            </w:tcBorders>
          </w:tcPr>
          <w:p w14:paraId="365192E3" w14:textId="77777777" w:rsidR="003B76EA" w:rsidRPr="0029161C" w:rsidRDefault="00945D59" w:rsidP="00945D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rsidRPr="00945D59">
              <w:t>List of Warm Transfers</w:t>
            </w:r>
          </w:p>
        </w:tc>
      </w:tr>
      <w:tr w:rsidR="009D68D5" w:rsidRPr="0029161C" w14:paraId="57C49063" w14:textId="77777777" w:rsidTr="009D68D5">
        <w:trPr>
          <w:trHeight w:val="353"/>
        </w:trPr>
        <w:tc>
          <w:tcPr>
            <w:tcW w:w="9540" w:type="dxa"/>
            <w:gridSpan w:val="4"/>
            <w:tcBorders>
              <w:left w:val="single" w:sz="4" w:space="0" w:color="auto"/>
              <w:bottom w:val="single" w:sz="4" w:space="0" w:color="auto"/>
              <w:right w:val="single" w:sz="4" w:space="0" w:color="auto"/>
            </w:tcBorders>
          </w:tcPr>
          <w:p w14:paraId="3AA14443" w14:textId="77777777" w:rsidR="009D68D5" w:rsidRPr="0029161C" w:rsidRDefault="009D68D5" w:rsidP="00E17D45">
            <w:r w:rsidRPr="0029161C">
              <w:tab/>
            </w:r>
            <w:r w:rsidRPr="0029161C">
              <w:rPr>
                <w:u w:val="single"/>
              </w:rPr>
              <w:t>Rebuttal</w:t>
            </w:r>
          </w:p>
        </w:tc>
      </w:tr>
      <w:tr w:rsidR="00E17D45" w:rsidRPr="0029161C" w14:paraId="312334AD"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2AE3FBD6" w14:textId="77777777" w:rsidR="00E17D45" w:rsidRDefault="00E17D4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Helen J. Wesley</w:t>
            </w:r>
          </w:p>
        </w:tc>
        <w:tc>
          <w:tcPr>
            <w:tcW w:w="1530" w:type="dxa"/>
            <w:tcBorders>
              <w:top w:val="single" w:sz="4" w:space="0" w:color="auto"/>
              <w:left w:val="single" w:sz="4" w:space="0" w:color="auto"/>
              <w:bottom w:val="single" w:sz="4" w:space="0" w:color="auto"/>
              <w:right w:val="single" w:sz="4" w:space="0" w:color="auto"/>
            </w:tcBorders>
          </w:tcPr>
          <w:p w14:paraId="0740FA5E" w14:textId="77777777" w:rsidR="00E17D45" w:rsidRPr="0029161C" w:rsidRDefault="00E17D45"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62D18F69" w14:textId="77777777" w:rsidR="00E17D45" w:rsidRPr="0029161C" w:rsidRDefault="00E17D45" w:rsidP="00E17D45">
            <w:pPr>
              <w:jc w:val="center"/>
            </w:pPr>
            <w:r>
              <w:t>HJW-2</w:t>
            </w:r>
          </w:p>
        </w:tc>
        <w:tc>
          <w:tcPr>
            <w:tcW w:w="4050" w:type="dxa"/>
            <w:tcBorders>
              <w:top w:val="single" w:sz="4" w:space="0" w:color="auto"/>
              <w:left w:val="single" w:sz="4" w:space="0" w:color="auto"/>
              <w:bottom w:val="single" w:sz="4" w:space="0" w:color="auto"/>
              <w:right w:val="single" w:sz="4" w:space="0" w:color="auto"/>
            </w:tcBorders>
          </w:tcPr>
          <w:p w14:paraId="1C778FE1" w14:textId="77777777" w:rsidR="00E17D45" w:rsidRPr="00042441" w:rsidRDefault="00E17D45" w:rsidP="00E17D45">
            <w:pPr>
              <w:pStyle w:val="ListParagraph"/>
              <w:tabs>
                <w:tab w:val="left" w:pos="475"/>
                <w:tab w:val="left" w:pos="1195"/>
                <w:tab w:val="left" w:pos="1915"/>
                <w:tab w:val="left" w:pos="3355"/>
                <w:tab w:val="left" w:pos="4507"/>
                <w:tab w:val="left" w:pos="5515"/>
                <w:tab w:val="left" w:pos="6955"/>
                <w:tab w:val="left" w:pos="9115"/>
              </w:tabs>
              <w:suppressAutoHyphens/>
              <w:ind w:left="0"/>
              <w:jc w:val="left"/>
              <w:rPr>
                <w:rFonts w:cs="Arial"/>
                <w:szCs w:val="24"/>
              </w:rPr>
            </w:pPr>
            <w:r w:rsidRPr="00042441">
              <w:rPr>
                <w:rFonts w:cs="Arial"/>
                <w:szCs w:val="24"/>
              </w:rPr>
              <w:t xml:space="preserve">1. </w:t>
            </w:r>
            <w:r w:rsidR="00042441">
              <w:rPr>
                <w:rFonts w:cs="Arial"/>
                <w:szCs w:val="24"/>
              </w:rPr>
              <w:t xml:space="preserve"> </w:t>
            </w:r>
            <w:r w:rsidRPr="00042441">
              <w:rPr>
                <w:rFonts w:cs="Arial"/>
                <w:szCs w:val="24"/>
              </w:rPr>
              <w:t>FPSC Complaint Comparison</w:t>
            </w:r>
          </w:p>
          <w:p w14:paraId="31D77152" w14:textId="77777777" w:rsidR="00E17D45" w:rsidRPr="00042441" w:rsidRDefault="00E17D45" w:rsidP="00E17D45">
            <w:r w:rsidRPr="00042441">
              <w:rPr>
                <w:rFonts w:cs="Arial"/>
              </w:rPr>
              <w:t xml:space="preserve">2. </w:t>
            </w:r>
            <w:r w:rsidR="00042441">
              <w:rPr>
                <w:rFonts w:cs="Arial"/>
              </w:rPr>
              <w:t xml:space="preserve"> </w:t>
            </w:r>
            <w:r w:rsidRPr="00042441">
              <w:rPr>
                <w:rFonts w:cs="Arial"/>
              </w:rPr>
              <w:t>Proposed Rate and Bill Comparisons</w:t>
            </w:r>
          </w:p>
        </w:tc>
      </w:tr>
      <w:tr w:rsidR="00E17D45" w:rsidRPr="0029161C" w14:paraId="66A65300"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2EA89B2E" w14:textId="77777777" w:rsidR="00E17D45" w:rsidRPr="0029161C" w:rsidRDefault="002755C4" w:rsidP="00E17D45">
            <w:pPr>
              <w:jc w:val="both"/>
            </w:pPr>
            <w:r>
              <w:rPr>
                <w:rFonts w:cs="Arial"/>
                <w:spacing w:val="-3"/>
              </w:rPr>
              <w:t>Timothy O’Connor</w:t>
            </w:r>
          </w:p>
        </w:tc>
        <w:tc>
          <w:tcPr>
            <w:tcW w:w="1530" w:type="dxa"/>
            <w:tcBorders>
              <w:top w:val="single" w:sz="4" w:space="0" w:color="auto"/>
              <w:left w:val="single" w:sz="4" w:space="0" w:color="auto"/>
              <w:bottom w:val="single" w:sz="4" w:space="0" w:color="auto"/>
              <w:right w:val="single" w:sz="4" w:space="0" w:color="auto"/>
            </w:tcBorders>
          </w:tcPr>
          <w:p w14:paraId="1555EE62" w14:textId="77777777" w:rsidR="00E17D45" w:rsidRPr="0029161C" w:rsidRDefault="002755C4"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1CA6E1B2" w14:textId="77777777" w:rsidR="00E17D45" w:rsidRPr="0029161C" w:rsidRDefault="002755C4" w:rsidP="00E17D45">
            <w:pPr>
              <w:jc w:val="center"/>
            </w:pPr>
            <w:r>
              <w:t>TO-2</w:t>
            </w:r>
          </w:p>
        </w:tc>
        <w:tc>
          <w:tcPr>
            <w:tcW w:w="4050" w:type="dxa"/>
            <w:tcBorders>
              <w:top w:val="single" w:sz="4" w:space="0" w:color="auto"/>
              <w:left w:val="single" w:sz="4" w:space="0" w:color="auto"/>
              <w:bottom w:val="single" w:sz="4" w:space="0" w:color="auto"/>
              <w:right w:val="single" w:sz="4" w:space="0" w:color="auto"/>
            </w:tcBorders>
          </w:tcPr>
          <w:p w14:paraId="492D3711" w14:textId="77777777" w:rsidR="00E17D45" w:rsidRPr="0029161C" w:rsidRDefault="002755C4" w:rsidP="00E17D45">
            <w:r>
              <w:rPr>
                <w:rFonts w:cs="Arial"/>
                <w:spacing w:val="-3"/>
              </w:rPr>
              <w:t>Labor and Outside Services O&amp;M Compared to Headcount and Workload by Service Area</w:t>
            </w:r>
          </w:p>
        </w:tc>
      </w:tr>
      <w:tr w:rsidR="00E17D45" w:rsidRPr="0029161C" w14:paraId="26A7D635"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15CB2050" w14:textId="77777777" w:rsidR="00E17D45" w:rsidRPr="0029161C" w:rsidRDefault="002755C4" w:rsidP="00E17D45">
            <w:pPr>
              <w:jc w:val="both"/>
            </w:pPr>
            <w:r>
              <w:rPr>
                <w:rFonts w:cs="Arial"/>
                <w:spacing w:val="-3"/>
              </w:rPr>
              <w:t>Christian C. Richard</w:t>
            </w:r>
          </w:p>
        </w:tc>
        <w:tc>
          <w:tcPr>
            <w:tcW w:w="1530" w:type="dxa"/>
            <w:tcBorders>
              <w:top w:val="single" w:sz="4" w:space="0" w:color="auto"/>
              <w:left w:val="single" w:sz="4" w:space="0" w:color="auto"/>
              <w:bottom w:val="single" w:sz="4" w:space="0" w:color="auto"/>
              <w:right w:val="single" w:sz="4" w:space="0" w:color="auto"/>
            </w:tcBorders>
          </w:tcPr>
          <w:p w14:paraId="2CA35376" w14:textId="77777777" w:rsidR="00E17D45" w:rsidRPr="0029161C" w:rsidRDefault="002755C4"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10C5AAC4" w14:textId="77777777" w:rsidR="00E17D45" w:rsidRPr="0029161C" w:rsidRDefault="002755C4" w:rsidP="00E17D45">
            <w:pPr>
              <w:jc w:val="center"/>
            </w:pPr>
            <w:r>
              <w:t>CCR-2</w:t>
            </w:r>
          </w:p>
        </w:tc>
        <w:tc>
          <w:tcPr>
            <w:tcW w:w="4050" w:type="dxa"/>
            <w:tcBorders>
              <w:top w:val="single" w:sz="4" w:space="0" w:color="auto"/>
              <w:left w:val="single" w:sz="4" w:space="0" w:color="auto"/>
              <w:bottom w:val="single" w:sz="4" w:space="0" w:color="auto"/>
              <w:right w:val="single" w:sz="4" w:space="0" w:color="auto"/>
            </w:tcBorders>
          </w:tcPr>
          <w:p w14:paraId="0A34CCF7" w14:textId="77777777" w:rsidR="00E17D45" w:rsidRPr="0029161C" w:rsidRDefault="002755C4" w:rsidP="00E17D45">
            <w:r>
              <w:rPr>
                <w:rFonts w:cs="Arial"/>
                <w:spacing w:val="-3"/>
              </w:rPr>
              <w:t>Five-Year Capital Spending – Budget Versus Actual</w:t>
            </w:r>
          </w:p>
        </w:tc>
      </w:tr>
      <w:tr w:rsidR="00E17D45" w:rsidRPr="0029161C" w14:paraId="38D5DD54"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FD164C2" w14:textId="77777777" w:rsidR="00E17D45" w:rsidRPr="0029161C" w:rsidRDefault="002755C4" w:rsidP="00E17D45">
            <w:pPr>
              <w:jc w:val="both"/>
            </w:pPr>
            <w:r>
              <w:rPr>
                <w:rFonts w:cs="Arial"/>
                <w:spacing w:val="-3"/>
              </w:rPr>
              <w:t>Donna L. Bluestone</w:t>
            </w:r>
          </w:p>
        </w:tc>
        <w:tc>
          <w:tcPr>
            <w:tcW w:w="1530" w:type="dxa"/>
            <w:tcBorders>
              <w:top w:val="single" w:sz="4" w:space="0" w:color="auto"/>
              <w:left w:val="single" w:sz="4" w:space="0" w:color="auto"/>
              <w:bottom w:val="single" w:sz="4" w:space="0" w:color="auto"/>
              <w:right w:val="single" w:sz="4" w:space="0" w:color="auto"/>
            </w:tcBorders>
          </w:tcPr>
          <w:p w14:paraId="6F130E1C" w14:textId="77777777" w:rsidR="00E17D45" w:rsidRPr="0029161C" w:rsidRDefault="002755C4" w:rsidP="00E17D4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49114BBF" w14:textId="77777777" w:rsidR="00E17D45" w:rsidRPr="0029161C" w:rsidRDefault="002755C4" w:rsidP="00E17D45">
            <w:pPr>
              <w:jc w:val="center"/>
            </w:pPr>
            <w:r>
              <w:t>DLB-2</w:t>
            </w:r>
          </w:p>
        </w:tc>
        <w:tc>
          <w:tcPr>
            <w:tcW w:w="4050" w:type="dxa"/>
            <w:tcBorders>
              <w:top w:val="single" w:sz="4" w:space="0" w:color="auto"/>
              <w:left w:val="single" w:sz="4" w:space="0" w:color="auto"/>
              <w:bottom w:val="single" w:sz="4" w:space="0" w:color="auto"/>
              <w:right w:val="single" w:sz="4" w:space="0" w:color="auto"/>
            </w:tcBorders>
          </w:tcPr>
          <w:p w14:paraId="3793B6BA" w14:textId="77777777" w:rsidR="00E17D45" w:rsidRPr="0029161C" w:rsidRDefault="002755C4" w:rsidP="00E17D45">
            <w:r>
              <w:rPr>
                <w:rFonts w:cs="Arial"/>
                <w:spacing w:val="-3"/>
              </w:rPr>
              <w:t>CPI Compared to PGSI Non-Union Wage Increases, 2019 to 2024</w:t>
            </w:r>
          </w:p>
        </w:tc>
      </w:tr>
      <w:tr w:rsidR="009D68D5" w:rsidRPr="0029161C" w14:paraId="5939E797" w14:textId="77777777" w:rsidTr="009D68D5">
        <w:trPr>
          <w:trHeight w:val="353"/>
        </w:trPr>
        <w:tc>
          <w:tcPr>
            <w:tcW w:w="2610" w:type="dxa"/>
            <w:tcBorders>
              <w:top w:val="single" w:sz="4" w:space="0" w:color="auto"/>
              <w:left w:val="single" w:sz="4" w:space="0" w:color="auto"/>
              <w:bottom w:val="single" w:sz="4" w:space="0" w:color="auto"/>
              <w:right w:val="single" w:sz="4" w:space="0" w:color="auto"/>
            </w:tcBorders>
          </w:tcPr>
          <w:p w14:paraId="7F98BE99" w14:textId="77777777" w:rsidR="009D68D5" w:rsidRPr="0029161C" w:rsidRDefault="009D68D5" w:rsidP="009D68D5">
            <w:pPr>
              <w:jc w:val="both"/>
            </w:pPr>
            <w:r>
              <w:rPr>
                <w:rFonts w:cs="Arial"/>
                <w:spacing w:val="-3"/>
              </w:rPr>
              <w:t>Dylan W. D’Ascendis</w:t>
            </w:r>
          </w:p>
        </w:tc>
        <w:tc>
          <w:tcPr>
            <w:tcW w:w="1530" w:type="dxa"/>
            <w:tcBorders>
              <w:top w:val="single" w:sz="4" w:space="0" w:color="auto"/>
              <w:left w:val="single" w:sz="4" w:space="0" w:color="auto"/>
              <w:bottom w:val="single" w:sz="4" w:space="0" w:color="auto"/>
              <w:right w:val="single" w:sz="4" w:space="0" w:color="auto"/>
            </w:tcBorders>
          </w:tcPr>
          <w:p w14:paraId="21D4E0AE" w14:textId="77777777" w:rsidR="009D68D5" w:rsidRPr="0029161C" w:rsidRDefault="009D68D5" w:rsidP="009D68D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7EBC38AA" w14:textId="77777777" w:rsidR="009D68D5" w:rsidRPr="0029161C" w:rsidRDefault="009D68D5" w:rsidP="009D68D5">
            <w:pPr>
              <w:jc w:val="center"/>
            </w:pPr>
            <w:r>
              <w:t>DWD-2</w:t>
            </w:r>
          </w:p>
        </w:tc>
        <w:tc>
          <w:tcPr>
            <w:tcW w:w="4050" w:type="dxa"/>
            <w:tcBorders>
              <w:top w:val="single" w:sz="4" w:space="0" w:color="auto"/>
              <w:left w:val="single" w:sz="4" w:space="0" w:color="auto"/>
              <w:bottom w:val="single" w:sz="4" w:space="0" w:color="auto"/>
              <w:right w:val="single" w:sz="4" w:space="0" w:color="auto"/>
            </w:tcBorders>
          </w:tcPr>
          <w:p w14:paraId="15D6E093" w14:textId="0AF24AB7"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Pr>
                <w:rFonts w:cs="Arial"/>
                <w:spacing w:val="-3"/>
              </w:rPr>
              <w:t>Updated Cost of Common Equity Results</w:t>
            </w:r>
          </w:p>
          <w:p w14:paraId="6F7222F8" w14:textId="7E54C365"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CC637A">
              <w:rPr>
                <w:rFonts w:cs="Arial"/>
                <w:spacing w:val="-3"/>
              </w:rPr>
              <w:t xml:space="preserve"> </w:t>
            </w:r>
            <w:r>
              <w:rPr>
                <w:rFonts w:cs="Arial"/>
                <w:spacing w:val="-3"/>
              </w:rPr>
              <w:t>Financial Profile of the Utility Proxy Group</w:t>
            </w:r>
          </w:p>
          <w:p w14:paraId="14D8ED15" w14:textId="77777777" w:rsidR="00242699" w:rsidRDefault="00242699"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p>
          <w:p w14:paraId="08B46D72" w14:textId="5335E8F1"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lastRenderedPageBreak/>
              <w:t>3.</w:t>
            </w:r>
            <w:r w:rsidR="00CC637A">
              <w:rPr>
                <w:rFonts w:cs="Arial"/>
                <w:spacing w:val="-3"/>
              </w:rPr>
              <w:t xml:space="preserve"> </w:t>
            </w:r>
            <w:r>
              <w:rPr>
                <w:rFonts w:cs="Arial"/>
                <w:spacing w:val="-3"/>
              </w:rPr>
              <w:t xml:space="preserve"> Application of the Discount Cash Flow Model</w:t>
            </w:r>
          </w:p>
          <w:p w14:paraId="0CD770E1" w14:textId="7AD3D6E1"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CC637A">
              <w:rPr>
                <w:rFonts w:cs="Arial"/>
                <w:spacing w:val="-3"/>
              </w:rPr>
              <w:t xml:space="preserve"> </w:t>
            </w:r>
            <w:r>
              <w:rPr>
                <w:rFonts w:cs="Arial"/>
                <w:spacing w:val="-3"/>
              </w:rPr>
              <w:t>Application of the Risk Premium Model</w:t>
            </w:r>
          </w:p>
          <w:p w14:paraId="40121FA3" w14:textId="3AEEEBF6"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CC637A">
              <w:rPr>
                <w:rFonts w:cs="Arial"/>
                <w:spacing w:val="-3"/>
              </w:rPr>
              <w:t xml:space="preserve"> </w:t>
            </w:r>
            <w:r>
              <w:rPr>
                <w:rFonts w:cs="Arial"/>
                <w:spacing w:val="-3"/>
              </w:rPr>
              <w:t>Application of the Capital Asset Pricing Model</w:t>
            </w:r>
          </w:p>
          <w:p w14:paraId="12547706" w14:textId="39B09F6C"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CC637A">
              <w:rPr>
                <w:rFonts w:cs="Arial"/>
                <w:spacing w:val="-3"/>
              </w:rPr>
              <w:t xml:space="preserve"> </w:t>
            </w:r>
            <w:r>
              <w:rPr>
                <w:rFonts w:cs="Arial"/>
                <w:spacing w:val="-3"/>
              </w:rPr>
              <w:t>Basis of Selection for the Non-Price Regulated Companies Comparable in Total Risk to the Utility Proxy Group</w:t>
            </w:r>
          </w:p>
          <w:p w14:paraId="4D66ED9B" w14:textId="6B10C2B8"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7. </w:t>
            </w:r>
            <w:r w:rsidR="00CC637A">
              <w:rPr>
                <w:rFonts w:cs="Arial"/>
                <w:spacing w:val="-3"/>
              </w:rPr>
              <w:t xml:space="preserve"> </w:t>
            </w:r>
            <w:r>
              <w:rPr>
                <w:rFonts w:cs="Arial"/>
                <w:spacing w:val="-3"/>
              </w:rPr>
              <w:t>Application of the Cost of Common Equity Models to the Non-Price Regulated Proxy Group</w:t>
            </w:r>
          </w:p>
          <w:p w14:paraId="00B637A4" w14:textId="34A73D32"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00CC637A">
              <w:rPr>
                <w:rFonts w:cs="Arial"/>
                <w:spacing w:val="-3"/>
              </w:rPr>
              <w:t xml:space="preserve"> </w:t>
            </w:r>
            <w:r>
              <w:rPr>
                <w:rFonts w:cs="Arial"/>
                <w:spacing w:val="-3"/>
              </w:rPr>
              <w:t>Derivation of the Flotation Cost Adjustment to the Cost of Common Equity</w:t>
            </w:r>
          </w:p>
          <w:p w14:paraId="69814A5E" w14:textId="3A33FED6"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9. </w:t>
            </w:r>
            <w:r w:rsidR="00CC637A">
              <w:rPr>
                <w:rFonts w:cs="Arial"/>
                <w:spacing w:val="-3"/>
              </w:rPr>
              <w:t xml:space="preserve"> </w:t>
            </w:r>
            <w:r>
              <w:rPr>
                <w:rFonts w:cs="Arial"/>
                <w:spacing w:val="-3"/>
              </w:rPr>
              <w:t>Derivation of the Indicated Size Premium for Peoples Relative to the Utility Proxy Group</w:t>
            </w:r>
          </w:p>
          <w:p w14:paraId="200EF668" w14:textId="0409305A"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10. </w:t>
            </w:r>
            <w:r w:rsidR="00CC637A">
              <w:rPr>
                <w:rFonts w:cs="Arial"/>
                <w:spacing w:val="-3"/>
              </w:rPr>
              <w:t xml:space="preserve"> </w:t>
            </w:r>
            <w:r>
              <w:rPr>
                <w:rFonts w:cs="Arial"/>
                <w:spacing w:val="-3"/>
              </w:rPr>
              <w:t>Comparison of Projected Capital Expenditures Relative to Net Plant</w:t>
            </w:r>
          </w:p>
          <w:p w14:paraId="790FB531" w14:textId="73A33B1C"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11. </w:t>
            </w:r>
            <w:r w:rsidR="00CC637A">
              <w:rPr>
                <w:rFonts w:cs="Arial"/>
                <w:spacing w:val="-3"/>
              </w:rPr>
              <w:t xml:space="preserve"> </w:t>
            </w:r>
            <w:r>
              <w:rPr>
                <w:rFonts w:cs="Arial"/>
                <w:spacing w:val="-3"/>
              </w:rPr>
              <w:t>Relationship Between Investor Required Returns on the Market and Authorized ROEs for Electric and Gas Utilities, 1990-2022</w:t>
            </w:r>
          </w:p>
          <w:p w14:paraId="6AA70897" w14:textId="7C05D217"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12. </w:t>
            </w:r>
            <w:r w:rsidR="00CC637A">
              <w:rPr>
                <w:rFonts w:cs="Arial"/>
                <w:spacing w:val="-3"/>
              </w:rPr>
              <w:t xml:space="preserve"> </w:t>
            </w:r>
            <w:r>
              <w:rPr>
                <w:rFonts w:cs="Arial"/>
                <w:spacing w:val="-3"/>
              </w:rPr>
              <w:t>Gross Domestic Product (“GDP”) by Industry, 1947-2022</w:t>
            </w:r>
          </w:p>
          <w:p w14:paraId="2501895C" w14:textId="2EC8DB84"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13. </w:t>
            </w:r>
            <w:r w:rsidR="00CC637A">
              <w:rPr>
                <w:rFonts w:cs="Arial"/>
                <w:spacing w:val="-3"/>
              </w:rPr>
              <w:t xml:space="preserve"> </w:t>
            </w:r>
            <w:r>
              <w:rPr>
                <w:rFonts w:cs="Arial"/>
                <w:spacing w:val="-3"/>
              </w:rPr>
              <w:t>Evaluation of Implied Risk Premium Approach</w:t>
            </w:r>
          </w:p>
          <w:p w14:paraId="46FF559B" w14:textId="38D9FA89"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14. </w:t>
            </w:r>
            <w:r w:rsidR="00CC637A">
              <w:rPr>
                <w:rFonts w:cs="Arial"/>
                <w:spacing w:val="-3"/>
              </w:rPr>
              <w:t xml:space="preserve"> </w:t>
            </w:r>
            <w:r>
              <w:rPr>
                <w:rFonts w:cs="Arial"/>
                <w:spacing w:val="-3"/>
              </w:rPr>
              <w:t>Company Size and Volatility of Returns</w:t>
            </w:r>
          </w:p>
          <w:p w14:paraId="4C83E437" w14:textId="545E21AF"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15. </w:t>
            </w:r>
            <w:r w:rsidR="00CC637A">
              <w:rPr>
                <w:rFonts w:cs="Arial"/>
                <w:spacing w:val="-3"/>
              </w:rPr>
              <w:t xml:space="preserve"> </w:t>
            </w:r>
            <w:r>
              <w:rPr>
                <w:rFonts w:cs="Arial"/>
                <w:spacing w:val="-3"/>
              </w:rPr>
              <w:t>Flotation Cost Illustration</w:t>
            </w:r>
          </w:p>
          <w:p w14:paraId="7AD6E1B3" w14:textId="513C1C15"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16. </w:t>
            </w:r>
            <w:r w:rsidR="00CC637A">
              <w:rPr>
                <w:rFonts w:cs="Arial"/>
                <w:spacing w:val="-3"/>
              </w:rPr>
              <w:t xml:space="preserve"> </w:t>
            </w:r>
            <w:r>
              <w:rPr>
                <w:rFonts w:cs="Arial"/>
                <w:spacing w:val="-3"/>
              </w:rPr>
              <w:t>Frequency Distribution of Observed Market Risk Premiums (“MRP”), 1926-2022</w:t>
            </w:r>
          </w:p>
          <w:p w14:paraId="209D9A6C" w14:textId="3505FAC3" w:rsidR="009D68D5" w:rsidRPr="0029161C" w:rsidRDefault="009D68D5" w:rsidP="009D68D5">
            <w:r>
              <w:rPr>
                <w:rFonts w:cs="Arial"/>
                <w:spacing w:val="-3"/>
              </w:rPr>
              <w:t>17.</w:t>
            </w:r>
            <w:r w:rsidR="00CC637A">
              <w:rPr>
                <w:rFonts w:cs="Arial"/>
                <w:spacing w:val="-3"/>
              </w:rPr>
              <w:t xml:space="preserve"> </w:t>
            </w:r>
            <w:r>
              <w:rPr>
                <w:rFonts w:cs="Arial"/>
                <w:spacing w:val="-3"/>
              </w:rPr>
              <w:t xml:space="preserve"> Referenced Endnotes for the Rebuttal Testimony of Dylan W. D’Ascendis</w:t>
            </w:r>
          </w:p>
        </w:tc>
      </w:tr>
      <w:tr w:rsidR="009D68D5" w:rsidRPr="0029161C" w14:paraId="7E7965EB"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1D767B34" w14:textId="77777777" w:rsidR="009D68D5" w:rsidRPr="0029161C" w:rsidRDefault="009D68D5" w:rsidP="009D68D5">
            <w:pPr>
              <w:jc w:val="both"/>
            </w:pPr>
            <w:r>
              <w:rPr>
                <w:rFonts w:cs="Arial"/>
                <w:spacing w:val="-3"/>
              </w:rPr>
              <w:lastRenderedPageBreak/>
              <w:t>Kenneth D. McOnie</w:t>
            </w:r>
          </w:p>
        </w:tc>
        <w:tc>
          <w:tcPr>
            <w:tcW w:w="1530" w:type="dxa"/>
            <w:tcBorders>
              <w:top w:val="single" w:sz="4" w:space="0" w:color="auto"/>
              <w:left w:val="single" w:sz="4" w:space="0" w:color="auto"/>
              <w:bottom w:val="single" w:sz="4" w:space="0" w:color="auto"/>
              <w:right w:val="single" w:sz="4" w:space="0" w:color="auto"/>
            </w:tcBorders>
          </w:tcPr>
          <w:p w14:paraId="65612A38" w14:textId="77777777" w:rsidR="009D68D5" w:rsidRPr="0029161C" w:rsidRDefault="009D68D5" w:rsidP="009D68D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5B9D8640" w14:textId="77777777" w:rsidR="009D68D5" w:rsidRPr="0029161C" w:rsidRDefault="009D68D5" w:rsidP="009D68D5">
            <w:pPr>
              <w:jc w:val="center"/>
            </w:pPr>
            <w:r>
              <w:t>KDM-2</w:t>
            </w:r>
          </w:p>
        </w:tc>
        <w:tc>
          <w:tcPr>
            <w:tcW w:w="4050" w:type="dxa"/>
            <w:tcBorders>
              <w:top w:val="single" w:sz="4" w:space="0" w:color="auto"/>
              <w:left w:val="single" w:sz="4" w:space="0" w:color="auto"/>
              <w:bottom w:val="single" w:sz="4" w:space="0" w:color="auto"/>
              <w:right w:val="single" w:sz="4" w:space="0" w:color="auto"/>
            </w:tcBorders>
          </w:tcPr>
          <w:p w14:paraId="45343245" w14:textId="77777777" w:rsidR="009D68D5" w:rsidRPr="0029161C" w:rsidRDefault="009D68D5" w:rsidP="009D68D5">
            <w:r>
              <w:rPr>
                <w:rFonts w:cs="Arial"/>
                <w:spacing w:val="-3"/>
              </w:rPr>
              <w:t>Historical Investor Sources Equity Ratio (1998 to 2022)</w:t>
            </w:r>
          </w:p>
        </w:tc>
      </w:tr>
      <w:tr w:rsidR="009D68D5" w:rsidRPr="0029161C" w14:paraId="2B58E00B" w14:textId="77777777" w:rsidTr="00242699">
        <w:trPr>
          <w:cantSplit/>
          <w:trHeight w:val="373"/>
        </w:trPr>
        <w:tc>
          <w:tcPr>
            <w:tcW w:w="2610" w:type="dxa"/>
            <w:tcBorders>
              <w:top w:val="single" w:sz="4" w:space="0" w:color="auto"/>
              <w:left w:val="single" w:sz="4" w:space="0" w:color="auto"/>
              <w:bottom w:val="single" w:sz="4" w:space="0" w:color="auto"/>
              <w:right w:val="single" w:sz="4" w:space="0" w:color="auto"/>
            </w:tcBorders>
          </w:tcPr>
          <w:p w14:paraId="1247D4F2" w14:textId="77777777" w:rsidR="009D68D5" w:rsidRPr="0029161C" w:rsidRDefault="009D68D5" w:rsidP="009D68D5">
            <w:pPr>
              <w:jc w:val="both"/>
            </w:pPr>
            <w:r>
              <w:rPr>
                <w:rFonts w:cs="Arial"/>
                <w:spacing w:val="-3"/>
              </w:rPr>
              <w:lastRenderedPageBreak/>
              <w:t>Dane A. Watson</w:t>
            </w:r>
          </w:p>
        </w:tc>
        <w:tc>
          <w:tcPr>
            <w:tcW w:w="1530" w:type="dxa"/>
            <w:tcBorders>
              <w:top w:val="single" w:sz="4" w:space="0" w:color="auto"/>
              <w:left w:val="single" w:sz="4" w:space="0" w:color="auto"/>
              <w:bottom w:val="single" w:sz="4" w:space="0" w:color="auto"/>
              <w:right w:val="single" w:sz="4" w:space="0" w:color="auto"/>
            </w:tcBorders>
          </w:tcPr>
          <w:p w14:paraId="68C10308" w14:textId="77777777" w:rsidR="009D68D5" w:rsidRPr="0029161C" w:rsidRDefault="009D68D5" w:rsidP="009D68D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4F9E2FCF" w14:textId="77777777" w:rsidR="009D68D5" w:rsidRPr="0029161C" w:rsidRDefault="009D68D5" w:rsidP="009D68D5">
            <w:pPr>
              <w:jc w:val="center"/>
            </w:pPr>
            <w:r>
              <w:t>DAW-2</w:t>
            </w:r>
          </w:p>
        </w:tc>
        <w:tc>
          <w:tcPr>
            <w:tcW w:w="4050" w:type="dxa"/>
            <w:tcBorders>
              <w:top w:val="single" w:sz="4" w:space="0" w:color="auto"/>
              <w:left w:val="single" w:sz="4" w:space="0" w:color="auto"/>
              <w:bottom w:val="single" w:sz="4" w:space="0" w:color="auto"/>
              <w:right w:val="single" w:sz="4" w:space="0" w:color="auto"/>
            </w:tcBorders>
          </w:tcPr>
          <w:p w14:paraId="029CF33E" w14:textId="192B39F1" w:rsidR="009D68D5" w:rsidRPr="00F10DD7"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sidRPr="00F10DD7">
              <w:rPr>
                <w:rFonts w:cs="Arial"/>
                <w:spacing w:val="-3"/>
              </w:rPr>
              <w:t xml:space="preserve">1. </w:t>
            </w:r>
            <w:r w:rsidR="00CC637A">
              <w:rPr>
                <w:rFonts w:cs="Arial"/>
                <w:spacing w:val="-3"/>
              </w:rPr>
              <w:t xml:space="preserve"> </w:t>
            </w:r>
            <w:r w:rsidRPr="00F10DD7">
              <w:rPr>
                <w:rFonts w:cs="Arial"/>
                <w:spacing w:val="-3"/>
              </w:rPr>
              <w:t>Endnotes to Testimony</w:t>
            </w:r>
          </w:p>
          <w:p w14:paraId="5A2C393C" w14:textId="63F964CA" w:rsidR="009D68D5" w:rsidRPr="00F10DD7"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sidRPr="00F10DD7">
              <w:rPr>
                <w:rFonts w:cs="Arial"/>
                <w:spacing w:val="-3"/>
              </w:rPr>
              <w:t xml:space="preserve">2. </w:t>
            </w:r>
            <w:r w:rsidR="00CC637A">
              <w:rPr>
                <w:rFonts w:cs="Arial"/>
                <w:spacing w:val="-3"/>
              </w:rPr>
              <w:t xml:space="preserve"> </w:t>
            </w:r>
            <w:r w:rsidRPr="00F10DD7">
              <w:rPr>
                <w:rFonts w:cs="Arial"/>
                <w:spacing w:val="-3"/>
              </w:rPr>
              <w:t>Revised July 2023 Depreciation Study</w:t>
            </w:r>
          </w:p>
          <w:p w14:paraId="6D9C96FA" w14:textId="672EDC48" w:rsidR="009D68D5" w:rsidRPr="0029161C" w:rsidRDefault="009D68D5" w:rsidP="009D68D5">
            <w:r w:rsidRPr="00F10DD7">
              <w:rPr>
                <w:rFonts w:cs="Arial"/>
                <w:spacing w:val="-3"/>
              </w:rPr>
              <w:t xml:space="preserve">3. </w:t>
            </w:r>
            <w:r w:rsidR="00CC637A">
              <w:rPr>
                <w:rFonts w:cs="Arial"/>
                <w:spacing w:val="-3"/>
              </w:rPr>
              <w:t xml:space="preserve"> </w:t>
            </w:r>
            <w:r w:rsidRPr="00F10DD7">
              <w:rPr>
                <w:rFonts w:cs="Arial"/>
                <w:spacing w:val="-3"/>
              </w:rPr>
              <w:t>Calculation of Proposed Depreciation Rates using year-end 2023 Study Date</w:t>
            </w:r>
          </w:p>
        </w:tc>
      </w:tr>
      <w:tr w:rsidR="009D68D5" w:rsidRPr="0029161C" w14:paraId="3251F113"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B97DD24" w14:textId="77777777" w:rsidR="009D68D5" w:rsidRPr="0029161C" w:rsidRDefault="009D68D5" w:rsidP="009D68D5">
            <w:pPr>
              <w:jc w:val="both"/>
            </w:pPr>
            <w:r>
              <w:rPr>
                <w:rFonts w:cs="Arial"/>
                <w:spacing w:val="-3"/>
              </w:rPr>
              <w:t>Rachel B. Parsons</w:t>
            </w:r>
          </w:p>
        </w:tc>
        <w:tc>
          <w:tcPr>
            <w:tcW w:w="1530" w:type="dxa"/>
            <w:tcBorders>
              <w:top w:val="single" w:sz="4" w:space="0" w:color="auto"/>
              <w:left w:val="single" w:sz="4" w:space="0" w:color="auto"/>
              <w:bottom w:val="single" w:sz="4" w:space="0" w:color="auto"/>
              <w:right w:val="single" w:sz="4" w:space="0" w:color="auto"/>
            </w:tcBorders>
          </w:tcPr>
          <w:p w14:paraId="5C0B6B12" w14:textId="77777777" w:rsidR="009D68D5" w:rsidRPr="0029161C" w:rsidRDefault="009D68D5" w:rsidP="009D68D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3D1765D5" w14:textId="77777777" w:rsidR="009D68D5" w:rsidRPr="0029161C" w:rsidRDefault="009D68D5" w:rsidP="009D68D5">
            <w:pPr>
              <w:jc w:val="center"/>
            </w:pPr>
            <w:r>
              <w:t>RPB-2</w:t>
            </w:r>
          </w:p>
        </w:tc>
        <w:tc>
          <w:tcPr>
            <w:tcW w:w="4050" w:type="dxa"/>
            <w:tcBorders>
              <w:top w:val="single" w:sz="4" w:space="0" w:color="auto"/>
              <w:left w:val="single" w:sz="4" w:space="0" w:color="auto"/>
              <w:bottom w:val="single" w:sz="4" w:space="0" w:color="auto"/>
              <w:right w:val="single" w:sz="4" w:space="0" w:color="auto"/>
            </w:tcBorders>
          </w:tcPr>
          <w:p w14:paraId="45AA837B" w14:textId="3DF37734"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Pr>
                <w:rFonts w:cs="Arial"/>
                <w:spacing w:val="-3"/>
              </w:rPr>
              <w:t>Revised Revenue Requirement</w:t>
            </w:r>
          </w:p>
          <w:p w14:paraId="3982DD20" w14:textId="5EA7AD27"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CC637A">
              <w:rPr>
                <w:rFonts w:cs="Arial"/>
                <w:spacing w:val="-3"/>
              </w:rPr>
              <w:t xml:space="preserve"> </w:t>
            </w:r>
            <w:r>
              <w:rPr>
                <w:rFonts w:cs="Arial"/>
                <w:spacing w:val="-3"/>
              </w:rPr>
              <w:t>Account 921 Average Increase</w:t>
            </w:r>
          </w:p>
          <w:p w14:paraId="6C69ED7D" w14:textId="280D6D61"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00CC637A">
              <w:rPr>
                <w:rFonts w:cs="Arial"/>
                <w:spacing w:val="-3"/>
              </w:rPr>
              <w:t xml:space="preserve"> </w:t>
            </w:r>
            <w:r>
              <w:rPr>
                <w:rFonts w:cs="Arial"/>
                <w:spacing w:val="-3"/>
              </w:rPr>
              <w:t>Historical Storm Costs in 2024 Dollars</w:t>
            </w:r>
          </w:p>
          <w:p w14:paraId="36C8BE96" w14:textId="0132C805"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4.</w:t>
            </w:r>
            <w:r w:rsidR="00CC637A">
              <w:rPr>
                <w:rFonts w:cs="Arial"/>
                <w:spacing w:val="-3"/>
              </w:rPr>
              <w:t xml:space="preserve"> </w:t>
            </w:r>
            <w:r>
              <w:rPr>
                <w:rFonts w:cs="Arial"/>
                <w:spacing w:val="-3"/>
              </w:rPr>
              <w:t xml:space="preserve"> RNG Revenue Requirement and Cost Recovery</w:t>
            </w:r>
          </w:p>
          <w:p w14:paraId="4E4442CE" w14:textId="77DE52C7"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CC637A">
              <w:rPr>
                <w:rFonts w:cs="Arial"/>
                <w:spacing w:val="-3"/>
              </w:rPr>
              <w:t xml:space="preserve"> </w:t>
            </w:r>
            <w:r>
              <w:rPr>
                <w:rFonts w:cs="Arial"/>
                <w:spacing w:val="-3"/>
              </w:rPr>
              <w:t>Capital Expenditure Analysis</w:t>
            </w:r>
          </w:p>
          <w:p w14:paraId="2BC3A929" w14:textId="7C377095"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CC637A">
              <w:rPr>
                <w:rFonts w:cs="Arial"/>
                <w:spacing w:val="-3"/>
              </w:rPr>
              <w:t xml:space="preserve"> </w:t>
            </w:r>
            <w:r>
              <w:rPr>
                <w:rFonts w:cs="Arial"/>
                <w:spacing w:val="-3"/>
              </w:rPr>
              <w:t>December 31, 2023 Depreciation Study Impact</w:t>
            </w:r>
          </w:p>
          <w:p w14:paraId="0C3D58F3" w14:textId="3B460030"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7. </w:t>
            </w:r>
            <w:r w:rsidR="00CC637A">
              <w:rPr>
                <w:rFonts w:cs="Arial"/>
                <w:spacing w:val="-3"/>
              </w:rPr>
              <w:t xml:space="preserve"> </w:t>
            </w:r>
            <w:r>
              <w:rPr>
                <w:rFonts w:cs="Arial"/>
                <w:spacing w:val="-3"/>
              </w:rPr>
              <w:t>Revision to Seacoast Overhead Allocation</w:t>
            </w:r>
          </w:p>
          <w:p w14:paraId="288A0798" w14:textId="44110AD6"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8. </w:t>
            </w:r>
            <w:r w:rsidR="00CC637A">
              <w:rPr>
                <w:rFonts w:cs="Arial"/>
                <w:spacing w:val="-3"/>
              </w:rPr>
              <w:t xml:space="preserve"> </w:t>
            </w:r>
            <w:r>
              <w:rPr>
                <w:rFonts w:cs="Arial"/>
                <w:spacing w:val="-3"/>
              </w:rPr>
              <w:t>Vehicle Retirement Impact on NOI and Rate Base</w:t>
            </w:r>
          </w:p>
          <w:p w14:paraId="5252173A" w14:textId="281C7AE4" w:rsidR="009D68D5" w:rsidRPr="0029161C" w:rsidRDefault="009D68D5" w:rsidP="009D68D5">
            <w:r>
              <w:rPr>
                <w:rFonts w:cs="Arial"/>
                <w:spacing w:val="-3"/>
              </w:rPr>
              <w:t xml:space="preserve">9. </w:t>
            </w:r>
            <w:r w:rsidR="00CC637A">
              <w:rPr>
                <w:rFonts w:cs="Arial"/>
                <w:spacing w:val="-3"/>
              </w:rPr>
              <w:t xml:space="preserve"> </w:t>
            </w:r>
            <w:r>
              <w:rPr>
                <w:rFonts w:cs="Arial"/>
                <w:spacing w:val="-3"/>
              </w:rPr>
              <w:t>Discovery Responses and Other Documents</w:t>
            </w:r>
          </w:p>
        </w:tc>
      </w:tr>
      <w:tr w:rsidR="009D68D5" w:rsidRPr="0029161C" w14:paraId="79FA68D6" w14:textId="77777777" w:rsidTr="009D68D5">
        <w:trPr>
          <w:trHeight w:val="373"/>
        </w:trPr>
        <w:tc>
          <w:tcPr>
            <w:tcW w:w="2610" w:type="dxa"/>
            <w:tcBorders>
              <w:top w:val="single" w:sz="4" w:space="0" w:color="auto"/>
              <w:left w:val="single" w:sz="4" w:space="0" w:color="auto"/>
              <w:bottom w:val="single" w:sz="4" w:space="0" w:color="auto"/>
              <w:right w:val="single" w:sz="4" w:space="0" w:color="auto"/>
            </w:tcBorders>
          </w:tcPr>
          <w:p w14:paraId="0C9A3A0D" w14:textId="77777777" w:rsidR="009D68D5" w:rsidRPr="0029161C" w:rsidRDefault="009D68D5" w:rsidP="009D68D5">
            <w:pPr>
              <w:jc w:val="both"/>
            </w:pPr>
            <w:r>
              <w:rPr>
                <w:rFonts w:cs="Arial"/>
                <w:spacing w:val="-3"/>
              </w:rPr>
              <w:t>Luke A. Buzard</w:t>
            </w:r>
          </w:p>
        </w:tc>
        <w:tc>
          <w:tcPr>
            <w:tcW w:w="1530" w:type="dxa"/>
            <w:tcBorders>
              <w:top w:val="single" w:sz="4" w:space="0" w:color="auto"/>
              <w:left w:val="single" w:sz="4" w:space="0" w:color="auto"/>
              <w:bottom w:val="single" w:sz="4" w:space="0" w:color="auto"/>
              <w:right w:val="single" w:sz="4" w:space="0" w:color="auto"/>
            </w:tcBorders>
          </w:tcPr>
          <w:p w14:paraId="13B1B787" w14:textId="77777777" w:rsidR="009D68D5" w:rsidRPr="0029161C" w:rsidRDefault="009D68D5" w:rsidP="009D68D5">
            <w:pPr>
              <w:jc w:val="center"/>
            </w:pPr>
            <w:r>
              <w:t>PGS</w:t>
            </w:r>
          </w:p>
        </w:tc>
        <w:tc>
          <w:tcPr>
            <w:tcW w:w="1350" w:type="dxa"/>
            <w:tcBorders>
              <w:top w:val="single" w:sz="4" w:space="0" w:color="auto"/>
              <w:left w:val="single" w:sz="4" w:space="0" w:color="auto"/>
              <w:bottom w:val="single" w:sz="4" w:space="0" w:color="auto"/>
              <w:right w:val="single" w:sz="4" w:space="0" w:color="auto"/>
            </w:tcBorders>
          </w:tcPr>
          <w:p w14:paraId="23DA6F5D" w14:textId="77777777" w:rsidR="009D68D5" w:rsidRPr="0029161C" w:rsidRDefault="009D68D5" w:rsidP="009D68D5">
            <w:pPr>
              <w:jc w:val="center"/>
            </w:pPr>
            <w:r>
              <w:t>LAB-1</w:t>
            </w:r>
          </w:p>
        </w:tc>
        <w:tc>
          <w:tcPr>
            <w:tcW w:w="4050" w:type="dxa"/>
            <w:tcBorders>
              <w:top w:val="single" w:sz="4" w:space="0" w:color="auto"/>
              <w:left w:val="single" w:sz="4" w:space="0" w:color="auto"/>
              <w:bottom w:val="single" w:sz="4" w:space="0" w:color="auto"/>
              <w:right w:val="single" w:sz="4" w:space="0" w:color="auto"/>
            </w:tcBorders>
          </w:tcPr>
          <w:p w14:paraId="0DEF1AE7" w14:textId="1ADCE873"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1. </w:t>
            </w:r>
            <w:r w:rsidR="00CC637A">
              <w:rPr>
                <w:rFonts w:cs="Arial"/>
                <w:spacing w:val="-3"/>
              </w:rPr>
              <w:t xml:space="preserve"> </w:t>
            </w:r>
            <w:r>
              <w:rPr>
                <w:rFonts w:cs="Arial"/>
                <w:spacing w:val="-3"/>
              </w:rPr>
              <w:t>Peoples’ Current RNG Tariff</w:t>
            </w:r>
          </w:p>
          <w:p w14:paraId="28E7DAC6" w14:textId="350382FF"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2. </w:t>
            </w:r>
            <w:r w:rsidR="00CC637A">
              <w:rPr>
                <w:rFonts w:cs="Arial"/>
                <w:spacing w:val="-3"/>
              </w:rPr>
              <w:t xml:space="preserve"> </w:t>
            </w:r>
            <w:r>
              <w:rPr>
                <w:rFonts w:cs="Arial"/>
                <w:spacing w:val="-3"/>
              </w:rPr>
              <w:t>Order No. PSC-2017-0497-TFR-GU</w:t>
            </w:r>
          </w:p>
          <w:p w14:paraId="61C0A303" w14:textId="1E8B7553"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3. </w:t>
            </w:r>
            <w:r w:rsidR="00CC637A">
              <w:rPr>
                <w:rFonts w:cs="Arial"/>
                <w:spacing w:val="-3"/>
              </w:rPr>
              <w:t xml:space="preserve"> </w:t>
            </w:r>
            <w:r>
              <w:rPr>
                <w:rFonts w:cs="Arial"/>
                <w:spacing w:val="-3"/>
              </w:rPr>
              <w:t>202 Proposed Changes to Original RNG Tariff</w:t>
            </w:r>
          </w:p>
          <w:p w14:paraId="363A9610" w14:textId="226B1002"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4. </w:t>
            </w:r>
            <w:r w:rsidR="00CC637A">
              <w:rPr>
                <w:rFonts w:cs="Arial"/>
                <w:spacing w:val="-3"/>
              </w:rPr>
              <w:t xml:space="preserve"> </w:t>
            </w:r>
            <w:r>
              <w:rPr>
                <w:rFonts w:cs="Arial"/>
                <w:spacing w:val="-3"/>
              </w:rPr>
              <w:t>Excerpt from 202 Rate Case Pre-hearing Order</w:t>
            </w:r>
          </w:p>
          <w:p w14:paraId="009BB3D7" w14:textId="0704DCEF"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5. </w:t>
            </w:r>
            <w:r w:rsidR="00CC637A">
              <w:rPr>
                <w:rFonts w:cs="Arial"/>
                <w:spacing w:val="-3"/>
              </w:rPr>
              <w:t xml:space="preserve"> </w:t>
            </w:r>
            <w:r>
              <w:rPr>
                <w:rFonts w:cs="Arial"/>
                <w:spacing w:val="-3"/>
              </w:rPr>
              <w:t>Excerpts from Order No. PSC-2020-0485-FOF-GU (2020 Agreement Approval)</w:t>
            </w:r>
          </w:p>
          <w:p w14:paraId="704EF247" w14:textId="0998E56F" w:rsidR="009D68D5" w:rsidRDefault="009D68D5" w:rsidP="009D68D5">
            <w:pPr>
              <w:tabs>
                <w:tab w:val="left" w:pos="475"/>
                <w:tab w:val="left" w:pos="1195"/>
                <w:tab w:val="left" w:pos="1915"/>
                <w:tab w:val="left" w:pos="3355"/>
                <w:tab w:val="left" w:pos="4507"/>
                <w:tab w:val="left" w:pos="5515"/>
                <w:tab w:val="left" w:pos="6955"/>
                <w:tab w:val="left" w:pos="9115"/>
              </w:tabs>
              <w:suppressAutoHyphens/>
              <w:rPr>
                <w:rFonts w:cs="Arial"/>
                <w:spacing w:val="-3"/>
              </w:rPr>
            </w:pPr>
            <w:r>
              <w:rPr>
                <w:rFonts w:cs="Arial"/>
                <w:spacing w:val="-3"/>
              </w:rPr>
              <w:t xml:space="preserve">6. </w:t>
            </w:r>
            <w:r w:rsidR="00CC637A">
              <w:rPr>
                <w:rFonts w:cs="Arial"/>
                <w:spacing w:val="-3"/>
              </w:rPr>
              <w:t xml:space="preserve"> </w:t>
            </w:r>
            <w:r>
              <w:rPr>
                <w:rFonts w:cs="Arial"/>
                <w:spacing w:val="-3"/>
              </w:rPr>
              <w:t>New River and Brightmark Assets by Tariff Category</w:t>
            </w:r>
          </w:p>
          <w:p w14:paraId="1FB19052" w14:textId="182AB510" w:rsidR="009D68D5" w:rsidRPr="0029161C" w:rsidRDefault="009D68D5" w:rsidP="009D68D5">
            <w:r>
              <w:rPr>
                <w:rFonts w:cs="Arial"/>
                <w:spacing w:val="-3"/>
              </w:rPr>
              <w:t xml:space="preserve">7. </w:t>
            </w:r>
            <w:r w:rsidR="00CC637A">
              <w:rPr>
                <w:rFonts w:cs="Arial"/>
                <w:spacing w:val="-3"/>
              </w:rPr>
              <w:t xml:space="preserve"> </w:t>
            </w:r>
            <w:r>
              <w:rPr>
                <w:rFonts w:cs="Arial"/>
                <w:spacing w:val="-3"/>
              </w:rPr>
              <w:t>Alliance Dairies CPVRR Analysis and EA Break Even Analysis</w:t>
            </w:r>
          </w:p>
        </w:tc>
      </w:tr>
    </w:tbl>
    <w:p w14:paraId="1694CBC9" w14:textId="77777777" w:rsidR="00525434" w:rsidRDefault="00525434" w:rsidP="0029161C">
      <w:pPr>
        <w:jc w:val="both"/>
      </w:pPr>
    </w:p>
    <w:p w14:paraId="655AA32D" w14:textId="77777777" w:rsidR="0029161C" w:rsidRPr="0029161C" w:rsidRDefault="0029161C" w:rsidP="0029161C">
      <w:pPr>
        <w:jc w:val="both"/>
      </w:pPr>
      <w:r w:rsidRPr="0029161C">
        <w:tab/>
      </w:r>
      <w:r w:rsidR="000C1714">
        <w:t>The P</w:t>
      </w:r>
      <w:r w:rsidRPr="0029161C">
        <w:t>arties and Staff reserve the right to identify additional exhibits for the purpose of cross-examination.</w:t>
      </w:r>
    </w:p>
    <w:p w14:paraId="6132E849" w14:textId="1DAC3027" w:rsidR="00C810C8" w:rsidRDefault="00C810C8"/>
    <w:p w14:paraId="79062AC8" w14:textId="77777777" w:rsidR="0029161C" w:rsidRPr="0029161C" w:rsidRDefault="0029161C" w:rsidP="0029161C">
      <w:pPr>
        <w:jc w:val="both"/>
        <w:rPr>
          <w:b/>
        </w:rPr>
      </w:pPr>
      <w:r w:rsidRPr="0029161C">
        <w:rPr>
          <w:b/>
        </w:rPr>
        <w:t>X.</w:t>
      </w:r>
      <w:r w:rsidRPr="0029161C">
        <w:rPr>
          <w:b/>
        </w:rPr>
        <w:tab/>
      </w:r>
      <w:r w:rsidRPr="0029161C">
        <w:rPr>
          <w:b/>
          <w:u w:val="single"/>
        </w:rPr>
        <w:t>PROPOSED STIPULATIONS</w:t>
      </w:r>
    </w:p>
    <w:p w14:paraId="7CA43AEE" w14:textId="77777777" w:rsidR="0029161C" w:rsidRPr="0029161C" w:rsidRDefault="0029161C" w:rsidP="0029161C">
      <w:pPr>
        <w:jc w:val="both"/>
      </w:pPr>
    </w:p>
    <w:p w14:paraId="606F5050" w14:textId="38A37BD3" w:rsidR="00242699" w:rsidRDefault="0029161C" w:rsidP="00242699">
      <w:pPr>
        <w:ind w:firstLine="720"/>
        <w:jc w:val="both"/>
      </w:pPr>
      <w:r w:rsidRPr="008F3F3C">
        <w:t xml:space="preserve">There are proposed </w:t>
      </w:r>
      <w:r w:rsidR="00BA6791">
        <w:t xml:space="preserve">Type 1 and Type 2 </w:t>
      </w:r>
      <w:r w:rsidRPr="008F3F3C">
        <w:t xml:space="preserve">stipulations </w:t>
      </w:r>
      <w:r w:rsidR="00BA6791">
        <w:t xml:space="preserve">on </w:t>
      </w:r>
      <w:r w:rsidR="00242699">
        <w:t xml:space="preserve">several issues. </w:t>
      </w:r>
      <w:r w:rsidR="00242699" w:rsidRPr="000A2E67">
        <w:t>A Type 1 stipulation occurs on an issue where the utility and intervenors agree on the</w:t>
      </w:r>
      <w:r w:rsidR="00242699">
        <w:t xml:space="preserve"> resolution of the </w:t>
      </w:r>
      <w:r w:rsidR="00242699">
        <w:lastRenderedPageBreak/>
        <w:t>issue. A Type 2 stipulation</w:t>
      </w:r>
      <w:r w:rsidR="00242699">
        <w:rPr>
          <w:rStyle w:val="FootnoteReference"/>
        </w:rPr>
        <w:footnoteReference w:id="2"/>
      </w:r>
      <w:r w:rsidR="00242699">
        <w:t xml:space="preserve"> </w:t>
      </w:r>
      <w:r w:rsidR="00242699" w:rsidRPr="00F10751">
        <w:t>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rsidR="00242699">
        <w:t xml:space="preserve"> The proposed stipulations are as follows:</w:t>
      </w:r>
    </w:p>
    <w:p w14:paraId="72D22B4F" w14:textId="5A58F02C" w:rsidR="00242699" w:rsidRDefault="00242699"/>
    <w:p w14:paraId="2E981EEA" w14:textId="77777777" w:rsidR="00795EB2" w:rsidRPr="00F10751" w:rsidRDefault="00795EB2" w:rsidP="00795EB2">
      <w:pPr>
        <w:jc w:val="center"/>
        <w:rPr>
          <w:b/>
        </w:rPr>
      </w:pPr>
      <w:r w:rsidRPr="00F10751">
        <w:rPr>
          <w:b/>
          <w:u w:val="single"/>
        </w:rPr>
        <w:t>TEST PERIOD AND FORECASTING</w:t>
      </w:r>
    </w:p>
    <w:p w14:paraId="1CE6B92C" w14:textId="77777777" w:rsidR="00795EB2" w:rsidRDefault="00795EB2" w:rsidP="00795EB2"/>
    <w:p w14:paraId="5A5A8F5F" w14:textId="77777777" w:rsidR="00795EB2" w:rsidRDefault="00795EB2" w:rsidP="00795EB2">
      <w:pPr>
        <w:tabs>
          <w:tab w:val="left" w:pos="1440"/>
        </w:tabs>
        <w:ind w:left="1440" w:hanging="1440"/>
        <w:jc w:val="both"/>
      </w:pPr>
      <w:r w:rsidRPr="009D0AB8">
        <w:rPr>
          <w:b/>
          <w:u w:val="single"/>
        </w:rPr>
        <w:t>ISSUE 2</w:t>
      </w:r>
      <w:r>
        <w:t>:</w:t>
      </w:r>
      <w:r>
        <w:tab/>
        <w:t>Should the Commission approve PGS’s forecasts of customers and therms by rate class for the projected test year ending December 31, 2024? If not, what adjustments should be made?</w:t>
      </w:r>
    </w:p>
    <w:p w14:paraId="5F3B06CD" w14:textId="77777777" w:rsidR="00795EB2" w:rsidRDefault="00795EB2" w:rsidP="00795EB2">
      <w:pPr>
        <w:jc w:val="both"/>
      </w:pPr>
    </w:p>
    <w:p w14:paraId="7680D7C3" w14:textId="77777777" w:rsidR="00795EB2" w:rsidRPr="009D0AB8" w:rsidRDefault="00795EB2" w:rsidP="00795EB2">
      <w:pPr>
        <w:ind w:left="1440" w:hanging="1440"/>
        <w:jc w:val="both"/>
      </w:pPr>
      <w:r>
        <w:rPr>
          <w:b/>
        </w:rPr>
        <w:t>Type 2</w:t>
      </w:r>
      <w:r>
        <w:t>:</w:t>
      </w:r>
      <w:r>
        <w:tab/>
      </w:r>
      <w:r w:rsidRPr="0062349F">
        <w:t>Yes. The company used linear regression models for both customer counts and average use for the test year. These models are both theoretically and statistically strong as measured by model coefficient and overall model fit statistics. The chosen modeling framework has been adopted by numerous utilities in the United States and Canada for forecasting.</w:t>
      </w:r>
    </w:p>
    <w:p w14:paraId="47E24641" w14:textId="01160C91" w:rsidR="00795EB2" w:rsidRDefault="00795EB2" w:rsidP="00CC637A">
      <w:pPr>
        <w:spacing w:line="276" w:lineRule="auto"/>
        <w:jc w:val="both"/>
      </w:pPr>
    </w:p>
    <w:p w14:paraId="24158063" w14:textId="2BE16C6A" w:rsidR="00C607FA" w:rsidRDefault="00C607FA">
      <w:pPr>
        <w:rPr>
          <w:b/>
          <w:u w:val="single"/>
        </w:rPr>
      </w:pPr>
    </w:p>
    <w:p w14:paraId="4EAE138A" w14:textId="2A0F329D" w:rsidR="00795EB2" w:rsidRDefault="00795EB2" w:rsidP="00795EB2">
      <w:pPr>
        <w:tabs>
          <w:tab w:val="left" w:pos="1440"/>
        </w:tabs>
        <w:ind w:left="1440" w:hanging="1440"/>
        <w:jc w:val="both"/>
      </w:pPr>
      <w:r w:rsidRPr="009D0AB8">
        <w:rPr>
          <w:b/>
          <w:u w:val="single"/>
        </w:rPr>
        <w:t>ISSUE 3</w:t>
      </w:r>
      <w:r>
        <w:t>:</w:t>
      </w:r>
      <w:r>
        <w:tab/>
        <w:t>Are PGS’s estimated revenues from sales of gas by rate class at present rates for the projected test year appropriate? If not, what adjustments should be made?</w:t>
      </w:r>
    </w:p>
    <w:p w14:paraId="07306C81" w14:textId="77777777" w:rsidR="00795EB2" w:rsidRDefault="00795EB2" w:rsidP="00795EB2">
      <w:pPr>
        <w:tabs>
          <w:tab w:val="left" w:pos="1440"/>
        </w:tabs>
        <w:ind w:left="1440" w:hanging="1440"/>
        <w:jc w:val="both"/>
      </w:pPr>
    </w:p>
    <w:p w14:paraId="67BF3C65" w14:textId="77777777" w:rsidR="00795EB2" w:rsidRDefault="00795EB2" w:rsidP="00795EB2">
      <w:pPr>
        <w:tabs>
          <w:tab w:val="left" w:pos="1440"/>
        </w:tabs>
        <w:ind w:left="1440" w:hanging="1440"/>
        <w:jc w:val="both"/>
      </w:pPr>
      <w:r w:rsidRPr="00F10751">
        <w:rPr>
          <w:b/>
        </w:rPr>
        <w:t>Type 2</w:t>
      </w:r>
      <w:r>
        <w:t>:</w:t>
      </w:r>
      <w:r>
        <w:tab/>
      </w:r>
      <w:r w:rsidRPr="0062349F">
        <w:t>Yes. Residential and small commercial customer and sales forecasts were used to estimate the 2024 test year revenues at current rates. These forecasts were prepared using theoretically and statistically strong models that have been adopted by numerous utilities in the United States and Canada for forecasting.</w:t>
      </w:r>
    </w:p>
    <w:p w14:paraId="2E7CDCFD" w14:textId="77777777" w:rsidR="00795EB2" w:rsidRDefault="00795EB2" w:rsidP="00795EB2">
      <w:pPr>
        <w:tabs>
          <w:tab w:val="left" w:pos="1440"/>
        </w:tabs>
        <w:ind w:left="1440" w:hanging="1440"/>
      </w:pPr>
    </w:p>
    <w:p w14:paraId="073697C7" w14:textId="77777777" w:rsidR="00795EB2" w:rsidRPr="00F10751" w:rsidRDefault="00795EB2" w:rsidP="00795EB2">
      <w:pPr>
        <w:jc w:val="center"/>
        <w:rPr>
          <w:b/>
        </w:rPr>
      </w:pPr>
      <w:r w:rsidRPr="00F10751">
        <w:rPr>
          <w:b/>
          <w:u w:val="single"/>
        </w:rPr>
        <w:t>DEPRECIATION STUDY</w:t>
      </w:r>
    </w:p>
    <w:p w14:paraId="546953CE" w14:textId="77777777" w:rsidR="00795EB2" w:rsidRDefault="00795EB2" w:rsidP="00795EB2"/>
    <w:p w14:paraId="67C0ED9C" w14:textId="77777777" w:rsidR="00795EB2" w:rsidRDefault="00795EB2" w:rsidP="00795EB2">
      <w:pPr>
        <w:tabs>
          <w:tab w:val="left" w:pos="1440"/>
        </w:tabs>
        <w:ind w:left="1440" w:hanging="1440"/>
        <w:jc w:val="both"/>
      </w:pPr>
      <w:r w:rsidRPr="009D0AB8">
        <w:rPr>
          <w:b/>
          <w:u w:val="single"/>
        </w:rPr>
        <w:t xml:space="preserve">ISSUE </w:t>
      </w:r>
      <w:r>
        <w:rPr>
          <w:b/>
          <w:u w:val="single"/>
        </w:rPr>
        <w:t>8</w:t>
      </w:r>
      <w:r>
        <w:t>:</w:t>
      </w:r>
      <w:r>
        <w:tab/>
      </w:r>
      <w:r w:rsidRPr="00F10751">
        <w:t>In establishing the projected test year’s depreciation expense, should the approved depreciation rates be calculated using a depreciation study date of December 31, 2023 or December 31, 2024?</w:t>
      </w:r>
    </w:p>
    <w:p w14:paraId="6F686976" w14:textId="77777777" w:rsidR="00795EB2" w:rsidRDefault="00795EB2" w:rsidP="00795EB2">
      <w:pPr>
        <w:jc w:val="both"/>
      </w:pPr>
    </w:p>
    <w:p w14:paraId="13A2D45F" w14:textId="77777777" w:rsidR="00795EB2" w:rsidRPr="009D0AB8" w:rsidRDefault="00795EB2" w:rsidP="00795EB2">
      <w:pPr>
        <w:ind w:left="1440" w:hanging="1440"/>
        <w:jc w:val="both"/>
      </w:pPr>
      <w:r>
        <w:rPr>
          <w:b/>
        </w:rPr>
        <w:t>Type 2</w:t>
      </w:r>
      <w:r>
        <w:t>:</w:t>
      </w:r>
      <w:r>
        <w:tab/>
      </w:r>
      <w:r w:rsidRPr="0062349F">
        <w:t xml:space="preserve">Although the terms of the 2020 Agreement </w:t>
      </w:r>
      <w:r>
        <w:t>approved by the Commission in</w:t>
      </w:r>
      <w:r w:rsidRPr="0062349F">
        <w:t xml:space="preserve"> Order No. PSC-2020-0485-FOF-GU, suggests otherwise, the company agrees with OPC that the depreciation rates that become effective on January 1, 2024 should be calculated using a depreciation study date of December 31, 2023.</w:t>
      </w:r>
    </w:p>
    <w:p w14:paraId="68BA07C4" w14:textId="77777777" w:rsidR="00795EB2" w:rsidRDefault="00795EB2" w:rsidP="00795EB2"/>
    <w:p w14:paraId="43C8E071" w14:textId="6529285F" w:rsidR="00795EB2" w:rsidRPr="00F10751" w:rsidRDefault="00795EB2" w:rsidP="00795EB2">
      <w:pPr>
        <w:jc w:val="center"/>
        <w:rPr>
          <w:b/>
        </w:rPr>
      </w:pPr>
      <w:r>
        <w:rPr>
          <w:b/>
          <w:u w:val="single"/>
        </w:rPr>
        <w:lastRenderedPageBreak/>
        <w:t>RATE BASE</w:t>
      </w:r>
    </w:p>
    <w:p w14:paraId="0C571AA8" w14:textId="77777777" w:rsidR="00795EB2" w:rsidRDefault="00795EB2" w:rsidP="00795EB2"/>
    <w:p w14:paraId="04A65D13" w14:textId="77777777" w:rsidR="00795EB2" w:rsidRDefault="00795EB2" w:rsidP="00795EB2">
      <w:pPr>
        <w:tabs>
          <w:tab w:val="left" w:pos="1440"/>
        </w:tabs>
        <w:ind w:left="1440" w:hanging="1440"/>
        <w:jc w:val="both"/>
      </w:pPr>
      <w:r w:rsidRPr="009D0AB8">
        <w:rPr>
          <w:b/>
          <w:u w:val="single"/>
        </w:rPr>
        <w:t xml:space="preserve">ISSUE </w:t>
      </w:r>
      <w:r>
        <w:rPr>
          <w:b/>
          <w:u w:val="single"/>
        </w:rPr>
        <w:t>12</w:t>
      </w:r>
      <w:r>
        <w:t>:</w:t>
      </w:r>
      <w:r>
        <w:tab/>
      </w:r>
      <w:r w:rsidRPr="00F10751">
        <w:t>Has PGS made the proper adjustments to remove all non-utility activities from the projected test year Plant in Service, Accumulated Depreciation, and Working Capital? If not, what adjustments should be made?</w:t>
      </w:r>
    </w:p>
    <w:p w14:paraId="7D4D64A9" w14:textId="77777777" w:rsidR="00795EB2" w:rsidRDefault="00795EB2" w:rsidP="00795EB2">
      <w:pPr>
        <w:jc w:val="both"/>
      </w:pPr>
    </w:p>
    <w:p w14:paraId="1D1BA188" w14:textId="77777777" w:rsidR="00795EB2" w:rsidRDefault="00795EB2" w:rsidP="00795EB2">
      <w:pPr>
        <w:ind w:left="1440" w:hanging="1440"/>
        <w:jc w:val="both"/>
      </w:pPr>
      <w:r>
        <w:rPr>
          <w:b/>
        </w:rPr>
        <w:t>Type 2</w:t>
      </w:r>
      <w:r>
        <w:t>:</w:t>
      </w:r>
      <w:r>
        <w:tab/>
      </w:r>
      <w:r w:rsidRPr="0062349F">
        <w:t>Yes. All required adjustments to remove non-utility items have been included in the 2024 projected test year, as shown on MFR Schedule G-1, page 4.</w:t>
      </w:r>
    </w:p>
    <w:p w14:paraId="481094E1" w14:textId="77777777" w:rsidR="00795EB2" w:rsidRDefault="00795EB2" w:rsidP="00795EB2">
      <w:pPr>
        <w:ind w:left="1440" w:hanging="1440"/>
        <w:jc w:val="both"/>
      </w:pPr>
    </w:p>
    <w:p w14:paraId="253A4481" w14:textId="77777777" w:rsidR="00795EB2" w:rsidRDefault="00795EB2" w:rsidP="00795EB2">
      <w:pPr>
        <w:tabs>
          <w:tab w:val="left" w:pos="1440"/>
        </w:tabs>
        <w:ind w:left="1440" w:hanging="1440"/>
        <w:jc w:val="both"/>
        <w:rPr>
          <w:b/>
          <w:u w:val="single"/>
        </w:rPr>
      </w:pPr>
    </w:p>
    <w:p w14:paraId="3F2C579A" w14:textId="38475FFD" w:rsidR="00795EB2" w:rsidRDefault="00795EB2" w:rsidP="00795EB2">
      <w:pPr>
        <w:tabs>
          <w:tab w:val="left" w:pos="1440"/>
        </w:tabs>
        <w:ind w:left="1440" w:hanging="1440"/>
        <w:jc w:val="both"/>
      </w:pPr>
      <w:r w:rsidRPr="009D0AB8">
        <w:rPr>
          <w:b/>
          <w:u w:val="single"/>
        </w:rPr>
        <w:t xml:space="preserve">ISSUE </w:t>
      </w:r>
      <w:r>
        <w:rPr>
          <w:b/>
          <w:u w:val="single"/>
        </w:rPr>
        <w:t>14</w:t>
      </w:r>
      <w:r>
        <w:t>:</w:t>
      </w:r>
      <w:r>
        <w:tab/>
      </w:r>
      <w:r w:rsidRPr="00F10751">
        <w:t>Has PGS made the proper adjustments to reflect Cast Iron/Bare Steel Rider (CI/BSR) investments as of December 31, 2023, in rate base? If not, what adjustments should be made?</w:t>
      </w:r>
    </w:p>
    <w:p w14:paraId="23297CF3" w14:textId="77777777" w:rsidR="00795EB2" w:rsidRDefault="00795EB2" w:rsidP="00795EB2">
      <w:pPr>
        <w:tabs>
          <w:tab w:val="left" w:pos="1440"/>
        </w:tabs>
        <w:ind w:left="1440" w:hanging="1440"/>
        <w:jc w:val="both"/>
      </w:pPr>
    </w:p>
    <w:p w14:paraId="09AB2D21" w14:textId="77777777" w:rsidR="00795EB2" w:rsidRDefault="00795EB2" w:rsidP="00795EB2">
      <w:pPr>
        <w:ind w:left="1440" w:hanging="1440"/>
        <w:jc w:val="both"/>
      </w:pPr>
      <w:r>
        <w:rPr>
          <w:b/>
        </w:rPr>
        <w:t>Type 2</w:t>
      </w:r>
      <w:r>
        <w:t>:</w:t>
      </w:r>
      <w:r>
        <w:tab/>
        <w:t>Yes. The appropriate CI/BS</w:t>
      </w:r>
      <w:r w:rsidRPr="0062357C">
        <w:t>R investment amounts as of December 31, 2023 to be transferred into rate base are $91,733,660 for plant in service, $2,808,776 for Construction Work in Progress and $1,273,990 for accumulated depreciation, as shown on Exhibit No. RBP-1, Document No. 2, lines 2-4.</w:t>
      </w:r>
    </w:p>
    <w:p w14:paraId="06EEFCF8" w14:textId="77777777" w:rsidR="00795EB2" w:rsidRDefault="00795EB2" w:rsidP="00795EB2">
      <w:pPr>
        <w:ind w:left="1440" w:hanging="1440"/>
        <w:jc w:val="both"/>
        <w:rPr>
          <w:b/>
        </w:rPr>
      </w:pPr>
    </w:p>
    <w:p w14:paraId="34BFB173" w14:textId="77777777" w:rsidR="00795EB2" w:rsidRDefault="00795EB2" w:rsidP="00795EB2">
      <w:pPr>
        <w:tabs>
          <w:tab w:val="left" w:pos="1440"/>
        </w:tabs>
        <w:ind w:left="1440" w:hanging="1440"/>
        <w:jc w:val="both"/>
        <w:rPr>
          <w:b/>
          <w:u w:val="single"/>
        </w:rPr>
      </w:pPr>
    </w:p>
    <w:p w14:paraId="196B6F7E" w14:textId="2D0D3753" w:rsidR="00795EB2" w:rsidRDefault="00795EB2" w:rsidP="00795EB2">
      <w:pPr>
        <w:tabs>
          <w:tab w:val="left" w:pos="1440"/>
        </w:tabs>
        <w:ind w:left="1440" w:hanging="1440"/>
        <w:jc w:val="both"/>
      </w:pPr>
      <w:r w:rsidRPr="009D0AB8">
        <w:rPr>
          <w:b/>
          <w:u w:val="single"/>
        </w:rPr>
        <w:t xml:space="preserve">ISSUE </w:t>
      </w:r>
      <w:r>
        <w:rPr>
          <w:b/>
          <w:u w:val="single"/>
        </w:rPr>
        <w:t>16</w:t>
      </w:r>
      <w:r>
        <w:t>:</w:t>
      </w:r>
      <w:r>
        <w:tab/>
      </w:r>
      <w:r w:rsidRPr="00084B78">
        <w:t>Should the New River RNG project be included in rate base, and if so, are the revenues under Service Agreement pursuant to the RNG Service Tariff adequate to cover the revenue requirements of the project? If not, what adjustments should be made?</w:t>
      </w:r>
    </w:p>
    <w:p w14:paraId="49A0ED7E" w14:textId="77777777" w:rsidR="00795EB2" w:rsidRDefault="00795EB2" w:rsidP="00795EB2">
      <w:pPr>
        <w:tabs>
          <w:tab w:val="left" w:pos="1440"/>
        </w:tabs>
        <w:ind w:left="1440" w:hanging="1440"/>
        <w:jc w:val="both"/>
      </w:pPr>
    </w:p>
    <w:p w14:paraId="3DC3E7DF" w14:textId="28F47B8B" w:rsidR="00795EB2" w:rsidRDefault="00795EB2" w:rsidP="00795EB2">
      <w:pPr>
        <w:ind w:left="1440" w:hanging="1440"/>
        <w:jc w:val="both"/>
      </w:pPr>
      <w:r>
        <w:rPr>
          <w:b/>
        </w:rPr>
        <w:t>Type 1</w:t>
      </w:r>
      <w:r>
        <w:t>:</w:t>
      </w:r>
      <w:r>
        <w:tab/>
      </w:r>
      <w:r w:rsidRPr="00084B78">
        <w:t xml:space="preserve">The New River RNG Project (interconnection) was planned and executed based on and in reliance on the company’s Rate Schedule RNGS and will be included above the line in the calculation of the company’s 2024 revenue requirement, with whether to use deferral accounting for the project as proposed by OPC to be decided under </w:t>
      </w:r>
      <w:r w:rsidR="00E873CD">
        <w:t>subsequent issues</w:t>
      </w:r>
      <w:r w:rsidRPr="00084B78">
        <w:t xml:space="preserve">. Subject to the Commission’s approval in this docket of the company’s new Renewable </w:t>
      </w:r>
      <w:r w:rsidR="00E873CD">
        <w:t xml:space="preserve">Natural </w:t>
      </w:r>
      <w:r w:rsidRPr="00084B78">
        <w:t>Gas Interconnection Service tariff (RNGIS) to be effective January 1, 2024 as agreed to with OPC, the company will close its RNGS tariff to new projects effective August 29, 2023, so New River and Brightmark will be the only two projects it undertakes under that rate schedule.</w:t>
      </w:r>
    </w:p>
    <w:p w14:paraId="1FA31B79" w14:textId="77777777" w:rsidR="00795EB2" w:rsidRDefault="00795EB2" w:rsidP="00795EB2">
      <w:pPr>
        <w:ind w:left="1440" w:hanging="1440"/>
        <w:jc w:val="both"/>
        <w:rPr>
          <w:b/>
        </w:rPr>
      </w:pPr>
    </w:p>
    <w:p w14:paraId="7D9EB590" w14:textId="77777777" w:rsidR="00795EB2" w:rsidRDefault="00795EB2" w:rsidP="00795EB2">
      <w:pPr>
        <w:tabs>
          <w:tab w:val="left" w:pos="1440"/>
        </w:tabs>
        <w:ind w:left="1440" w:hanging="1440"/>
        <w:jc w:val="both"/>
        <w:rPr>
          <w:b/>
          <w:u w:val="single"/>
        </w:rPr>
      </w:pPr>
    </w:p>
    <w:p w14:paraId="4F61B30B" w14:textId="541325D1" w:rsidR="00795EB2" w:rsidRDefault="00795EB2" w:rsidP="00795EB2">
      <w:pPr>
        <w:tabs>
          <w:tab w:val="left" w:pos="1440"/>
        </w:tabs>
        <w:ind w:left="1440" w:hanging="1440"/>
        <w:jc w:val="both"/>
      </w:pPr>
      <w:r w:rsidRPr="009D0AB8">
        <w:rPr>
          <w:b/>
          <w:u w:val="single"/>
        </w:rPr>
        <w:t xml:space="preserve">ISSUE </w:t>
      </w:r>
      <w:r>
        <w:rPr>
          <w:b/>
          <w:u w:val="single"/>
        </w:rPr>
        <w:t>17</w:t>
      </w:r>
      <w:r>
        <w:t>:</w:t>
      </w:r>
      <w:r>
        <w:tab/>
      </w:r>
      <w:r w:rsidRPr="00084B78">
        <w:t>Should the Brightmark RNG project be included in rate base, and if so, are the revenues under Service Agreement pursuant to the RNG Service Tariff adequate to cover the revenue requirements of the project? If not, what adjustments should be made?</w:t>
      </w:r>
    </w:p>
    <w:p w14:paraId="721E8EC6" w14:textId="77777777" w:rsidR="00795EB2" w:rsidRDefault="00795EB2" w:rsidP="00795EB2">
      <w:pPr>
        <w:tabs>
          <w:tab w:val="left" w:pos="1440"/>
        </w:tabs>
        <w:ind w:left="1440" w:hanging="1440"/>
        <w:jc w:val="both"/>
      </w:pPr>
    </w:p>
    <w:p w14:paraId="195843B5" w14:textId="07F76C31" w:rsidR="00795EB2" w:rsidRDefault="00795EB2" w:rsidP="00795EB2">
      <w:pPr>
        <w:ind w:left="1440" w:hanging="1440"/>
        <w:jc w:val="both"/>
      </w:pPr>
      <w:r>
        <w:rPr>
          <w:b/>
        </w:rPr>
        <w:t>Type 1</w:t>
      </w:r>
      <w:r>
        <w:t>:</w:t>
      </w:r>
      <w:r>
        <w:tab/>
      </w:r>
      <w:r w:rsidRPr="00084B78">
        <w:t xml:space="preserve">The Brightmark RNG Project (bio conditioning and interconnection) was planned and executed based on and in reliance on the company’s Rate Schedule RNGS and will be included above the line in the calculation of the company’s 2024 </w:t>
      </w:r>
      <w:r w:rsidRPr="00084B78">
        <w:lastRenderedPageBreak/>
        <w:t xml:space="preserve">revenue requirement, with whether to use deferral accounting for the project as proposed by OPC to be decided under </w:t>
      </w:r>
      <w:r w:rsidR="00E873CD">
        <w:t>subsequent issues</w:t>
      </w:r>
      <w:r w:rsidRPr="00084B78">
        <w:t xml:space="preserve">. Subject to the Commission’s approval in this docket of the company’s new Renewable </w:t>
      </w:r>
      <w:r w:rsidR="00E873CD">
        <w:t xml:space="preserve">Natural </w:t>
      </w:r>
      <w:r w:rsidRPr="00084B78">
        <w:t>Gas Interconnection Service tariff (RNGIS) to be effective January 1, 2024 as agreed to with OPC, the company will close its RNGS tariff to new projects effective August 29, 2023, so New River and Brightmark will be the only two projects it undertakes under that rate schedule.</w:t>
      </w:r>
    </w:p>
    <w:p w14:paraId="6A2A414E" w14:textId="77777777" w:rsidR="00795EB2" w:rsidRPr="00F10751" w:rsidRDefault="00795EB2" w:rsidP="00795EB2">
      <w:pPr>
        <w:ind w:left="1440" w:hanging="1440"/>
        <w:jc w:val="both"/>
        <w:rPr>
          <w:b/>
        </w:rPr>
      </w:pPr>
    </w:p>
    <w:p w14:paraId="1EC727FF" w14:textId="77777777" w:rsidR="00795EB2" w:rsidRDefault="00795EB2" w:rsidP="00795EB2">
      <w:pPr>
        <w:tabs>
          <w:tab w:val="left" w:pos="1440"/>
        </w:tabs>
        <w:ind w:left="1440" w:hanging="1440"/>
        <w:jc w:val="both"/>
        <w:rPr>
          <w:b/>
          <w:u w:val="single"/>
        </w:rPr>
      </w:pPr>
    </w:p>
    <w:p w14:paraId="72184345" w14:textId="376E5532" w:rsidR="00795EB2" w:rsidRDefault="00795EB2" w:rsidP="00795EB2">
      <w:pPr>
        <w:tabs>
          <w:tab w:val="left" w:pos="1440"/>
        </w:tabs>
        <w:ind w:left="1440" w:hanging="1440"/>
        <w:jc w:val="both"/>
      </w:pPr>
      <w:r w:rsidRPr="009D0AB8">
        <w:rPr>
          <w:b/>
          <w:u w:val="single"/>
        </w:rPr>
        <w:t xml:space="preserve">ISSUE </w:t>
      </w:r>
      <w:r>
        <w:rPr>
          <w:b/>
          <w:u w:val="single"/>
        </w:rPr>
        <w:t>18</w:t>
      </w:r>
      <w:r>
        <w:t>:</w:t>
      </w:r>
      <w:r>
        <w:tab/>
      </w:r>
      <w:r w:rsidRPr="00A01BAD">
        <w:t>Should the Alliance Dairies RNG project be included in rate base, and if so, are the terms and conditions of the Biogas Incentives Agreement adequate to protect ratepayers and cover the revenue requirements of the project? If not, what adjustments should be made?</w:t>
      </w:r>
    </w:p>
    <w:p w14:paraId="27D9AA86" w14:textId="77777777" w:rsidR="00795EB2" w:rsidRDefault="00795EB2" w:rsidP="00795EB2">
      <w:pPr>
        <w:jc w:val="both"/>
      </w:pPr>
    </w:p>
    <w:p w14:paraId="646FA547" w14:textId="77777777" w:rsidR="00795EB2" w:rsidRDefault="00795EB2" w:rsidP="00795EB2">
      <w:pPr>
        <w:ind w:left="1440" w:hanging="1440"/>
        <w:jc w:val="both"/>
      </w:pPr>
      <w:r>
        <w:rPr>
          <w:b/>
        </w:rPr>
        <w:t>Type 1</w:t>
      </w:r>
      <w:r>
        <w:t>:</w:t>
      </w:r>
      <w:r>
        <w:tab/>
      </w:r>
      <w:r w:rsidRPr="0062357C">
        <w:t>No. The Alliance Dairies RNG Project should be accounted for on an unregulated, below the line basis and the company’s proposed revenue requirement should be increased by approximately $220,000 to reflect the movement of this project below the line.</w:t>
      </w:r>
    </w:p>
    <w:p w14:paraId="2A248364" w14:textId="77777777" w:rsidR="00795EB2" w:rsidRDefault="00795EB2" w:rsidP="00795EB2">
      <w:pPr>
        <w:ind w:left="1440" w:hanging="1440"/>
        <w:jc w:val="both"/>
      </w:pPr>
    </w:p>
    <w:p w14:paraId="3990BB5B" w14:textId="621EDE6A" w:rsidR="00CC637A" w:rsidRDefault="00CC637A">
      <w:pPr>
        <w:rPr>
          <w:b/>
          <w:u w:val="single"/>
        </w:rPr>
      </w:pPr>
    </w:p>
    <w:p w14:paraId="55D14AB3" w14:textId="770C9A84" w:rsidR="00795EB2" w:rsidRDefault="00795EB2" w:rsidP="00795EB2">
      <w:pPr>
        <w:tabs>
          <w:tab w:val="left" w:pos="1440"/>
        </w:tabs>
        <w:ind w:left="1440" w:hanging="1440"/>
        <w:jc w:val="both"/>
      </w:pPr>
      <w:r w:rsidRPr="009D0AB8">
        <w:rPr>
          <w:b/>
          <w:u w:val="single"/>
        </w:rPr>
        <w:t xml:space="preserve">ISSUE </w:t>
      </w:r>
      <w:r>
        <w:rPr>
          <w:b/>
          <w:u w:val="single"/>
        </w:rPr>
        <w:t>20</w:t>
      </w:r>
      <w:r>
        <w:t>:</w:t>
      </w:r>
      <w:r>
        <w:tab/>
      </w:r>
      <w:r w:rsidRPr="00A01BAD">
        <w:t>Should any adjustments be made to the amounts included in the projected test year for acquisition adjustment and accumulated amortization of acquisition adjustment?</w:t>
      </w:r>
    </w:p>
    <w:p w14:paraId="592B97C8" w14:textId="77777777" w:rsidR="00795EB2" w:rsidRDefault="00795EB2" w:rsidP="00795EB2">
      <w:pPr>
        <w:jc w:val="both"/>
      </w:pPr>
    </w:p>
    <w:p w14:paraId="786ABCED" w14:textId="1848C57B" w:rsidR="00795EB2" w:rsidRDefault="00795EB2" w:rsidP="00795EB2">
      <w:pPr>
        <w:ind w:left="1440" w:hanging="1440"/>
        <w:jc w:val="both"/>
      </w:pPr>
      <w:r>
        <w:rPr>
          <w:b/>
        </w:rPr>
        <w:t xml:space="preserve">Type </w:t>
      </w:r>
      <w:r w:rsidR="00E873CD">
        <w:rPr>
          <w:b/>
        </w:rPr>
        <w:t>1</w:t>
      </w:r>
      <w:r>
        <w:t>:</w:t>
      </w:r>
      <w:r>
        <w:tab/>
      </w:r>
      <w:r w:rsidRPr="0062357C">
        <w:t>No. As shown on MFR Schedule B-6, page 1, as of December 31, 2022, the company has fully amortized the $5,031,897 of acquisition adjustments and the related net rate base amount is $0.</w:t>
      </w:r>
    </w:p>
    <w:p w14:paraId="31DED82B" w14:textId="77777777" w:rsidR="00795EB2" w:rsidRDefault="00795EB2" w:rsidP="00795EB2">
      <w:pPr>
        <w:jc w:val="both"/>
      </w:pPr>
    </w:p>
    <w:p w14:paraId="712E6B76" w14:textId="77777777" w:rsidR="00795EB2" w:rsidRDefault="00795EB2" w:rsidP="00795EB2">
      <w:pPr>
        <w:tabs>
          <w:tab w:val="left" w:pos="1440"/>
        </w:tabs>
        <w:ind w:left="1440" w:hanging="1440"/>
        <w:jc w:val="both"/>
        <w:rPr>
          <w:b/>
          <w:u w:val="single"/>
        </w:rPr>
      </w:pPr>
    </w:p>
    <w:p w14:paraId="4D17BE11" w14:textId="57A507F0" w:rsidR="00795EB2" w:rsidRDefault="00795EB2" w:rsidP="00795EB2">
      <w:pPr>
        <w:tabs>
          <w:tab w:val="left" w:pos="1440"/>
        </w:tabs>
        <w:ind w:left="1440" w:hanging="1440"/>
        <w:jc w:val="both"/>
      </w:pPr>
      <w:r w:rsidRPr="009D0AB8">
        <w:rPr>
          <w:b/>
          <w:u w:val="single"/>
        </w:rPr>
        <w:t xml:space="preserve">ISSUE </w:t>
      </w:r>
      <w:r>
        <w:rPr>
          <w:b/>
          <w:u w:val="single"/>
        </w:rPr>
        <w:t>24</w:t>
      </w:r>
      <w:r>
        <w:t>:</w:t>
      </w:r>
      <w:r>
        <w:tab/>
      </w:r>
      <w:r w:rsidRPr="00A01BAD">
        <w:t>Has PGS made the proper adjustments to the Working Capital Allowance to reflect under recoveries and over recoveries in the projected test year related to the Purchased Gas Adjustment, Energy Conservation Cost Recovery, and CI/BSR? If not, what adjustments should be made?</w:t>
      </w:r>
    </w:p>
    <w:p w14:paraId="22E360DA" w14:textId="77777777" w:rsidR="00795EB2" w:rsidRDefault="00795EB2" w:rsidP="00795EB2">
      <w:pPr>
        <w:jc w:val="both"/>
      </w:pPr>
    </w:p>
    <w:p w14:paraId="08075A66" w14:textId="77777777" w:rsidR="00795EB2" w:rsidRDefault="00795EB2" w:rsidP="00795EB2">
      <w:pPr>
        <w:ind w:left="1440" w:hanging="1440"/>
        <w:jc w:val="both"/>
      </w:pPr>
      <w:r>
        <w:rPr>
          <w:b/>
        </w:rPr>
        <w:t>Type 2</w:t>
      </w:r>
      <w:r>
        <w:t>:</w:t>
      </w:r>
      <w:r>
        <w:tab/>
      </w:r>
      <w:r w:rsidRPr="0062357C">
        <w:t>Yes. The company has made the proper adjustments to the Working Capital Allowance to reflect under recoveries and over recoveries in the projected test year related to the Purchased Gas Adjustment, Energy Conservation Cost Recovery, and CI/BSR as shown in MFR Schedule G-1, pages 2 and 3.</w:t>
      </w:r>
    </w:p>
    <w:p w14:paraId="1D23AE4F" w14:textId="5E747C36" w:rsidR="00795EB2" w:rsidRDefault="00795EB2" w:rsidP="00795EB2">
      <w:pPr>
        <w:jc w:val="both"/>
      </w:pPr>
    </w:p>
    <w:p w14:paraId="35CE0566" w14:textId="77777777" w:rsidR="00CC637A" w:rsidRDefault="00CC637A" w:rsidP="00795EB2">
      <w:pPr>
        <w:jc w:val="both"/>
      </w:pPr>
    </w:p>
    <w:p w14:paraId="7CE2C976" w14:textId="140347C3" w:rsidR="00795EB2" w:rsidRDefault="00795EB2" w:rsidP="00795EB2">
      <w:pPr>
        <w:tabs>
          <w:tab w:val="left" w:pos="1440"/>
        </w:tabs>
        <w:ind w:left="1440" w:hanging="1440"/>
        <w:jc w:val="both"/>
      </w:pPr>
      <w:r w:rsidRPr="009D0AB8">
        <w:rPr>
          <w:b/>
          <w:u w:val="single"/>
        </w:rPr>
        <w:t xml:space="preserve">ISSUE </w:t>
      </w:r>
      <w:r>
        <w:rPr>
          <w:b/>
          <w:u w:val="single"/>
        </w:rPr>
        <w:t>25</w:t>
      </w:r>
      <w:r>
        <w:t>:</w:t>
      </w:r>
      <w:r>
        <w:tab/>
      </w:r>
      <w:r w:rsidRPr="00A01BAD">
        <w:t>What amount of projected test year unamortized rate case expense should be included in working capital?</w:t>
      </w:r>
    </w:p>
    <w:p w14:paraId="2357BFFC" w14:textId="77777777" w:rsidR="00795EB2" w:rsidRDefault="00795EB2" w:rsidP="00795EB2">
      <w:pPr>
        <w:tabs>
          <w:tab w:val="left" w:pos="1440"/>
        </w:tabs>
        <w:ind w:left="1440" w:hanging="1440"/>
        <w:jc w:val="both"/>
      </w:pPr>
    </w:p>
    <w:p w14:paraId="786CF3CB" w14:textId="4B367A19" w:rsidR="00795EB2" w:rsidRDefault="00795EB2" w:rsidP="00795EB2">
      <w:pPr>
        <w:ind w:left="1440" w:hanging="1440"/>
        <w:jc w:val="both"/>
      </w:pPr>
      <w:r>
        <w:rPr>
          <w:b/>
        </w:rPr>
        <w:t xml:space="preserve">Type </w:t>
      </w:r>
      <w:r w:rsidR="00E873CD">
        <w:rPr>
          <w:b/>
        </w:rPr>
        <w:t>1</w:t>
      </w:r>
      <w:r>
        <w:t>:</w:t>
      </w:r>
      <w:r>
        <w:tab/>
      </w:r>
      <w:r w:rsidRPr="0062357C">
        <w:t>None. The company did not include unamortized rate case expense in working capital for the 2024 projected test year.</w:t>
      </w:r>
    </w:p>
    <w:p w14:paraId="375A7420" w14:textId="309CF556" w:rsidR="00795EB2" w:rsidRDefault="00795EB2" w:rsidP="00795EB2">
      <w:pPr>
        <w:tabs>
          <w:tab w:val="left" w:pos="1440"/>
        </w:tabs>
        <w:ind w:left="1440" w:hanging="1440"/>
        <w:jc w:val="both"/>
      </w:pPr>
      <w:r w:rsidRPr="009D0AB8">
        <w:rPr>
          <w:b/>
          <w:u w:val="single"/>
        </w:rPr>
        <w:lastRenderedPageBreak/>
        <w:t xml:space="preserve">ISSUE </w:t>
      </w:r>
      <w:r>
        <w:rPr>
          <w:b/>
          <w:u w:val="single"/>
        </w:rPr>
        <w:t>26</w:t>
      </w:r>
      <w:r>
        <w:t>:</w:t>
      </w:r>
      <w:r>
        <w:tab/>
      </w:r>
      <w:r w:rsidRPr="00A01BAD">
        <w:t>What level of projected test year working capital should be approved?</w:t>
      </w:r>
    </w:p>
    <w:p w14:paraId="2425B336" w14:textId="77777777" w:rsidR="00795EB2" w:rsidRDefault="00795EB2" w:rsidP="00795EB2">
      <w:pPr>
        <w:jc w:val="both"/>
      </w:pPr>
    </w:p>
    <w:p w14:paraId="5558F250" w14:textId="77777777" w:rsidR="00795EB2" w:rsidRDefault="00795EB2" w:rsidP="00795EB2">
      <w:pPr>
        <w:ind w:left="1440" w:hanging="1440"/>
        <w:jc w:val="both"/>
      </w:pPr>
      <w:r>
        <w:rPr>
          <w:b/>
        </w:rPr>
        <w:t>Type 2</w:t>
      </w:r>
      <w:r>
        <w:t>:</w:t>
      </w:r>
      <w:r>
        <w:tab/>
      </w:r>
      <w:r w:rsidRPr="0062357C">
        <w:t>The appropriate amount of projected test year working capital is a negative $28,047,011 as shown on MFR Schedule G-1, page 1, line 11.</w:t>
      </w:r>
    </w:p>
    <w:p w14:paraId="5054BCC8" w14:textId="77777777" w:rsidR="00795EB2" w:rsidRDefault="00795EB2" w:rsidP="00795EB2"/>
    <w:p w14:paraId="5DDB16B4" w14:textId="77777777" w:rsidR="00795EB2" w:rsidRPr="00F10751" w:rsidRDefault="00795EB2" w:rsidP="00795EB2">
      <w:pPr>
        <w:jc w:val="center"/>
        <w:rPr>
          <w:b/>
        </w:rPr>
      </w:pPr>
      <w:r>
        <w:rPr>
          <w:b/>
          <w:u w:val="single"/>
        </w:rPr>
        <w:t>COST OF CAPITAL</w:t>
      </w:r>
    </w:p>
    <w:p w14:paraId="3902CD42" w14:textId="77777777" w:rsidR="00795EB2" w:rsidRDefault="00795EB2" w:rsidP="00795EB2"/>
    <w:p w14:paraId="3B893CF6" w14:textId="77777777" w:rsidR="00795EB2" w:rsidRDefault="00795EB2" w:rsidP="00795EB2">
      <w:pPr>
        <w:tabs>
          <w:tab w:val="left" w:pos="1440"/>
        </w:tabs>
        <w:ind w:left="1440" w:hanging="1440"/>
        <w:jc w:val="both"/>
      </w:pPr>
      <w:r w:rsidRPr="009D0AB8">
        <w:rPr>
          <w:b/>
          <w:u w:val="single"/>
        </w:rPr>
        <w:t xml:space="preserve">ISSUE </w:t>
      </w:r>
      <w:r>
        <w:rPr>
          <w:b/>
          <w:u w:val="single"/>
        </w:rPr>
        <w:t>30</w:t>
      </w:r>
      <w:r>
        <w:t>:</w:t>
      </w:r>
      <w:r>
        <w:tab/>
      </w:r>
      <w:r w:rsidRPr="00A01BAD">
        <w:t>What amount and cost rate for customer deposits should be approved for the projected test year capital structure?</w:t>
      </w:r>
    </w:p>
    <w:p w14:paraId="1AF476FF" w14:textId="77777777" w:rsidR="00795EB2" w:rsidRDefault="00795EB2" w:rsidP="00795EB2">
      <w:pPr>
        <w:jc w:val="both"/>
      </w:pPr>
    </w:p>
    <w:p w14:paraId="2F85CF02" w14:textId="264B3DB7" w:rsidR="00795EB2" w:rsidRPr="009D0AB8" w:rsidRDefault="00795EB2" w:rsidP="00795EB2">
      <w:pPr>
        <w:ind w:left="1440" w:hanging="1440"/>
        <w:jc w:val="both"/>
      </w:pPr>
      <w:r>
        <w:rPr>
          <w:b/>
        </w:rPr>
        <w:t xml:space="preserve">Type </w:t>
      </w:r>
      <w:r w:rsidR="00E873CD">
        <w:rPr>
          <w:b/>
        </w:rPr>
        <w:t>1</w:t>
      </w:r>
      <w:r>
        <w:t>:</w:t>
      </w:r>
      <w:r>
        <w:tab/>
      </w:r>
      <w:r w:rsidRPr="0062357C">
        <w:t>The amount of customer deposits for the 2024 projected test year is $27,528,000. The cost rate of the customer deposits to include in the projected test year capital structure is 2.53 percent, as shown on MFR Schedule G-3, page 2, line 4.</w:t>
      </w:r>
    </w:p>
    <w:p w14:paraId="3B63464F" w14:textId="5CE145C5" w:rsidR="00C607FA" w:rsidRDefault="00C607FA"/>
    <w:p w14:paraId="6A8D2295" w14:textId="77777777" w:rsidR="00795EB2" w:rsidRPr="00F10751" w:rsidRDefault="00795EB2" w:rsidP="00795EB2">
      <w:pPr>
        <w:jc w:val="center"/>
        <w:rPr>
          <w:b/>
        </w:rPr>
      </w:pPr>
      <w:r>
        <w:rPr>
          <w:b/>
          <w:u w:val="single"/>
        </w:rPr>
        <w:t>NET OPERATING INCOME</w:t>
      </w:r>
    </w:p>
    <w:p w14:paraId="43749ED2" w14:textId="77777777" w:rsidR="00795EB2" w:rsidRDefault="00795EB2" w:rsidP="00795EB2"/>
    <w:p w14:paraId="6BFDBF52" w14:textId="77777777" w:rsidR="00795EB2" w:rsidRDefault="00795EB2" w:rsidP="00795EB2">
      <w:pPr>
        <w:tabs>
          <w:tab w:val="left" w:pos="1440"/>
        </w:tabs>
        <w:ind w:left="1440" w:hanging="1440"/>
        <w:jc w:val="both"/>
      </w:pPr>
      <w:r w:rsidRPr="009D0AB8">
        <w:rPr>
          <w:b/>
          <w:u w:val="single"/>
        </w:rPr>
        <w:t xml:space="preserve">ISSUE </w:t>
      </w:r>
      <w:r>
        <w:rPr>
          <w:b/>
          <w:u w:val="single"/>
        </w:rPr>
        <w:t>37</w:t>
      </w:r>
      <w:r>
        <w:t>:</w:t>
      </w:r>
      <w:r>
        <w:tab/>
      </w:r>
      <w:r w:rsidRPr="00A01BAD">
        <w:t>Has PGS made the proper adjustments to remove the Purchased Gas Adjustment, Natural Gas Conservation Cost Recovery Clause, and CI/BSR Revenues and Expenses from the projected test year? If not, what adjustments should be made?</w:t>
      </w:r>
    </w:p>
    <w:p w14:paraId="00A18F40" w14:textId="77777777" w:rsidR="00795EB2" w:rsidRDefault="00795EB2" w:rsidP="00795EB2">
      <w:pPr>
        <w:jc w:val="both"/>
      </w:pPr>
    </w:p>
    <w:p w14:paraId="51013170" w14:textId="77777777" w:rsidR="00795EB2" w:rsidRDefault="00795EB2" w:rsidP="00795EB2">
      <w:pPr>
        <w:ind w:left="1440" w:hanging="1440"/>
        <w:jc w:val="both"/>
      </w:pPr>
      <w:r>
        <w:rPr>
          <w:b/>
        </w:rPr>
        <w:t>Type 2</w:t>
      </w:r>
      <w:r>
        <w:t>:</w:t>
      </w:r>
      <w:r>
        <w:tab/>
      </w:r>
      <w:r w:rsidRPr="0062357C">
        <w:t>Yes, as shown on MFR Schedule G-2, pages 2-3.</w:t>
      </w:r>
    </w:p>
    <w:p w14:paraId="35D26F74" w14:textId="77777777" w:rsidR="00795EB2" w:rsidRDefault="00795EB2" w:rsidP="00795EB2">
      <w:pPr>
        <w:ind w:left="1440" w:hanging="1440"/>
        <w:jc w:val="both"/>
      </w:pPr>
    </w:p>
    <w:p w14:paraId="604B9F81" w14:textId="77777777" w:rsidR="00795EB2" w:rsidRDefault="00795EB2" w:rsidP="00795EB2">
      <w:pPr>
        <w:tabs>
          <w:tab w:val="left" w:pos="1440"/>
        </w:tabs>
        <w:ind w:left="1440" w:hanging="1440"/>
        <w:jc w:val="both"/>
        <w:rPr>
          <w:b/>
          <w:u w:val="single"/>
        </w:rPr>
      </w:pPr>
    </w:p>
    <w:p w14:paraId="650A8B4E" w14:textId="12EB19DB" w:rsidR="00795EB2" w:rsidRDefault="00795EB2" w:rsidP="00795EB2">
      <w:pPr>
        <w:tabs>
          <w:tab w:val="left" w:pos="1440"/>
        </w:tabs>
        <w:ind w:left="1440" w:hanging="1440"/>
        <w:jc w:val="both"/>
      </w:pPr>
      <w:r w:rsidRPr="009D0AB8">
        <w:rPr>
          <w:b/>
          <w:u w:val="single"/>
        </w:rPr>
        <w:t xml:space="preserve">ISSUE </w:t>
      </w:r>
      <w:r>
        <w:rPr>
          <w:b/>
          <w:u w:val="single"/>
        </w:rPr>
        <w:t>39</w:t>
      </w:r>
      <w:r>
        <w:t>:</w:t>
      </w:r>
      <w:r>
        <w:tab/>
      </w:r>
      <w:r w:rsidRPr="00A01BAD">
        <w:t>What amount of projected test year Uncollectible Accounts and Bad Debt should be included in the Revenue Expansion Factor?</w:t>
      </w:r>
    </w:p>
    <w:p w14:paraId="608F2B31" w14:textId="77777777" w:rsidR="00795EB2" w:rsidRDefault="00795EB2" w:rsidP="00795EB2">
      <w:pPr>
        <w:tabs>
          <w:tab w:val="left" w:pos="1440"/>
        </w:tabs>
        <w:ind w:left="1440" w:hanging="1440"/>
        <w:jc w:val="both"/>
      </w:pPr>
    </w:p>
    <w:p w14:paraId="6F78DA4E" w14:textId="36BC25ED" w:rsidR="00795EB2" w:rsidRDefault="00795EB2" w:rsidP="00795EB2">
      <w:pPr>
        <w:ind w:left="1440" w:hanging="1440"/>
        <w:jc w:val="both"/>
      </w:pPr>
      <w:r>
        <w:rPr>
          <w:b/>
        </w:rPr>
        <w:t xml:space="preserve">Type </w:t>
      </w:r>
      <w:r w:rsidR="00E873CD">
        <w:rPr>
          <w:b/>
        </w:rPr>
        <w:t>1</w:t>
      </w:r>
      <w:r>
        <w:t>:</w:t>
      </w:r>
      <w:r>
        <w:tab/>
      </w:r>
      <w:r w:rsidRPr="0062357C">
        <w:t>The Bad Debt Expense is $1,611,232, as shown on MFR Schedule G-2, page 19b, line 7, and the bad debt rate of 0.2805 percent was incorporated into the Revenue Expansion Factor, as shown on MFR Schedule G-4.</w:t>
      </w:r>
    </w:p>
    <w:p w14:paraId="0A5BC492" w14:textId="77777777" w:rsidR="00795EB2" w:rsidRPr="00F10751" w:rsidRDefault="00795EB2" w:rsidP="00795EB2">
      <w:pPr>
        <w:jc w:val="both"/>
        <w:rPr>
          <w:b/>
        </w:rPr>
      </w:pPr>
    </w:p>
    <w:p w14:paraId="69CB8D60" w14:textId="77777777" w:rsidR="00795EB2" w:rsidRDefault="00795EB2" w:rsidP="00795EB2">
      <w:pPr>
        <w:tabs>
          <w:tab w:val="left" w:pos="1440"/>
        </w:tabs>
        <w:ind w:left="1440" w:hanging="1440"/>
        <w:jc w:val="both"/>
        <w:rPr>
          <w:b/>
          <w:u w:val="single"/>
        </w:rPr>
      </w:pPr>
    </w:p>
    <w:p w14:paraId="7D90CD9B" w14:textId="6B95B848" w:rsidR="00795EB2" w:rsidRDefault="00795EB2" w:rsidP="00795EB2">
      <w:pPr>
        <w:tabs>
          <w:tab w:val="left" w:pos="1440"/>
        </w:tabs>
        <w:ind w:left="1440" w:hanging="1440"/>
        <w:jc w:val="both"/>
      </w:pPr>
      <w:r w:rsidRPr="009D0AB8">
        <w:rPr>
          <w:b/>
          <w:u w:val="single"/>
        </w:rPr>
        <w:t>ISSUE</w:t>
      </w:r>
      <w:r>
        <w:rPr>
          <w:b/>
          <w:u w:val="single"/>
        </w:rPr>
        <w:t xml:space="preserve"> 40</w:t>
      </w:r>
      <w:r>
        <w:t>:</w:t>
      </w:r>
      <w:r>
        <w:tab/>
      </w:r>
      <w:r w:rsidRPr="00A01BAD">
        <w:t>What non-labor trend factors should be used for inflation and customer growth for the projected test year?</w:t>
      </w:r>
    </w:p>
    <w:p w14:paraId="372CB8D5" w14:textId="77777777" w:rsidR="00795EB2" w:rsidRDefault="00795EB2" w:rsidP="00795EB2">
      <w:pPr>
        <w:jc w:val="both"/>
      </w:pPr>
    </w:p>
    <w:p w14:paraId="49BB913B" w14:textId="77777777" w:rsidR="00795EB2" w:rsidRDefault="00795EB2" w:rsidP="00795EB2">
      <w:pPr>
        <w:ind w:left="1440" w:hanging="1440"/>
        <w:jc w:val="both"/>
      </w:pPr>
      <w:r>
        <w:rPr>
          <w:b/>
        </w:rPr>
        <w:t>Type 2</w:t>
      </w:r>
      <w:r>
        <w:t>:</w:t>
      </w:r>
      <w:r>
        <w:tab/>
      </w:r>
      <w:r w:rsidRPr="0062357C">
        <w:t>The appropriate non-labor trend factor for inflation is 2.80 percent and 2.20 percent for 2023 and 2024, respectively. The appropriate non-labor trend factor for customer growth is 3.81 percent and 3.23 percent for 2023 and 2024, respectively.</w:t>
      </w:r>
    </w:p>
    <w:p w14:paraId="3BBF53B5" w14:textId="77777777" w:rsidR="00795EB2" w:rsidRDefault="00795EB2" w:rsidP="00795EB2">
      <w:pPr>
        <w:ind w:left="1440" w:hanging="1440"/>
        <w:jc w:val="both"/>
      </w:pPr>
    </w:p>
    <w:p w14:paraId="35FB2756" w14:textId="77777777" w:rsidR="00795EB2" w:rsidRDefault="00795EB2" w:rsidP="00795EB2">
      <w:pPr>
        <w:tabs>
          <w:tab w:val="left" w:pos="1440"/>
        </w:tabs>
        <w:ind w:left="1440" w:hanging="1440"/>
        <w:jc w:val="both"/>
      </w:pPr>
      <w:r w:rsidRPr="009D0AB8">
        <w:rPr>
          <w:b/>
          <w:u w:val="single"/>
        </w:rPr>
        <w:t xml:space="preserve">ISSUE </w:t>
      </w:r>
      <w:r>
        <w:rPr>
          <w:b/>
          <w:u w:val="single"/>
        </w:rPr>
        <w:t>44</w:t>
      </w:r>
      <w:r>
        <w:t>:</w:t>
      </w:r>
      <w:r>
        <w:tab/>
      </w:r>
      <w:r w:rsidRPr="00A01BAD">
        <w:t>Has PGS made the proper adjustments to remove lobbying, charitable contributions, sponsorships, and institutional and image advertising from the projected test year? If not, what adjustments should be made?</w:t>
      </w:r>
    </w:p>
    <w:p w14:paraId="7F20ED3F" w14:textId="77777777" w:rsidR="00795EB2" w:rsidRDefault="00795EB2" w:rsidP="00795EB2">
      <w:pPr>
        <w:jc w:val="both"/>
      </w:pPr>
    </w:p>
    <w:p w14:paraId="2D3A9661" w14:textId="3B1878A3" w:rsidR="00795EB2" w:rsidRDefault="00795EB2" w:rsidP="00795EB2">
      <w:pPr>
        <w:ind w:left="1440" w:hanging="1440"/>
        <w:jc w:val="both"/>
      </w:pPr>
      <w:r>
        <w:rPr>
          <w:b/>
        </w:rPr>
        <w:t xml:space="preserve">Type </w:t>
      </w:r>
      <w:r w:rsidR="00E873CD">
        <w:rPr>
          <w:b/>
        </w:rPr>
        <w:t>1</w:t>
      </w:r>
      <w:r>
        <w:t>:</w:t>
      </w:r>
      <w:r>
        <w:tab/>
      </w:r>
      <w:r w:rsidRPr="0062357C">
        <w:t xml:space="preserve">Not in its original filing; however, as reflected in Witness Parsons’ rebuttal testimony, the company has agreed to make an adjustment to the projected test </w:t>
      </w:r>
      <w:r w:rsidRPr="0062357C">
        <w:lastRenderedPageBreak/>
        <w:t>year O&amp;M expense of $500,000 to remove lobbying, charitable contributions, sponsorships, and institutional and image advertising. These adjustments arise from Commission Staff Audit findings, agreed upon reductions during a review of these items by Office of Public Counsel, and PGS self-disclosed reductions related to review of these items.</w:t>
      </w:r>
    </w:p>
    <w:p w14:paraId="3BA7D0E5" w14:textId="77777777" w:rsidR="00795EB2" w:rsidRDefault="00795EB2" w:rsidP="00795EB2">
      <w:pPr>
        <w:jc w:val="both"/>
      </w:pPr>
    </w:p>
    <w:p w14:paraId="5F75DD65" w14:textId="77777777" w:rsidR="00795EB2" w:rsidRDefault="00795EB2" w:rsidP="00795EB2">
      <w:pPr>
        <w:tabs>
          <w:tab w:val="left" w:pos="1440"/>
        </w:tabs>
        <w:ind w:left="1440" w:hanging="1440"/>
        <w:jc w:val="both"/>
        <w:rPr>
          <w:b/>
          <w:u w:val="single"/>
        </w:rPr>
      </w:pPr>
    </w:p>
    <w:p w14:paraId="3005A9E0" w14:textId="0538648B" w:rsidR="00795EB2" w:rsidRDefault="00795EB2" w:rsidP="00795EB2">
      <w:pPr>
        <w:tabs>
          <w:tab w:val="left" w:pos="1440"/>
        </w:tabs>
        <w:ind w:left="1440" w:hanging="1440"/>
        <w:jc w:val="both"/>
      </w:pPr>
      <w:r w:rsidRPr="009D0AB8">
        <w:rPr>
          <w:b/>
          <w:u w:val="single"/>
        </w:rPr>
        <w:t xml:space="preserve">ISSUE </w:t>
      </w:r>
      <w:r>
        <w:rPr>
          <w:b/>
          <w:u w:val="single"/>
        </w:rPr>
        <w:t>45</w:t>
      </w:r>
      <w:r>
        <w:t>:</w:t>
      </w:r>
      <w:r>
        <w:tab/>
      </w:r>
      <w:r w:rsidRPr="00A01BAD">
        <w:t>What amount of projected test year Economic Development Expense should be approved?</w:t>
      </w:r>
    </w:p>
    <w:p w14:paraId="6452B131" w14:textId="77777777" w:rsidR="00795EB2" w:rsidRDefault="00795EB2" w:rsidP="00795EB2">
      <w:pPr>
        <w:tabs>
          <w:tab w:val="left" w:pos="1440"/>
        </w:tabs>
        <w:ind w:left="1440" w:hanging="1440"/>
        <w:jc w:val="both"/>
      </w:pPr>
    </w:p>
    <w:p w14:paraId="53649531" w14:textId="77777777" w:rsidR="00795EB2" w:rsidRDefault="00795EB2" w:rsidP="00795EB2">
      <w:pPr>
        <w:ind w:left="1440" w:hanging="1440"/>
        <w:jc w:val="both"/>
      </w:pPr>
      <w:r>
        <w:rPr>
          <w:b/>
        </w:rPr>
        <w:t>Type 2</w:t>
      </w:r>
      <w:r>
        <w:t>:</w:t>
      </w:r>
      <w:r>
        <w:tab/>
      </w:r>
      <w:r w:rsidRPr="0062357C">
        <w:t xml:space="preserve">The appropriate amount of added Economic Development expense in the 2024 test year is $265,498. This amount reflects the $367,920 stated in the direct testimony of Witness O’Connor, pages 60-61 less a reduction of $102,422 for the adjustments described in </w:t>
      </w:r>
      <w:r>
        <w:t>I</w:t>
      </w:r>
      <w:r w:rsidRPr="0062357C">
        <w:t>ssue 44 related to economic development.</w:t>
      </w:r>
    </w:p>
    <w:p w14:paraId="5A6190BA" w14:textId="1D74A190" w:rsidR="00795EB2" w:rsidRDefault="00795EB2" w:rsidP="00795EB2">
      <w:pPr>
        <w:tabs>
          <w:tab w:val="left" w:pos="1440"/>
        </w:tabs>
        <w:ind w:left="1440" w:hanging="1440"/>
        <w:jc w:val="both"/>
      </w:pPr>
      <w:r w:rsidRPr="009D0AB8">
        <w:rPr>
          <w:b/>
          <w:u w:val="single"/>
        </w:rPr>
        <w:t xml:space="preserve">ISSUE </w:t>
      </w:r>
      <w:r>
        <w:rPr>
          <w:b/>
          <w:u w:val="single"/>
        </w:rPr>
        <w:t>46</w:t>
      </w:r>
      <w:r>
        <w:t>:</w:t>
      </w:r>
      <w:r>
        <w:tab/>
      </w:r>
      <w:r w:rsidRPr="00A01BAD">
        <w:t>What amount of projected test year annual storm damage accrual and storm damage reserve cap should be approved?</w:t>
      </w:r>
    </w:p>
    <w:p w14:paraId="6BFA21D5" w14:textId="77777777" w:rsidR="00795EB2" w:rsidRDefault="00795EB2" w:rsidP="00795EB2">
      <w:pPr>
        <w:tabs>
          <w:tab w:val="left" w:pos="1440"/>
        </w:tabs>
        <w:ind w:left="1440" w:hanging="1440"/>
        <w:jc w:val="both"/>
      </w:pPr>
    </w:p>
    <w:p w14:paraId="75F0E8A7" w14:textId="0EF3747A" w:rsidR="00795EB2" w:rsidRDefault="00795EB2" w:rsidP="00795EB2">
      <w:pPr>
        <w:ind w:left="1440" w:hanging="1440"/>
        <w:jc w:val="both"/>
      </w:pPr>
      <w:r>
        <w:rPr>
          <w:b/>
        </w:rPr>
        <w:t xml:space="preserve">Type </w:t>
      </w:r>
      <w:r w:rsidR="00E873CD">
        <w:rPr>
          <w:b/>
        </w:rPr>
        <w:t>1</w:t>
      </w:r>
      <w:r>
        <w:t>:</w:t>
      </w:r>
      <w:r>
        <w:tab/>
      </w:r>
      <w:r w:rsidRPr="0062357C">
        <w:t>The company agrees to maintain its existing annual storm damage accrual of $380,000 and its existing storm reserve target of $3.8 million without prejudice to its ability to seek relief pursuant to Section 25-7.0143(1)(j), Florida Administrative Code.</w:t>
      </w:r>
    </w:p>
    <w:p w14:paraId="361A4DAC" w14:textId="77777777" w:rsidR="00795EB2" w:rsidRDefault="00795EB2" w:rsidP="00795EB2">
      <w:pPr>
        <w:jc w:val="both"/>
      </w:pPr>
    </w:p>
    <w:p w14:paraId="468584B1" w14:textId="77777777" w:rsidR="00795EB2" w:rsidRDefault="00795EB2" w:rsidP="00795EB2">
      <w:pPr>
        <w:tabs>
          <w:tab w:val="left" w:pos="1440"/>
        </w:tabs>
        <w:ind w:left="1440" w:hanging="1440"/>
        <w:jc w:val="both"/>
        <w:rPr>
          <w:b/>
          <w:u w:val="single"/>
        </w:rPr>
      </w:pPr>
    </w:p>
    <w:p w14:paraId="2A2294D4" w14:textId="7EC0D3AD" w:rsidR="00795EB2" w:rsidRDefault="00795EB2" w:rsidP="00795EB2">
      <w:pPr>
        <w:tabs>
          <w:tab w:val="left" w:pos="1440"/>
        </w:tabs>
        <w:ind w:left="1440" w:hanging="1440"/>
        <w:jc w:val="both"/>
      </w:pPr>
      <w:r w:rsidRPr="009D0AB8">
        <w:rPr>
          <w:b/>
          <w:u w:val="single"/>
        </w:rPr>
        <w:t xml:space="preserve">ISSUE </w:t>
      </w:r>
      <w:r>
        <w:rPr>
          <w:b/>
          <w:u w:val="single"/>
        </w:rPr>
        <w:t>48</w:t>
      </w:r>
      <w:r>
        <w:t>:</w:t>
      </w:r>
      <w:r>
        <w:tab/>
      </w:r>
      <w:r w:rsidRPr="00A01BAD">
        <w:t>What amount of projected test year Rate Case Expense should be approved? What amortization period should be used?</w:t>
      </w:r>
    </w:p>
    <w:p w14:paraId="0BB45E96" w14:textId="77777777" w:rsidR="00795EB2" w:rsidRDefault="00795EB2" w:rsidP="00795EB2">
      <w:pPr>
        <w:tabs>
          <w:tab w:val="left" w:pos="1440"/>
        </w:tabs>
        <w:ind w:left="1440" w:hanging="1440"/>
        <w:jc w:val="both"/>
      </w:pPr>
    </w:p>
    <w:p w14:paraId="219D649B" w14:textId="0D8A528A" w:rsidR="00795EB2" w:rsidRDefault="00795EB2" w:rsidP="00795EB2">
      <w:pPr>
        <w:tabs>
          <w:tab w:val="left" w:pos="1440"/>
        </w:tabs>
        <w:ind w:left="1440" w:hanging="1440"/>
        <w:jc w:val="both"/>
      </w:pPr>
      <w:r>
        <w:rPr>
          <w:b/>
        </w:rPr>
        <w:t>Type 2</w:t>
      </w:r>
      <w:r>
        <w:t>:</w:t>
      </w:r>
      <w:r>
        <w:tab/>
      </w:r>
      <w:r w:rsidRPr="0062357C">
        <w:t>The appropriate rate case expense is $2,778,647 and amortization period should be three years. This amount is a reduction from the $3,247,810  shown on MFR Schedule C-13.</w:t>
      </w:r>
    </w:p>
    <w:p w14:paraId="0E8D2638" w14:textId="77777777" w:rsidR="00CC637A" w:rsidRDefault="00CC637A" w:rsidP="00795EB2">
      <w:pPr>
        <w:tabs>
          <w:tab w:val="left" w:pos="1440"/>
        </w:tabs>
        <w:ind w:left="1440" w:hanging="1440"/>
        <w:jc w:val="both"/>
      </w:pPr>
    </w:p>
    <w:p w14:paraId="00716653" w14:textId="77777777" w:rsidR="00795EB2" w:rsidRPr="00F10751" w:rsidRDefault="00795EB2" w:rsidP="00795EB2">
      <w:pPr>
        <w:jc w:val="center"/>
        <w:rPr>
          <w:b/>
        </w:rPr>
      </w:pPr>
      <w:r>
        <w:rPr>
          <w:b/>
          <w:u w:val="single"/>
        </w:rPr>
        <w:t>REVENUE REQUIREMENTS</w:t>
      </w:r>
    </w:p>
    <w:p w14:paraId="196F2C76" w14:textId="77777777" w:rsidR="00795EB2" w:rsidRDefault="00795EB2" w:rsidP="00795EB2"/>
    <w:p w14:paraId="59096815" w14:textId="77777777" w:rsidR="00795EB2" w:rsidRDefault="00795EB2" w:rsidP="00795EB2">
      <w:pPr>
        <w:tabs>
          <w:tab w:val="left" w:pos="1440"/>
        </w:tabs>
        <w:ind w:left="1440" w:hanging="1440"/>
        <w:jc w:val="both"/>
      </w:pPr>
      <w:r w:rsidRPr="009D0AB8">
        <w:rPr>
          <w:b/>
          <w:u w:val="single"/>
        </w:rPr>
        <w:t xml:space="preserve">ISSUE </w:t>
      </w:r>
      <w:r>
        <w:rPr>
          <w:b/>
          <w:u w:val="single"/>
        </w:rPr>
        <w:t>56</w:t>
      </w:r>
      <w:r>
        <w:t>:</w:t>
      </w:r>
      <w:r>
        <w:tab/>
      </w:r>
      <w:r w:rsidRPr="00A01BAD">
        <w:t>What revenue expansion factor and net operating income multiplier should be approved for the projected test year?</w:t>
      </w:r>
    </w:p>
    <w:p w14:paraId="58EAE254" w14:textId="77777777" w:rsidR="00795EB2" w:rsidRDefault="00795EB2" w:rsidP="00795EB2">
      <w:pPr>
        <w:jc w:val="both"/>
      </w:pPr>
    </w:p>
    <w:p w14:paraId="45F999DD" w14:textId="53515A9D" w:rsidR="00795EB2" w:rsidRDefault="00795EB2" w:rsidP="00795EB2">
      <w:pPr>
        <w:ind w:left="1440" w:hanging="1440"/>
        <w:jc w:val="both"/>
      </w:pPr>
      <w:r>
        <w:rPr>
          <w:b/>
        </w:rPr>
        <w:t xml:space="preserve">Type </w:t>
      </w:r>
      <w:r w:rsidR="00E873CD">
        <w:rPr>
          <w:b/>
        </w:rPr>
        <w:t>1</w:t>
      </w:r>
      <w:r>
        <w:t>:</w:t>
      </w:r>
      <w:r>
        <w:tab/>
      </w:r>
      <w:r w:rsidRPr="00084B78">
        <w:t>The appropriate revenue expansion factor in this case is 74.0723 percent and the net operating income multiplier proposed in this case is 1.3500, as shown on MFR Schedule G-4, page 1.</w:t>
      </w:r>
    </w:p>
    <w:p w14:paraId="152EA7A6" w14:textId="4D53DAF0" w:rsidR="00E873CD" w:rsidRDefault="00E873CD">
      <w:pPr>
        <w:rPr>
          <w:bCs/>
        </w:rPr>
      </w:pPr>
    </w:p>
    <w:p w14:paraId="6A0171F8" w14:textId="77777777" w:rsidR="0029161C" w:rsidRPr="0029161C" w:rsidRDefault="0029161C" w:rsidP="0029161C">
      <w:pPr>
        <w:jc w:val="both"/>
        <w:rPr>
          <w:b/>
        </w:rPr>
      </w:pPr>
      <w:r w:rsidRPr="0029161C">
        <w:rPr>
          <w:b/>
        </w:rPr>
        <w:t>XI.</w:t>
      </w:r>
      <w:r w:rsidRPr="0029161C">
        <w:rPr>
          <w:b/>
        </w:rPr>
        <w:tab/>
      </w:r>
      <w:r w:rsidRPr="0029161C">
        <w:rPr>
          <w:b/>
          <w:u w:val="single"/>
        </w:rPr>
        <w:t>PENDING MOTIONS</w:t>
      </w:r>
    </w:p>
    <w:p w14:paraId="547E2191" w14:textId="77777777" w:rsidR="0029161C" w:rsidRPr="0029161C" w:rsidRDefault="0029161C" w:rsidP="003F2E68">
      <w:pPr>
        <w:jc w:val="both"/>
      </w:pPr>
    </w:p>
    <w:p w14:paraId="05DA95CA" w14:textId="5E8BF7D0" w:rsidR="0029161C" w:rsidRDefault="00BE375B" w:rsidP="003F2E68">
      <w:pPr>
        <w:ind w:firstLine="720"/>
        <w:jc w:val="both"/>
      </w:pPr>
      <w:r>
        <w:t xml:space="preserve">On August 14, 2023, OPC filed a </w:t>
      </w:r>
      <w:r w:rsidR="003F2E68" w:rsidRPr="003F2E68">
        <w:t>motion to provide a time certain for witness</w:t>
      </w:r>
      <w:r w:rsidR="003F2E68">
        <w:t xml:space="preserve"> David Garrett to testify. </w:t>
      </w:r>
    </w:p>
    <w:p w14:paraId="38D06E90" w14:textId="48879E1C" w:rsidR="00E873CD" w:rsidRDefault="00E873CD" w:rsidP="003F2E68">
      <w:pPr>
        <w:ind w:firstLine="720"/>
        <w:jc w:val="both"/>
      </w:pPr>
    </w:p>
    <w:p w14:paraId="15C97409" w14:textId="77777777" w:rsidR="00242699" w:rsidRPr="0029161C" w:rsidRDefault="00242699" w:rsidP="003F2E68">
      <w:pPr>
        <w:ind w:firstLine="720"/>
        <w:jc w:val="both"/>
      </w:pPr>
    </w:p>
    <w:p w14:paraId="7F08D547" w14:textId="77777777" w:rsidR="0029161C" w:rsidRPr="0029161C" w:rsidRDefault="0029161C" w:rsidP="0029161C">
      <w:pPr>
        <w:jc w:val="both"/>
        <w:rPr>
          <w:b/>
        </w:rPr>
      </w:pPr>
      <w:r w:rsidRPr="0029161C">
        <w:rPr>
          <w:b/>
        </w:rPr>
        <w:lastRenderedPageBreak/>
        <w:t>XI</w:t>
      </w:r>
      <w:r w:rsidR="00C84D1B">
        <w:rPr>
          <w:b/>
        </w:rPr>
        <w:t>I</w:t>
      </w:r>
      <w:r w:rsidRPr="0029161C">
        <w:rPr>
          <w:b/>
        </w:rPr>
        <w:t>.</w:t>
      </w:r>
      <w:r w:rsidRPr="0029161C">
        <w:rPr>
          <w:b/>
        </w:rPr>
        <w:tab/>
      </w:r>
      <w:r w:rsidRPr="0029161C">
        <w:rPr>
          <w:b/>
          <w:u w:val="single"/>
        </w:rPr>
        <w:t>PENDING CONFIDENTIALITY MATTERS</w:t>
      </w:r>
    </w:p>
    <w:p w14:paraId="10EB0EBD" w14:textId="77777777" w:rsidR="0029161C" w:rsidRPr="0029161C" w:rsidRDefault="0029161C" w:rsidP="0029161C">
      <w:pPr>
        <w:jc w:val="both"/>
      </w:pPr>
    </w:p>
    <w:p w14:paraId="24A12B93" w14:textId="77777777" w:rsidR="0029161C" w:rsidRDefault="0029161C" w:rsidP="00D94D7F">
      <w:pPr>
        <w:ind w:firstLine="720"/>
        <w:jc w:val="both"/>
      </w:pPr>
      <w:r w:rsidRPr="0062711E">
        <w:t>The</w:t>
      </w:r>
      <w:r w:rsidR="00777F0C">
        <w:t xml:space="preserve"> following requests for confidential classification (“RCC”) and combined requests for confidential classification and temporary protective order (“RCC/TPO”) are currently pending:</w:t>
      </w:r>
    </w:p>
    <w:p w14:paraId="561161BF" w14:textId="77777777" w:rsidR="00777F0C" w:rsidRDefault="00777F0C" w:rsidP="00D94D7F">
      <w:pPr>
        <w:ind w:firstLine="720"/>
        <w:jc w:val="both"/>
      </w:pPr>
    </w:p>
    <w:tbl>
      <w:tblPr>
        <w:tblStyle w:val="TableGrid"/>
        <w:tblW w:w="9127"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1943"/>
        <w:gridCol w:w="5235"/>
      </w:tblGrid>
      <w:tr w:rsidR="00777F0C" w:rsidRPr="00F40294" w14:paraId="5C464BE0" w14:textId="77777777" w:rsidTr="002D6A0E">
        <w:trPr>
          <w:cantSplit/>
          <w:trHeight w:val="288"/>
        </w:trPr>
        <w:tc>
          <w:tcPr>
            <w:tcW w:w="1985" w:type="dxa"/>
          </w:tcPr>
          <w:p w14:paraId="73DFB0D4" w14:textId="77777777" w:rsidR="00777F0C" w:rsidRPr="00065571" w:rsidRDefault="00777F0C" w:rsidP="002D6A0E">
            <w:pPr>
              <w:tabs>
                <w:tab w:val="left" w:pos="720"/>
                <w:tab w:val="left" w:pos="1800"/>
                <w:tab w:val="left" w:pos="3600"/>
              </w:tabs>
              <w:suppressAutoHyphens/>
              <w:ind w:left="1800" w:hanging="1800"/>
              <w:rPr>
                <w:rFonts w:cs="Arial"/>
                <w:spacing w:val="-3"/>
                <w:u w:val="single"/>
              </w:rPr>
            </w:pPr>
            <w:bookmarkStart w:id="11" w:name="_Hlk143694543"/>
            <w:r w:rsidRPr="00065571">
              <w:rPr>
                <w:rFonts w:cs="Arial"/>
                <w:spacing w:val="-3"/>
                <w:u w:val="single"/>
              </w:rPr>
              <w:t>Date Filed</w:t>
            </w:r>
          </w:p>
        </w:tc>
        <w:tc>
          <w:tcPr>
            <w:tcW w:w="1980" w:type="dxa"/>
          </w:tcPr>
          <w:p w14:paraId="678FAA0D" w14:textId="77777777" w:rsidR="00777F0C" w:rsidRPr="00065571" w:rsidRDefault="00777F0C" w:rsidP="002D6A0E">
            <w:pPr>
              <w:tabs>
                <w:tab w:val="left" w:pos="720"/>
                <w:tab w:val="left" w:pos="1800"/>
                <w:tab w:val="left" w:pos="3600"/>
              </w:tabs>
              <w:suppressAutoHyphens/>
              <w:ind w:left="1800" w:hanging="1800"/>
              <w:rPr>
                <w:rFonts w:cs="Arial"/>
                <w:spacing w:val="-3"/>
                <w:u w:val="single"/>
              </w:rPr>
            </w:pPr>
            <w:r w:rsidRPr="00065571">
              <w:rPr>
                <w:rFonts w:cs="Arial"/>
                <w:spacing w:val="-3"/>
                <w:u w:val="single"/>
              </w:rPr>
              <w:t>Type</w:t>
            </w:r>
          </w:p>
        </w:tc>
        <w:tc>
          <w:tcPr>
            <w:tcW w:w="5162" w:type="dxa"/>
          </w:tcPr>
          <w:p w14:paraId="0D7BAA70" w14:textId="77777777" w:rsidR="00777F0C" w:rsidRPr="00065571" w:rsidRDefault="00777F0C" w:rsidP="002D6A0E">
            <w:pPr>
              <w:tabs>
                <w:tab w:val="left" w:pos="720"/>
                <w:tab w:val="left" w:pos="1800"/>
                <w:tab w:val="left" w:pos="3600"/>
              </w:tabs>
              <w:suppressAutoHyphens/>
              <w:ind w:left="1800" w:hanging="1800"/>
              <w:rPr>
                <w:rFonts w:cs="Arial"/>
                <w:spacing w:val="-3"/>
                <w:u w:val="single"/>
              </w:rPr>
            </w:pPr>
            <w:r w:rsidRPr="00065571">
              <w:rPr>
                <w:rFonts w:cs="Arial"/>
                <w:spacing w:val="-3"/>
                <w:u w:val="single"/>
              </w:rPr>
              <w:t>Subject Matter</w:t>
            </w:r>
          </w:p>
        </w:tc>
      </w:tr>
      <w:tr w:rsidR="00777F0C" w:rsidRPr="00F40294" w14:paraId="3FE9E983" w14:textId="77777777" w:rsidTr="002D6A0E">
        <w:trPr>
          <w:cantSplit/>
          <w:trHeight w:val="288"/>
        </w:trPr>
        <w:tc>
          <w:tcPr>
            <w:tcW w:w="1985" w:type="dxa"/>
          </w:tcPr>
          <w:p w14:paraId="0FD9AB44" w14:textId="15124029" w:rsidR="00777F0C" w:rsidRPr="00F40294" w:rsidRDefault="00777F0C" w:rsidP="002D6A0E">
            <w:pPr>
              <w:tabs>
                <w:tab w:val="left" w:pos="720"/>
                <w:tab w:val="left" w:pos="1800"/>
                <w:tab w:val="left" w:pos="3600"/>
              </w:tabs>
              <w:suppressAutoHyphens/>
              <w:ind w:left="1800" w:hanging="1800"/>
              <w:rPr>
                <w:rFonts w:cs="Arial"/>
                <w:spacing w:val="-3"/>
              </w:rPr>
            </w:pPr>
            <w:r>
              <w:rPr>
                <w:rFonts w:cs="Arial"/>
                <w:spacing w:val="-3"/>
              </w:rPr>
              <w:t>3/03/2023</w:t>
            </w:r>
          </w:p>
        </w:tc>
        <w:tc>
          <w:tcPr>
            <w:tcW w:w="1980" w:type="dxa"/>
          </w:tcPr>
          <w:p w14:paraId="2C8C0FD8" w14:textId="77777777" w:rsidR="00777F0C" w:rsidRPr="00F40294" w:rsidRDefault="00777F0C" w:rsidP="002D6A0E">
            <w:pPr>
              <w:tabs>
                <w:tab w:val="left" w:pos="720"/>
                <w:tab w:val="left" w:pos="1800"/>
                <w:tab w:val="left" w:pos="3600"/>
              </w:tabs>
              <w:suppressAutoHyphens/>
              <w:ind w:left="1800" w:hanging="1800"/>
              <w:rPr>
                <w:rFonts w:cs="Arial"/>
                <w:spacing w:val="-3"/>
              </w:rPr>
            </w:pPr>
            <w:r>
              <w:rPr>
                <w:rFonts w:cs="Arial"/>
                <w:spacing w:val="-3"/>
              </w:rPr>
              <w:t>RCC</w:t>
            </w:r>
          </w:p>
        </w:tc>
        <w:tc>
          <w:tcPr>
            <w:tcW w:w="5162" w:type="dxa"/>
          </w:tcPr>
          <w:p w14:paraId="14489788" w14:textId="77777777" w:rsidR="00777F0C" w:rsidRPr="00F40294" w:rsidRDefault="00777F0C" w:rsidP="00777F0C">
            <w:pPr>
              <w:tabs>
                <w:tab w:val="left" w:pos="720"/>
                <w:tab w:val="left" w:pos="1800"/>
                <w:tab w:val="left" w:pos="3600"/>
              </w:tabs>
              <w:suppressAutoHyphens/>
              <w:rPr>
                <w:rFonts w:cs="Arial"/>
                <w:spacing w:val="-3"/>
              </w:rPr>
            </w:pPr>
            <w:r>
              <w:rPr>
                <w:rFonts w:cs="Arial"/>
                <w:spacing w:val="-3"/>
              </w:rPr>
              <w:t>Staff’s 1st Data Request (filed in Docket No. 20220212)</w:t>
            </w:r>
          </w:p>
        </w:tc>
      </w:tr>
      <w:tr w:rsidR="00777F0C" w:rsidRPr="00F40294" w14:paraId="57AD91D7" w14:textId="77777777" w:rsidTr="002D6A0E">
        <w:trPr>
          <w:cantSplit/>
          <w:trHeight w:val="288"/>
        </w:trPr>
        <w:tc>
          <w:tcPr>
            <w:tcW w:w="1985" w:type="dxa"/>
          </w:tcPr>
          <w:p w14:paraId="0BB02DC5" w14:textId="77777777" w:rsidR="00777F0C" w:rsidRPr="00F40294" w:rsidRDefault="00777F0C" w:rsidP="002D6A0E">
            <w:pPr>
              <w:tabs>
                <w:tab w:val="left" w:pos="720"/>
                <w:tab w:val="left" w:pos="1800"/>
                <w:tab w:val="left" w:pos="3600"/>
              </w:tabs>
              <w:suppressAutoHyphens/>
              <w:rPr>
                <w:rFonts w:cs="Arial"/>
                <w:spacing w:val="-3"/>
              </w:rPr>
            </w:pPr>
            <w:r w:rsidRPr="00F40294">
              <w:rPr>
                <w:rFonts w:cs="Arial"/>
                <w:spacing w:val="-3"/>
              </w:rPr>
              <w:t>7/12/2023</w:t>
            </w:r>
          </w:p>
        </w:tc>
        <w:tc>
          <w:tcPr>
            <w:tcW w:w="1980" w:type="dxa"/>
          </w:tcPr>
          <w:p w14:paraId="00D8969E" w14:textId="77777777" w:rsidR="00777F0C" w:rsidRPr="00F40294" w:rsidRDefault="00777F0C" w:rsidP="002D6A0E">
            <w:pPr>
              <w:tabs>
                <w:tab w:val="left" w:pos="720"/>
                <w:tab w:val="left" w:pos="1800"/>
                <w:tab w:val="left" w:pos="3600"/>
              </w:tabs>
              <w:suppressAutoHyphens/>
              <w:ind w:left="1800" w:hanging="1800"/>
              <w:rPr>
                <w:rFonts w:cs="Arial"/>
                <w:spacing w:val="-3"/>
              </w:rPr>
            </w:pPr>
            <w:r w:rsidRPr="00F40294">
              <w:rPr>
                <w:rFonts w:cs="Arial"/>
                <w:spacing w:val="-3"/>
              </w:rPr>
              <w:t>RCC</w:t>
            </w:r>
          </w:p>
        </w:tc>
        <w:tc>
          <w:tcPr>
            <w:tcW w:w="5162" w:type="dxa"/>
          </w:tcPr>
          <w:p w14:paraId="1016D9C8" w14:textId="77777777" w:rsidR="00777F0C" w:rsidRPr="00F40294" w:rsidRDefault="00777F0C" w:rsidP="00777F0C">
            <w:pPr>
              <w:tabs>
                <w:tab w:val="left" w:pos="720"/>
                <w:tab w:val="left" w:pos="1800"/>
                <w:tab w:val="left" w:pos="3600"/>
              </w:tabs>
              <w:suppressAutoHyphens/>
              <w:ind w:left="1800" w:hanging="1800"/>
              <w:rPr>
                <w:rFonts w:cs="Arial"/>
                <w:spacing w:val="-3"/>
              </w:rPr>
            </w:pPr>
            <w:r w:rsidRPr="00F40294">
              <w:rPr>
                <w:rFonts w:cs="Arial"/>
                <w:spacing w:val="-3"/>
              </w:rPr>
              <w:t>Staff’s June 5, 2023 Request for OPC discovery</w:t>
            </w:r>
          </w:p>
        </w:tc>
      </w:tr>
      <w:tr w:rsidR="00777F0C" w:rsidRPr="00F40294" w14:paraId="20B050D0" w14:textId="77777777" w:rsidTr="002D6A0E">
        <w:trPr>
          <w:cantSplit/>
          <w:trHeight w:val="288"/>
        </w:trPr>
        <w:tc>
          <w:tcPr>
            <w:tcW w:w="1985" w:type="dxa"/>
          </w:tcPr>
          <w:p w14:paraId="38C0D5B0"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8/08/2023</w:t>
            </w:r>
          </w:p>
        </w:tc>
        <w:tc>
          <w:tcPr>
            <w:tcW w:w="1980" w:type="dxa"/>
          </w:tcPr>
          <w:p w14:paraId="58D2845F"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RCC/TPO</w:t>
            </w:r>
          </w:p>
        </w:tc>
        <w:tc>
          <w:tcPr>
            <w:tcW w:w="5162" w:type="dxa"/>
          </w:tcPr>
          <w:p w14:paraId="1F2D1CA3" w14:textId="77777777" w:rsidR="00777F0C" w:rsidRPr="0034685F" w:rsidRDefault="00777F0C" w:rsidP="00777F0C">
            <w:pPr>
              <w:tabs>
                <w:tab w:val="left" w:pos="720"/>
                <w:tab w:val="left" w:pos="1800"/>
                <w:tab w:val="left" w:pos="3600"/>
              </w:tabs>
              <w:suppressAutoHyphens/>
              <w:ind w:left="1800" w:hanging="1800"/>
              <w:rPr>
                <w:rFonts w:cs="Arial"/>
                <w:spacing w:val="-3"/>
              </w:rPr>
            </w:pPr>
            <w:r>
              <w:rPr>
                <w:rFonts w:cs="Arial"/>
                <w:spacing w:val="-3"/>
              </w:rPr>
              <w:t>Staff’s 7th POD (No. 27)</w:t>
            </w:r>
          </w:p>
        </w:tc>
      </w:tr>
      <w:tr w:rsidR="00777F0C" w:rsidRPr="00F40294" w14:paraId="324C677F" w14:textId="77777777" w:rsidTr="002D6A0E">
        <w:trPr>
          <w:cantSplit/>
          <w:trHeight w:val="288"/>
        </w:trPr>
        <w:tc>
          <w:tcPr>
            <w:tcW w:w="1985" w:type="dxa"/>
          </w:tcPr>
          <w:p w14:paraId="27190CDD"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8/14/2023</w:t>
            </w:r>
          </w:p>
        </w:tc>
        <w:tc>
          <w:tcPr>
            <w:tcW w:w="1800" w:type="dxa"/>
          </w:tcPr>
          <w:p w14:paraId="070F30D6"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6CD13E35"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Staff’s 14th IRR (No. 174)</w:t>
            </w:r>
          </w:p>
        </w:tc>
      </w:tr>
      <w:tr w:rsidR="00777F0C" w:rsidRPr="00F40294" w14:paraId="18B7571B" w14:textId="77777777" w:rsidTr="002D6A0E">
        <w:trPr>
          <w:cantSplit/>
          <w:trHeight w:val="288"/>
        </w:trPr>
        <w:tc>
          <w:tcPr>
            <w:tcW w:w="1985" w:type="dxa"/>
          </w:tcPr>
          <w:p w14:paraId="382B50DF"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8/14/2023</w:t>
            </w:r>
          </w:p>
        </w:tc>
        <w:tc>
          <w:tcPr>
            <w:tcW w:w="1800" w:type="dxa"/>
          </w:tcPr>
          <w:p w14:paraId="70CA5DC4"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1E7C117B"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Late Filed Exhibit Christian Richard</w:t>
            </w:r>
          </w:p>
        </w:tc>
      </w:tr>
      <w:tr w:rsidR="00777F0C" w:rsidRPr="00F40294" w14:paraId="1F0E9B49" w14:textId="77777777" w:rsidTr="002D6A0E">
        <w:trPr>
          <w:cantSplit/>
          <w:trHeight w:val="288"/>
        </w:trPr>
        <w:tc>
          <w:tcPr>
            <w:tcW w:w="1985" w:type="dxa"/>
          </w:tcPr>
          <w:p w14:paraId="4C955BDB"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8/16/2023</w:t>
            </w:r>
          </w:p>
        </w:tc>
        <w:tc>
          <w:tcPr>
            <w:tcW w:w="1800" w:type="dxa"/>
          </w:tcPr>
          <w:p w14:paraId="18F1D17A"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RCC</w:t>
            </w:r>
          </w:p>
        </w:tc>
        <w:tc>
          <w:tcPr>
            <w:tcW w:w="5342" w:type="dxa"/>
          </w:tcPr>
          <w:p w14:paraId="0FFE04E6"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OPC’s 8th POD (No. 95)</w:t>
            </w:r>
          </w:p>
        </w:tc>
      </w:tr>
      <w:tr w:rsidR="00777F0C" w:rsidRPr="00F40294" w14:paraId="36D64BC8" w14:textId="77777777" w:rsidTr="002D6A0E">
        <w:trPr>
          <w:cantSplit/>
          <w:trHeight w:val="288"/>
        </w:trPr>
        <w:tc>
          <w:tcPr>
            <w:tcW w:w="1985" w:type="dxa"/>
          </w:tcPr>
          <w:p w14:paraId="0E680E0C"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8/16/2023</w:t>
            </w:r>
          </w:p>
        </w:tc>
        <w:tc>
          <w:tcPr>
            <w:tcW w:w="1800" w:type="dxa"/>
          </w:tcPr>
          <w:p w14:paraId="48EFA39F"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2C64EC9F" w14:textId="77777777" w:rsidR="00777F0C" w:rsidRDefault="00777F0C" w:rsidP="00777F0C">
            <w:pPr>
              <w:tabs>
                <w:tab w:val="left" w:pos="720"/>
                <w:tab w:val="left" w:pos="3600"/>
              </w:tabs>
              <w:suppressAutoHyphens/>
              <w:ind w:left="-14" w:firstLine="14"/>
              <w:rPr>
                <w:rFonts w:cs="Arial"/>
                <w:spacing w:val="-3"/>
              </w:rPr>
            </w:pPr>
            <w:r>
              <w:rPr>
                <w:rFonts w:cs="Arial"/>
                <w:spacing w:val="-3"/>
              </w:rPr>
              <w:t>Deposition Transcript for Christian Richard (pages 29-30)</w:t>
            </w:r>
          </w:p>
        </w:tc>
      </w:tr>
      <w:tr w:rsidR="00777F0C" w:rsidRPr="00F40294" w14:paraId="4C0EA690" w14:textId="77777777" w:rsidTr="002D6A0E">
        <w:trPr>
          <w:cantSplit/>
          <w:trHeight w:val="288"/>
        </w:trPr>
        <w:tc>
          <w:tcPr>
            <w:tcW w:w="1985" w:type="dxa"/>
          </w:tcPr>
          <w:p w14:paraId="5625FE16"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8/18/2023</w:t>
            </w:r>
          </w:p>
        </w:tc>
        <w:tc>
          <w:tcPr>
            <w:tcW w:w="1800" w:type="dxa"/>
          </w:tcPr>
          <w:p w14:paraId="0A91884F"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0C26EAE9"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Deposition Transcript for Lew Rutkin (page 16)</w:t>
            </w:r>
          </w:p>
        </w:tc>
      </w:tr>
      <w:tr w:rsidR="00777F0C" w:rsidRPr="00F40294" w14:paraId="5019DAE4" w14:textId="77777777" w:rsidTr="002D6A0E">
        <w:trPr>
          <w:cantSplit/>
          <w:trHeight w:val="288"/>
        </w:trPr>
        <w:tc>
          <w:tcPr>
            <w:tcW w:w="1985" w:type="dxa"/>
          </w:tcPr>
          <w:p w14:paraId="6918CBCF"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8/18/2023</w:t>
            </w:r>
          </w:p>
        </w:tc>
        <w:tc>
          <w:tcPr>
            <w:tcW w:w="1800" w:type="dxa"/>
          </w:tcPr>
          <w:p w14:paraId="774FBACF" w14:textId="77777777" w:rsidR="00777F0C" w:rsidRDefault="00777F0C" w:rsidP="002D6A0E">
            <w:pPr>
              <w:tabs>
                <w:tab w:val="left" w:pos="720"/>
                <w:tab w:val="left" w:pos="1800"/>
                <w:tab w:val="left" w:pos="3600"/>
              </w:tabs>
              <w:suppressAutoHyphens/>
              <w:ind w:left="1800" w:hanging="1800"/>
              <w:rPr>
                <w:rFonts w:cs="Arial"/>
                <w:spacing w:val="-3"/>
              </w:rPr>
            </w:pPr>
            <w:r>
              <w:rPr>
                <w:rFonts w:cs="Arial"/>
                <w:spacing w:val="-3"/>
              </w:rPr>
              <w:t>RCC</w:t>
            </w:r>
          </w:p>
        </w:tc>
        <w:tc>
          <w:tcPr>
            <w:tcW w:w="5342" w:type="dxa"/>
          </w:tcPr>
          <w:p w14:paraId="48BE85A5"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OPC’s 9th IRR (Nos. 96-97)</w:t>
            </w:r>
          </w:p>
        </w:tc>
      </w:tr>
      <w:tr w:rsidR="00777F0C" w:rsidRPr="00F40294" w14:paraId="42958146" w14:textId="77777777" w:rsidTr="002D6A0E">
        <w:trPr>
          <w:cantSplit/>
          <w:trHeight w:val="288"/>
        </w:trPr>
        <w:tc>
          <w:tcPr>
            <w:tcW w:w="1985" w:type="dxa"/>
          </w:tcPr>
          <w:p w14:paraId="0AEF2F67"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8/18/2023</w:t>
            </w:r>
          </w:p>
        </w:tc>
        <w:tc>
          <w:tcPr>
            <w:tcW w:w="1800" w:type="dxa"/>
          </w:tcPr>
          <w:p w14:paraId="14FA3C57"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w:t>
            </w:r>
          </w:p>
        </w:tc>
        <w:tc>
          <w:tcPr>
            <w:tcW w:w="5342" w:type="dxa"/>
          </w:tcPr>
          <w:p w14:paraId="5EE998BD" w14:textId="77777777" w:rsidR="00777F0C" w:rsidRDefault="00777F0C" w:rsidP="00777F0C">
            <w:pPr>
              <w:tabs>
                <w:tab w:val="left" w:pos="720"/>
                <w:tab w:val="left" w:pos="3600"/>
              </w:tabs>
              <w:suppressAutoHyphens/>
              <w:ind w:left="-14" w:firstLine="14"/>
              <w:rPr>
                <w:rFonts w:cs="Arial"/>
                <w:spacing w:val="-3"/>
              </w:rPr>
            </w:pPr>
            <w:r>
              <w:rPr>
                <w:rFonts w:cs="Arial"/>
                <w:spacing w:val="-3"/>
              </w:rPr>
              <w:t>OPC’s 1st POD (No. 16), 1st IRR (No. 100), 10th IRR (Nos. 244-245)</w:t>
            </w:r>
          </w:p>
        </w:tc>
      </w:tr>
      <w:tr w:rsidR="00777F0C" w:rsidRPr="00F40294" w14:paraId="5900C8C3" w14:textId="77777777" w:rsidTr="002D6A0E">
        <w:trPr>
          <w:cantSplit/>
          <w:trHeight w:val="288"/>
        </w:trPr>
        <w:tc>
          <w:tcPr>
            <w:tcW w:w="1985" w:type="dxa"/>
          </w:tcPr>
          <w:p w14:paraId="7C8D2282"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8/21/2022</w:t>
            </w:r>
          </w:p>
        </w:tc>
        <w:tc>
          <w:tcPr>
            <w:tcW w:w="1800" w:type="dxa"/>
          </w:tcPr>
          <w:p w14:paraId="4D71CB63"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2194800A" w14:textId="77777777" w:rsidR="00777F0C" w:rsidRDefault="00777F0C" w:rsidP="00777F0C">
            <w:pPr>
              <w:tabs>
                <w:tab w:val="left" w:pos="720"/>
                <w:tab w:val="left" w:pos="3600"/>
              </w:tabs>
              <w:suppressAutoHyphens/>
              <w:ind w:left="-14" w:firstLine="14"/>
              <w:rPr>
                <w:rFonts w:cs="Arial"/>
                <w:spacing w:val="-3"/>
              </w:rPr>
            </w:pPr>
            <w:r>
              <w:rPr>
                <w:rFonts w:cs="Arial"/>
                <w:spacing w:val="-3"/>
              </w:rPr>
              <w:t>Second Supplemental Response to OPC’s 4</w:t>
            </w:r>
            <w:r w:rsidRPr="00A9727F">
              <w:rPr>
                <w:rFonts w:cs="Arial"/>
                <w:spacing w:val="-3"/>
                <w:vertAlign w:val="superscript"/>
              </w:rPr>
              <w:t>th</w:t>
            </w:r>
            <w:r>
              <w:rPr>
                <w:rFonts w:cs="Arial"/>
                <w:spacing w:val="-3"/>
              </w:rPr>
              <w:t xml:space="preserve"> IRRs (No. 209)</w:t>
            </w:r>
          </w:p>
        </w:tc>
      </w:tr>
      <w:tr w:rsidR="00777F0C" w:rsidRPr="00F40294" w14:paraId="1F09EE33" w14:textId="77777777" w:rsidTr="002D6A0E">
        <w:trPr>
          <w:cantSplit/>
          <w:trHeight w:val="288"/>
        </w:trPr>
        <w:tc>
          <w:tcPr>
            <w:tcW w:w="1985" w:type="dxa"/>
          </w:tcPr>
          <w:p w14:paraId="0E22C579"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8/22/2022</w:t>
            </w:r>
          </w:p>
        </w:tc>
        <w:tc>
          <w:tcPr>
            <w:tcW w:w="1800" w:type="dxa"/>
          </w:tcPr>
          <w:p w14:paraId="66FE6442" w14:textId="77777777" w:rsidR="00777F0C" w:rsidRDefault="00777F0C" w:rsidP="00777F0C">
            <w:pPr>
              <w:tabs>
                <w:tab w:val="left" w:pos="720"/>
                <w:tab w:val="left" w:pos="1800"/>
                <w:tab w:val="left" w:pos="3600"/>
              </w:tabs>
              <w:suppressAutoHyphens/>
              <w:ind w:left="1800" w:hanging="1800"/>
              <w:rPr>
                <w:rFonts w:cs="Arial"/>
                <w:spacing w:val="-3"/>
              </w:rPr>
            </w:pPr>
            <w:r>
              <w:rPr>
                <w:rFonts w:cs="Arial"/>
                <w:spacing w:val="-3"/>
              </w:rPr>
              <w:t>RCC/TPO</w:t>
            </w:r>
          </w:p>
        </w:tc>
        <w:tc>
          <w:tcPr>
            <w:tcW w:w="5342" w:type="dxa"/>
          </w:tcPr>
          <w:p w14:paraId="485925BF" w14:textId="77777777" w:rsidR="00777F0C" w:rsidRDefault="00777F0C" w:rsidP="00777F0C">
            <w:pPr>
              <w:tabs>
                <w:tab w:val="left" w:pos="720"/>
                <w:tab w:val="left" w:pos="3600"/>
              </w:tabs>
              <w:suppressAutoHyphens/>
              <w:ind w:left="-14" w:firstLine="14"/>
              <w:rPr>
                <w:rFonts w:cs="Arial"/>
                <w:spacing w:val="-3"/>
              </w:rPr>
            </w:pPr>
            <w:r>
              <w:rPr>
                <w:rFonts w:cs="Arial"/>
                <w:spacing w:val="-3"/>
              </w:rPr>
              <w:t>Excel Workpapers Supporting Ex. RBP-2, Document No. 1</w:t>
            </w:r>
          </w:p>
        </w:tc>
      </w:tr>
      <w:bookmarkEnd w:id="11"/>
    </w:tbl>
    <w:p w14:paraId="5B03DDE3" w14:textId="77777777" w:rsidR="0029161C" w:rsidRPr="0029161C" w:rsidRDefault="0029161C" w:rsidP="0029161C">
      <w:pPr>
        <w:jc w:val="both"/>
      </w:pPr>
    </w:p>
    <w:p w14:paraId="3E64329E" w14:textId="77777777" w:rsidR="0029161C" w:rsidRPr="0029161C" w:rsidRDefault="00C84D1B" w:rsidP="0029161C">
      <w:pPr>
        <w:jc w:val="both"/>
        <w:rPr>
          <w:b/>
        </w:rPr>
      </w:pPr>
      <w:r>
        <w:rPr>
          <w:b/>
        </w:rPr>
        <w:t>XI</w:t>
      </w:r>
      <w:r w:rsidR="003D2F45">
        <w:rPr>
          <w:b/>
        </w:rPr>
        <w:t>II</w:t>
      </w:r>
      <w:r w:rsidR="0029161C" w:rsidRPr="0029161C">
        <w:rPr>
          <w:b/>
        </w:rPr>
        <w:t>.</w:t>
      </w:r>
      <w:r w:rsidR="0029161C" w:rsidRPr="0029161C">
        <w:rPr>
          <w:b/>
        </w:rPr>
        <w:tab/>
      </w:r>
      <w:r w:rsidR="0029161C" w:rsidRPr="0029161C">
        <w:rPr>
          <w:b/>
          <w:u w:val="single"/>
        </w:rPr>
        <w:t>POST-HEARING PROCEDURES</w:t>
      </w:r>
    </w:p>
    <w:p w14:paraId="24F6B97B" w14:textId="77777777" w:rsidR="0029161C" w:rsidRPr="0029161C" w:rsidRDefault="0029161C" w:rsidP="0029161C">
      <w:pPr>
        <w:jc w:val="both"/>
      </w:pPr>
    </w:p>
    <w:p w14:paraId="2836749C" w14:textId="77777777" w:rsidR="0029161C" w:rsidRPr="0029161C" w:rsidRDefault="0029161C" w:rsidP="0029161C">
      <w:pPr>
        <w:jc w:val="both"/>
      </w:pPr>
      <w:r w:rsidRPr="0029161C">
        <w:tab/>
        <w:t xml:space="preserve">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w:t>
      </w:r>
      <w:r w:rsidR="00AC4BF5">
        <w:t xml:space="preserve">150 </w:t>
      </w:r>
      <w:r w:rsidRPr="0029161C">
        <w:t xml:space="preserve">words, it must be reduced to no more than </w:t>
      </w:r>
      <w:r w:rsidR="00AC4BF5">
        <w:t>150</w:t>
      </w:r>
      <w:r w:rsidRPr="0029161C">
        <w:t xml:space="preserve"> words.  If a party fails to file a post-hearing statement, that party shall have waived all issues and may be dismissed from the proceeding.</w:t>
      </w:r>
    </w:p>
    <w:p w14:paraId="4C243EBE" w14:textId="77777777" w:rsidR="0029161C" w:rsidRPr="0029161C" w:rsidRDefault="0029161C" w:rsidP="0029161C">
      <w:pPr>
        <w:jc w:val="both"/>
      </w:pPr>
    </w:p>
    <w:p w14:paraId="2587D019" w14:textId="77777777" w:rsidR="0029161C" w:rsidRPr="0029161C" w:rsidRDefault="0029161C" w:rsidP="0029161C">
      <w:pPr>
        <w:jc w:val="both"/>
      </w:pPr>
      <w:r w:rsidRPr="0029161C">
        <w:tab/>
        <w:t>Pursuant to Rule 28-106.215, F.A.C., a party's proposed findings of fact and conclusions of law, if any, statement of issues and positions, and brief, shall toget</w:t>
      </w:r>
      <w:r w:rsidR="009372CA">
        <w:t xml:space="preserve">her total no more than </w:t>
      </w:r>
      <w:r w:rsidR="009372CA" w:rsidRPr="00D94D7F">
        <w:t>50</w:t>
      </w:r>
      <w:r w:rsidR="009372CA">
        <w:t xml:space="preserve"> pages</w:t>
      </w:r>
      <w:r w:rsidRPr="0029161C">
        <w:rPr>
          <w:color w:val="FF0000"/>
        </w:rPr>
        <w:t xml:space="preserve"> </w:t>
      </w:r>
      <w:r w:rsidRPr="0029161C">
        <w:t>and shall be filed at the same time.</w:t>
      </w:r>
    </w:p>
    <w:p w14:paraId="66471716" w14:textId="2B0AEF04" w:rsidR="006E1F0C" w:rsidRDefault="006E1F0C"/>
    <w:p w14:paraId="504D962F" w14:textId="77777777" w:rsidR="0029161C" w:rsidRPr="0029161C" w:rsidRDefault="00C84D1B" w:rsidP="0029161C">
      <w:pPr>
        <w:jc w:val="both"/>
        <w:rPr>
          <w:b/>
        </w:rPr>
      </w:pPr>
      <w:r>
        <w:rPr>
          <w:b/>
        </w:rPr>
        <w:t>X</w:t>
      </w:r>
      <w:r w:rsidR="003D2F45">
        <w:rPr>
          <w:b/>
        </w:rPr>
        <w:t>I</w:t>
      </w:r>
      <w:r w:rsidR="0029161C" w:rsidRPr="0029161C">
        <w:rPr>
          <w:b/>
        </w:rPr>
        <w:t>V.</w:t>
      </w:r>
      <w:r w:rsidR="0029161C" w:rsidRPr="0029161C">
        <w:rPr>
          <w:b/>
        </w:rPr>
        <w:tab/>
      </w:r>
      <w:r w:rsidR="0029161C" w:rsidRPr="0029161C">
        <w:rPr>
          <w:b/>
          <w:u w:val="single"/>
        </w:rPr>
        <w:t>RULINGS</w:t>
      </w:r>
    </w:p>
    <w:p w14:paraId="4B877831" w14:textId="77777777" w:rsidR="0029161C" w:rsidRPr="0029161C" w:rsidRDefault="0029161C" w:rsidP="0029161C">
      <w:pPr>
        <w:jc w:val="both"/>
      </w:pPr>
    </w:p>
    <w:p w14:paraId="271AD7F4" w14:textId="77777777" w:rsidR="00FE50B9" w:rsidRDefault="00FE50B9" w:rsidP="0029161C">
      <w:pPr>
        <w:ind w:firstLine="720"/>
        <w:jc w:val="both"/>
      </w:pPr>
      <w:r>
        <w:t>On August 14, 2023, OPC filed a Motion to Provide a Time Certain for OPC Witness Garrett. Neither the utility nor FIPUG objected to the motion. At this time, a ruling on this motion has been reserved until the hearing.</w:t>
      </w:r>
    </w:p>
    <w:p w14:paraId="4BDB718C" w14:textId="77777777" w:rsidR="00FE50B9" w:rsidRDefault="00FE50B9" w:rsidP="0029161C">
      <w:pPr>
        <w:ind w:firstLine="720"/>
        <w:jc w:val="both"/>
      </w:pPr>
    </w:p>
    <w:p w14:paraId="3C9FF3C2" w14:textId="77777777" w:rsidR="00AC4BF5" w:rsidRDefault="00AC4BF5" w:rsidP="0029161C">
      <w:pPr>
        <w:ind w:firstLine="720"/>
        <w:jc w:val="both"/>
      </w:pPr>
      <w:r>
        <w:lastRenderedPageBreak/>
        <w:t xml:space="preserve">On August 18, 2023, OPC filed a Motion and Notice of Intent to Seek Official Recognition. Neither the utility nor FIPUG objected to the Motion. </w:t>
      </w:r>
      <w:r w:rsidR="00FE50B9">
        <w:t>OPC’s motion is granted with the acknowledgement that this is non-precedential for any future dockets.</w:t>
      </w:r>
    </w:p>
    <w:p w14:paraId="5F572288" w14:textId="77777777" w:rsidR="00FE50B9" w:rsidRDefault="00FE50B9" w:rsidP="0029161C">
      <w:pPr>
        <w:ind w:firstLine="720"/>
        <w:jc w:val="both"/>
      </w:pPr>
    </w:p>
    <w:p w14:paraId="2CD49911" w14:textId="77777777" w:rsidR="00F1504C" w:rsidRDefault="00BF514E" w:rsidP="0029161C">
      <w:pPr>
        <w:ind w:firstLine="720"/>
        <w:jc w:val="both"/>
      </w:pPr>
      <w:r>
        <w:t>Opening statements, if any, shall not exceed ten minutes per party.</w:t>
      </w:r>
    </w:p>
    <w:p w14:paraId="7300FCF6" w14:textId="77777777" w:rsidR="00BF514E" w:rsidRDefault="00BF514E" w:rsidP="0029161C">
      <w:pPr>
        <w:ind w:firstLine="720"/>
        <w:jc w:val="both"/>
      </w:pPr>
    </w:p>
    <w:p w14:paraId="07F556C4" w14:textId="77777777" w:rsidR="00BF514E" w:rsidRDefault="00AC4BF5" w:rsidP="0029161C">
      <w:pPr>
        <w:ind w:firstLine="720"/>
        <w:jc w:val="both"/>
      </w:pPr>
      <w:r>
        <w:t>W</w:t>
      </w:r>
      <w:r w:rsidR="00BF514E">
        <w:t>itnesses will provide direct and rebuttal testimony, if any, at the same time.</w:t>
      </w:r>
    </w:p>
    <w:p w14:paraId="6A0E582B" w14:textId="77777777" w:rsidR="00BF514E" w:rsidRDefault="00BF514E" w:rsidP="00FE50B9">
      <w:pPr>
        <w:jc w:val="both"/>
      </w:pPr>
    </w:p>
    <w:p w14:paraId="435967F3" w14:textId="77777777" w:rsidR="00BF514E" w:rsidRPr="0029161C" w:rsidRDefault="00BF514E" w:rsidP="0029161C">
      <w:pPr>
        <w:ind w:firstLine="720"/>
        <w:jc w:val="both"/>
      </w:pPr>
      <w:r>
        <w:t xml:space="preserve">Pursuant to </w:t>
      </w:r>
      <w:r w:rsidR="00AC4BF5">
        <w:t>the parties’ agreement, Issue 73 is</w:t>
      </w:r>
      <w:r w:rsidR="00E838CD">
        <w:t xml:space="preserve"> dropped</w:t>
      </w:r>
      <w:r w:rsidR="00AC4BF5">
        <w:t>.</w:t>
      </w:r>
    </w:p>
    <w:p w14:paraId="57F5B88E" w14:textId="77777777" w:rsidR="0029161C" w:rsidRPr="0029161C" w:rsidRDefault="0029161C" w:rsidP="0029161C">
      <w:pPr>
        <w:jc w:val="both"/>
      </w:pPr>
    </w:p>
    <w:p w14:paraId="08B61347" w14:textId="77777777" w:rsidR="0029161C" w:rsidRPr="0029161C" w:rsidRDefault="0029161C" w:rsidP="0029161C">
      <w:pPr>
        <w:jc w:val="both"/>
      </w:pPr>
      <w:r w:rsidRPr="0029161C">
        <w:tab/>
        <w:t>It is therefore,</w:t>
      </w:r>
    </w:p>
    <w:p w14:paraId="4C0E4FA7" w14:textId="77777777" w:rsidR="0029161C" w:rsidRPr="0029161C" w:rsidRDefault="0029161C" w:rsidP="0029161C">
      <w:pPr>
        <w:jc w:val="both"/>
      </w:pPr>
    </w:p>
    <w:p w14:paraId="5C1290BC" w14:textId="77777777" w:rsidR="0029161C" w:rsidRDefault="0029161C" w:rsidP="0029161C">
      <w:pPr>
        <w:jc w:val="both"/>
      </w:pPr>
      <w:r w:rsidRPr="0029161C">
        <w:tab/>
        <w:t xml:space="preserve">ORDERED by Commissioner </w:t>
      </w:r>
      <w:r w:rsidR="00D663F7">
        <w:t>Gabriella Passidomo</w:t>
      </w:r>
      <w:r w:rsidRPr="0029161C">
        <w:t>, as Prehearing Officer, that this Prehearing Order shall govern the conduct of these proceedings as set forth above unless modified by the Commission.</w:t>
      </w:r>
    </w:p>
    <w:p w14:paraId="4F4758AF" w14:textId="2AA28044" w:rsidR="00D83CF4" w:rsidRDefault="00D83CF4" w:rsidP="0029161C">
      <w:pPr>
        <w:jc w:val="both"/>
      </w:pPr>
    </w:p>
    <w:p w14:paraId="57E615A3" w14:textId="0FFE51D9" w:rsidR="00D663F7" w:rsidRDefault="00D663F7" w:rsidP="00D663F7">
      <w:pPr>
        <w:keepNext/>
        <w:keepLines/>
        <w:jc w:val="both"/>
      </w:pPr>
      <w:r>
        <w:tab/>
        <w:t xml:space="preserve">By ORDER of Commissioner Gabriella Passidomo, as Prehearing Officer, this </w:t>
      </w:r>
      <w:bookmarkStart w:id="12" w:name="replaceDate"/>
      <w:bookmarkEnd w:id="12"/>
      <w:r w:rsidR="0097231F">
        <w:rPr>
          <w:u w:val="single"/>
        </w:rPr>
        <w:t>28th</w:t>
      </w:r>
      <w:r w:rsidR="0097231F">
        <w:t xml:space="preserve"> day of </w:t>
      </w:r>
      <w:r w:rsidR="0097231F">
        <w:rPr>
          <w:u w:val="single"/>
        </w:rPr>
        <w:t>August</w:t>
      </w:r>
      <w:r w:rsidR="0097231F">
        <w:t xml:space="preserve">, </w:t>
      </w:r>
      <w:r w:rsidR="0097231F">
        <w:rPr>
          <w:u w:val="single"/>
        </w:rPr>
        <w:t>2023</w:t>
      </w:r>
      <w:r w:rsidR="0097231F">
        <w:t>.</w:t>
      </w:r>
    </w:p>
    <w:p w14:paraId="2A9698B9" w14:textId="77777777" w:rsidR="0097231F" w:rsidRPr="0097231F" w:rsidRDefault="0097231F" w:rsidP="00D663F7">
      <w:pPr>
        <w:keepNext/>
        <w:keepLines/>
        <w:jc w:val="both"/>
      </w:pPr>
    </w:p>
    <w:p w14:paraId="08C7A195" w14:textId="5A6F70BD" w:rsidR="00C607FA" w:rsidRDefault="00C607FA" w:rsidP="00D663F7">
      <w:pPr>
        <w:keepNext/>
        <w:keepLines/>
        <w:jc w:val="both"/>
      </w:pPr>
    </w:p>
    <w:p w14:paraId="0044EE90" w14:textId="77777777" w:rsidR="00C607FA" w:rsidRDefault="00C607FA" w:rsidP="00D663F7">
      <w:pPr>
        <w:keepNext/>
        <w:keepLines/>
        <w:jc w:val="both"/>
      </w:pPr>
    </w:p>
    <w:p w14:paraId="30D8E941" w14:textId="77777777" w:rsidR="00D663F7" w:rsidRDefault="00D663F7" w:rsidP="00D663F7">
      <w:pPr>
        <w:keepNext/>
        <w:keepLines/>
        <w:jc w:val="both"/>
      </w:pPr>
    </w:p>
    <w:p w14:paraId="204DB41E" w14:textId="77777777" w:rsidR="00D663F7" w:rsidRDefault="00D663F7" w:rsidP="00D663F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663F7" w14:paraId="2E7D4078" w14:textId="77777777" w:rsidTr="00D663F7">
        <w:tc>
          <w:tcPr>
            <w:tcW w:w="720" w:type="dxa"/>
            <w:shd w:val="clear" w:color="auto" w:fill="auto"/>
          </w:tcPr>
          <w:p w14:paraId="6003B71E" w14:textId="77777777" w:rsidR="00D663F7" w:rsidRDefault="00D663F7" w:rsidP="00D663F7">
            <w:pPr>
              <w:keepNext/>
              <w:keepLines/>
              <w:jc w:val="both"/>
            </w:pPr>
            <w:bookmarkStart w:id="13" w:name="bkmrkSignature" w:colFirst="0" w:colLast="0"/>
          </w:p>
        </w:tc>
        <w:tc>
          <w:tcPr>
            <w:tcW w:w="4320" w:type="dxa"/>
            <w:tcBorders>
              <w:bottom w:val="single" w:sz="4" w:space="0" w:color="auto"/>
            </w:tcBorders>
            <w:shd w:val="clear" w:color="auto" w:fill="auto"/>
          </w:tcPr>
          <w:p w14:paraId="0994DA09" w14:textId="2EDC5199" w:rsidR="00D663F7" w:rsidRDefault="007B55CD" w:rsidP="00D663F7">
            <w:pPr>
              <w:keepNext/>
              <w:keepLines/>
              <w:jc w:val="both"/>
            </w:pPr>
            <w:r>
              <w:t>/s/ Gabriella Passidomo</w:t>
            </w:r>
            <w:bookmarkStart w:id="14" w:name="_GoBack"/>
            <w:bookmarkEnd w:id="14"/>
          </w:p>
        </w:tc>
      </w:tr>
      <w:bookmarkEnd w:id="13"/>
      <w:tr w:rsidR="00D663F7" w14:paraId="30A6BB1F" w14:textId="77777777" w:rsidTr="00D663F7">
        <w:tc>
          <w:tcPr>
            <w:tcW w:w="720" w:type="dxa"/>
            <w:shd w:val="clear" w:color="auto" w:fill="auto"/>
          </w:tcPr>
          <w:p w14:paraId="161F1416" w14:textId="77777777" w:rsidR="00D663F7" w:rsidRDefault="00D663F7" w:rsidP="00D663F7">
            <w:pPr>
              <w:keepNext/>
              <w:keepLines/>
              <w:jc w:val="both"/>
            </w:pPr>
          </w:p>
        </w:tc>
        <w:tc>
          <w:tcPr>
            <w:tcW w:w="4320" w:type="dxa"/>
            <w:tcBorders>
              <w:top w:val="single" w:sz="4" w:space="0" w:color="auto"/>
            </w:tcBorders>
            <w:shd w:val="clear" w:color="auto" w:fill="auto"/>
          </w:tcPr>
          <w:p w14:paraId="41525753" w14:textId="77777777" w:rsidR="00D663F7" w:rsidRDefault="00D663F7" w:rsidP="00D663F7">
            <w:pPr>
              <w:keepNext/>
              <w:keepLines/>
              <w:jc w:val="both"/>
            </w:pPr>
            <w:r>
              <w:t>Gabriella Passidomo</w:t>
            </w:r>
          </w:p>
          <w:p w14:paraId="0EECE1FF" w14:textId="77777777" w:rsidR="00D663F7" w:rsidRDefault="00D663F7" w:rsidP="00D663F7">
            <w:pPr>
              <w:keepNext/>
              <w:keepLines/>
              <w:jc w:val="both"/>
            </w:pPr>
            <w:r>
              <w:t>Commissioner and Prehearing Officer</w:t>
            </w:r>
          </w:p>
        </w:tc>
      </w:tr>
    </w:tbl>
    <w:p w14:paraId="076552AE" w14:textId="77777777" w:rsidR="00D663F7" w:rsidRDefault="00D663F7" w:rsidP="00D663F7">
      <w:pPr>
        <w:pStyle w:val="OrderSigInfo"/>
        <w:keepNext/>
        <w:keepLines/>
      </w:pPr>
      <w:r>
        <w:t>Florida Public Service Commission</w:t>
      </w:r>
    </w:p>
    <w:p w14:paraId="55219C73" w14:textId="77777777" w:rsidR="00D663F7" w:rsidRDefault="00D663F7" w:rsidP="00D663F7">
      <w:pPr>
        <w:pStyle w:val="OrderSigInfo"/>
        <w:keepNext/>
        <w:keepLines/>
      </w:pPr>
      <w:r>
        <w:t>2540 Shumard Oak Boulevard</w:t>
      </w:r>
    </w:p>
    <w:p w14:paraId="057BCD4F" w14:textId="77777777" w:rsidR="00D663F7" w:rsidRDefault="00D663F7" w:rsidP="00D663F7">
      <w:pPr>
        <w:pStyle w:val="OrderSigInfo"/>
        <w:keepNext/>
        <w:keepLines/>
      </w:pPr>
      <w:r>
        <w:t>Tallahassee, Florida 32399</w:t>
      </w:r>
    </w:p>
    <w:p w14:paraId="798007E4" w14:textId="77777777" w:rsidR="00D663F7" w:rsidRDefault="00D663F7" w:rsidP="00D663F7">
      <w:pPr>
        <w:pStyle w:val="OrderSigInfo"/>
        <w:keepNext/>
        <w:keepLines/>
      </w:pPr>
      <w:r>
        <w:t>(850) 413</w:t>
      </w:r>
      <w:r>
        <w:noBreakHyphen/>
        <w:t>6770</w:t>
      </w:r>
    </w:p>
    <w:p w14:paraId="3FBBBEDF" w14:textId="77777777" w:rsidR="00D663F7" w:rsidRDefault="00D663F7" w:rsidP="00D663F7">
      <w:pPr>
        <w:pStyle w:val="OrderSigInfo"/>
        <w:keepNext/>
        <w:keepLines/>
      </w:pPr>
      <w:r>
        <w:t>www.floridapsc.com</w:t>
      </w:r>
    </w:p>
    <w:p w14:paraId="20965365" w14:textId="77777777" w:rsidR="00D663F7" w:rsidRDefault="00D663F7" w:rsidP="00D663F7">
      <w:pPr>
        <w:pStyle w:val="OrderSigInfo"/>
        <w:keepNext/>
        <w:keepLines/>
      </w:pPr>
    </w:p>
    <w:p w14:paraId="420A1020" w14:textId="77777777" w:rsidR="00D663F7" w:rsidRDefault="00D663F7" w:rsidP="00D663F7">
      <w:pPr>
        <w:pStyle w:val="OrderSigInfo"/>
        <w:keepNext/>
        <w:keepLines/>
      </w:pPr>
      <w:r>
        <w:t>Copies furnished:  A copy of this document is provided to the parties of record at the time of issuance and, if applicable, interested persons.</w:t>
      </w:r>
    </w:p>
    <w:p w14:paraId="17196B94" w14:textId="3FCEED31" w:rsidR="00D663F7" w:rsidRDefault="00D663F7" w:rsidP="00D663F7">
      <w:pPr>
        <w:pStyle w:val="OrderBody"/>
        <w:keepNext/>
        <w:keepLines/>
      </w:pPr>
    </w:p>
    <w:p w14:paraId="006E3DC2" w14:textId="77777777" w:rsidR="00C607FA" w:rsidRDefault="00C607FA" w:rsidP="00D663F7">
      <w:pPr>
        <w:pStyle w:val="OrderBody"/>
        <w:keepNext/>
        <w:keepLines/>
      </w:pPr>
    </w:p>
    <w:p w14:paraId="5F0508BD" w14:textId="2C5A0300" w:rsidR="00D663F7" w:rsidRDefault="006E1F0C" w:rsidP="00D663F7">
      <w:pPr>
        <w:keepNext/>
        <w:keepLines/>
        <w:jc w:val="both"/>
      </w:pPr>
      <w:r>
        <w:t>MRT/RPS</w:t>
      </w:r>
    </w:p>
    <w:p w14:paraId="61D10924" w14:textId="77777777" w:rsidR="00F1504C" w:rsidRDefault="00F1504C" w:rsidP="00D663F7">
      <w:pPr>
        <w:jc w:val="both"/>
      </w:pPr>
    </w:p>
    <w:p w14:paraId="74FD488B" w14:textId="1138E30D" w:rsidR="006E1F0C" w:rsidRDefault="006E1F0C">
      <w:pPr>
        <w:rPr>
          <w:u w:val="single"/>
        </w:rPr>
      </w:pPr>
    </w:p>
    <w:p w14:paraId="3A8567B3" w14:textId="77777777" w:rsidR="00242699" w:rsidRDefault="00242699">
      <w:pPr>
        <w:rPr>
          <w:u w:val="single"/>
        </w:rPr>
      </w:pPr>
      <w:r>
        <w:br w:type="page"/>
      </w:r>
    </w:p>
    <w:p w14:paraId="2B589886" w14:textId="711E829B" w:rsidR="00D83CF4" w:rsidRDefault="00D83CF4" w:rsidP="00D83CF4">
      <w:pPr>
        <w:pStyle w:val="CenterUnderline"/>
      </w:pPr>
      <w:r>
        <w:lastRenderedPageBreak/>
        <w:t>NOTICE OF FURTHER PROCEEDINGS OR JUDICIAL REVIEW</w:t>
      </w:r>
    </w:p>
    <w:p w14:paraId="00E01C7C" w14:textId="77777777" w:rsidR="00D83CF4" w:rsidRDefault="00D83CF4" w:rsidP="00D83CF4">
      <w:pPr>
        <w:pStyle w:val="CenterUnderline"/>
        <w:rPr>
          <w:u w:val="none"/>
        </w:rPr>
      </w:pPr>
    </w:p>
    <w:p w14:paraId="30B15F52" w14:textId="77777777" w:rsidR="00D83CF4" w:rsidRDefault="00D83CF4" w:rsidP="00D83C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A28EF4" w14:textId="77777777" w:rsidR="00D83CF4" w:rsidRDefault="00D83CF4" w:rsidP="00D83CF4">
      <w:pPr>
        <w:pStyle w:val="OrderBody"/>
      </w:pPr>
    </w:p>
    <w:p w14:paraId="3A52F487" w14:textId="77777777" w:rsidR="00D83CF4" w:rsidRDefault="00D83CF4" w:rsidP="00D83CF4">
      <w:pPr>
        <w:pStyle w:val="OrderBody"/>
      </w:pPr>
      <w:r>
        <w:tab/>
        <w:t>Mediation may be available on a case-by-case basis.  If mediation is conducted, it does not affect a substantially interested person's right to a hearing.</w:t>
      </w:r>
    </w:p>
    <w:p w14:paraId="1B7BC4FC" w14:textId="77777777" w:rsidR="00D83CF4" w:rsidRDefault="00D83CF4" w:rsidP="00D83CF4">
      <w:pPr>
        <w:pStyle w:val="OrderBody"/>
      </w:pPr>
    </w:p>
    <w:p w14:paraId="7640C2EC" w14:textId="77777777" w:rsidR="005F2751" w:rsidRPr="00D94D7F" w:rsidRDefault="00D83CF4" w:rsidP="00685B4B">
      <w:pPr>
        <w:pStyle w:val="OrderBody"/>
        <w:rPr>
          <w:b/>
        </w:r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rsidRPr="00D94D7F">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FED6" w14:textId="77777777" w:rsidR="0097231F" w:rsidRDefault="0097231F">
      <w:r>
        <w:separator/>
      </w:r>
    </w:p>
  </w:endnote>
  <w:endnote w:type="continuationSeparator" w:id="0">
    <w:p w14:paraId="66512EFA" w14:textId="77777777" w:rsidR="0097231F" w:rsidRDefault="0097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8DF9" w14:textId="77777777" w:rsidR="0097231F" w:rsidRDefault="0097231F">
    <w:pPr>
      <w:pStyle w:val="Footer"/>
    </w:pPr>
  </w:p>
  <w:p w14:paraId="12CC6027" w14:textId="77777777" w:rsidR="0097231F" w:rsidRDefault="0097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E617" w14:textId="77777777" w:rsidR="0097231F" w:rsidRDefault="0097231F">
      <w:r>
        <w:separator/>
      </w:r>
    </w:p>
  </w:footnote>
  <w:footnote w:type="continuationSeparator" w:id="0">
    <w:p w14:paraId="28CC5CCC" w14:textId="77777777" w:rsidR="0097231F" w:rsidRDefault="0097231F">
      <w:r>
        <w:continuationSeparator/>
      </w:r>
    </w:p>
  </w:footnote>
  <w:footnote w:id="1">
    <w:p w14:paraId="3EDD6392" w14:textId="77777777" w:rsidR="0097231F" w:rsidRDefault="0097231F" w:rsidP="004D5857">
      <w:pPr>
        <w:pStyle w:val="FootnoteText"/>
      </w:pPr>
      <w:r>
        <w:rPr>
          <w:rStyle w:val="FootnoteReference"/>
        </w:rPr>
        <w:footnoteRef/>
      </w:r>
      <w:r>
        <w:t xml:space="preserve"> Docket No. 20220212-GU, </w:t>
      </w:r>
      <w:r w:rsidRPr="00105C44">
        <w:rPr>
          <w:i/>
        </w:rPr>
        <w:t xml:space="preserve">In re: </w:t>
      </w:r>
      <w:r w:rsidRPr="00DE62A8">
        <w:rPr>
          <w:i/>
        </w:rPr>
        <w:t>Petition for approval of depreciation rate and subaccount for renewable natural gas facilities leased to others, by Peoples Gas System</w:t>
      </w:r>
      <w:r>
        <w:rPr>
          <w:i/>
        </w:rPr>
        <w:t xml:space="preserve">; </w:t>
      </w:r>
      <w:r>
        <w:t xml:space="preserve">Docket No. </w:t>
      </w:r>
      <w:r w:rsidRPr="00DE62A8">
        <w:t>20220219-GU</w:t>
      </w:r>
      <w:r>
        <w:t xml:space="preserve">, </w:t>
      </w:r>
      <w:r w:rsidRPr="00105C44">
        <w:rPr>
          <w:i/>
        </w:rPr>
        <w:t xml:space="preserve">In re: </w:t>
      </w:r>
      <w:r w:rsidRPr="00DE62A8">
        <w:rPr>
          <w:i/>
        </w:rPr>
        <w:t>Petition for approval of 2022 depreciation study, by Peoples Gas System.</w:t>
      </w:r>
    </w:p>
  </w:footnote>
  <w:footnote w:id="2">
    <w:p w14:paraId="2968E40E" w14:textId="77777777" w:rsidR="0097231F" w:rsidRDefault="0097231F" w:rsidP="00242699">
      <w:pPr>
        <w:pStyle w:val="FootnoteText"/>
      </w:pPr>
      <w:r>
        <w:rPr>
          <w:rStyle w:val="FootnoteReference"/>
        </w:rPr>
        <w:footnoteRef/>
      </w:r>
      <w:r>
        <w:t xml:space="preserve"> The Office of Public Counsel’s (OPC’s) position on each Type 2 stipulation is as follows:</w:t>
      </w:r>
    </w:p>
    <w:p w14:paraId="3801C281" w14:textId="77777777" w:rsidR="0097231F" w:rsidRDefault="0097231F" w:rsidP="00242699">
      <w:pPr>
        <w:pStyle w:val="FootnoteText"/>
        <w:ind w:left="720" w:right="720"/>
      </w:pPr>
      <w:r w:rsidRPr="009C0870">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50AB" w14:textId="2D08BBBE" w:rsidR="0097231F" w:rsidRDefault="0097231F">
    <w:pPr>
      <w:pStyle w:val="OrderHeader"/>
    </w:pPr>
    <w:r>
      <w:t xml:space="preserve">ORDER NO. </w:t>
    </w:r>
    <w:fldSimple w:instr=" REF OrderNo0273 ">
      <w:r>
        <w:t>PSC-2023-0273-PHO-GU</w:t>
      </w:r>
    </w:fldSimple>
  </w:p>
  <w:p w14:paraId="05D4AF94" w14:textId="77777777" w:rsidR="0097231F" w:rsidRDefault="0097231F">
    <w:pPr>
      <w:pStyle w:val="OrderHeader"/>
    </w:pPr>
    <w:bookmarkStart w:id="15" w:name="HeaderDocketNo"/>
    <w:bookmarkEnd w:id="15"/>
    <w:r>
      <w:t>DOCKET NOS. 20230023-GU, 20220219-GU, 20220212-GU</w:t>
    </w:r>
  </w:p>
  <w:p w14:paraId="4B607331" w14:textId="6C05E3C1" w:rsidR="0097231F" w:rsidRDefault="00972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55CD">
      <w:rPr>
        <w:rStyle w:val="PageNumber"/>
        <w:noProof/>
      </w:rPr>
      <w:t>52</w:t>
    </w:r>
    <w:r>
      <w:rPr>
        <w:rStyle w:val="PageNumber"/>
      </w:rPr>
      <w:fldChar w:fldCharType="end"/>
    </w:r>
  </w:p>
  <w:p w14:paraId="4E300201" w14:textId="77777777" w:rsidR="0097231F" w:rsidRDefault="0097231F">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1C"/>
    <w:multiLevelType w:val="hybridMultilevel"/>
    <w:tmpl w:val="B25E6C58"/>
    <w:lvl w:ilvl="0" w:tplc="031EE18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3A30EE4"/>
    <w:multiLevelType w:val="hybridMultilevel"/>
    <w:tmpl w:val="19A2A690"/>
    <w:lvl w:ilvl="0" w:tplc="6398353E">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E0B31"/>
    <w:multiLevelType w:val="hybridMultilevel"/>
    <w:tmpl w:val="7C96FE94"/>
    <w:lvl w:ilvl="0" w:tplc="563A6EE4">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B6CD4"/>
    <w:multiLevelType w:val="hybridMultilevel"/>
    <w:tmpl w:val="99E8F1F8"/>
    <w:lvl w:ilvl="0" w:tplc="079A016C">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B1A6C"/>
    <w:multiLevelType w:val="hybridMultilevel"/>
    <w:tmpl w:val="DAD2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C5049"/>
    <w:multiLevelType w:val="hybridMultilevel"/>
    <w:tmpl w:val="A27E5D80"/>
    <w:lvl w:ilvl="0" w:tplc="76006E10">
      <w:start w:val="1"/>
      <w:numFmt w:val="decimal"/>
      <w:lvlText w:val="%1."/>
      <w:lvlJc w:val="left"/>
      <w:pPr>
        <w:ind w:left="216" w:hanging="216"/>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29161C"/>
    <w:rsid w:val="000022B8"/>
    <w:rsid w:val="00003883"/>
    <w:rsid w:val="00010F5C"/>
    <w:rsid w:val="00011251"/>
    <w:rsid w:val="00020AE0"/>
    <w:rsid w:val="00025C2A"/>
    <w:rsid w:val="00025C9D"/>
    <w:rsid w:val="0003433F"/>
    <w:rsid w:val="00035A8C"/>
    <w:rsid w:val="00035E63"/>
    <w:rsid w:val="00036BDD"/>
    <w:rsid w:val="00041FFD"/>
    <w:rsid w:val="00042441"/>
    <w:rsid w:val="00042C99"/>
    <w:rsid w:val="00045F27"/>
    <w:rsid w:val="00053AB9"/>
    <w:rsid w:val="00056229"/>
    <w:rsid w:val="00057AF1"/>
    <w:rsid w:val="000656E3"/>
    <w:rsid w:val="0006586E"/>
    <w:rsid w:val="00065FC2"/>
    <w:rsid w:val="00067685"/>
    <w:rsid w:val="00067B07"/>
    <w:rsid w:val="000725F0"/>
    <w:rsid w:val="000730D7"/>
    <w:rsid w:val="00076E6B"/>
    <w:rsid w:val="00081AE4"/>
    <w:rsid w:val="0008247D"/>
    <w:rsid w:val="0008684E"/>
    <w:rsid w:val="0008774E"/>
    <w:rsid w:val="00090AFC"/>
    <w:rsid w:val="00096507"/>
    <w:rsid w:val="000A027C"/>
    <w:rsid w:val="000A10E9"/>
    <w:rsid w:val="000A774F"/>
    <w:rsid w:val="000B36A2"/>
    <w:rsid w:val="000B783E"/>
    <w:rsid w:val="000B7D81"/>
    <w:rsid w:val="000C0D78"/>
    <w:rsid w:val="000C1714"/>
    <w:rsid w:val="000C1994"/>
    <w:rsid w:val="000C6926"/>
    <w:rsid w:val="000D02B8"/>
    <w:rsid w:val="000D06E8"/>
    <w:rsid w:val="000D52C1"/>
    <w:rsid w:val="000D6E65"/>
    <w:rsid w:val="000D78FB"/>
    <w:rsid w:val="000E050C"/>
    <w:rsid w:val="000E20F0"/>
    <w:rsid w:val="000E2593"/>
    <w:rsid w:val="000E344D"/>
    <w:rsid w:val="000E3F6D"/>
    <w:rsid w:val="000E4071"/>
    <w:rsid w:val="000F11F1"/>
    <w:rsid w:val="000F359F"/>
    <w:rsid w:val="000F3B2C"/>
    <w:rsid w:val="000F3F6C"/>
    <w:rsid w:val="000F63EB"/>
    <w:rsid w:val="000F648A"/>
    <w:rsid w:val="000F7BE3"/>
    <w:rsid w:val="00103190"/>
    <w:rsid w:val="0010402D"/>
    <w:rsid w:val="00104333"/>
    <w:rsid w:val="001052BA"/>
    <w:rsid w:val="001107B3"/>
    <w:rsid w:val="001114B1"/>
    <w:rsid w:val="001139D8"/>
    <w:rsid w:val="00116AA1"/>
    <w:rsid w:val="00116AD3"/>
    <w:rsid w:val="00121957"/>
    <w:rsid w:val="0012387E"/>
    <w:rsid w:val="001259EC"/>
    <w:rsid w:val="00126593"/>
    <w:rsid w:val="001326DD"/>
    <w:rsid w:val="00134177"/>
    <w:rsid w:val="00136087"/>
    <w:rsid w:val="00142A96"/>
    <w:rsid w:val="001513DE"/>
    <w:rsid w:val="00154A71"/>
    <w:rsid w:val="00162299"/>
    <w:rsid w:val="001655D4"/>
    <w:rsid w:val="00165803"/>
    <w:rsid w:val="001659BF"/>
    <w:rsid w:val="00187703"/>
    <w:rsid w:val="00187E32"/>
    <w:rsid w:val="00194A97"/>
    <w:rsid w:val="00194E81"/>
    <w:rsid w:val="001973E4"/>
    <w:rsid w:val="001A15E7"/>
    <w:rsid w:val="001A33C9"/>
    <w:rsid w:val="001A58F3"/>
    <w:rsid w:val="001B034E"/>
    <w:rsid w:val="001C2847"/>
    <w:rsid w:val="001C3524"/>
    <w:rsid w:val="001C3BB5"/>
    <w:rsid w:val="001C3F8C"/>
    <w:rsid w:val="001C6097"/>
    <w:rsid w:val="001C7126"/>
    <w:rsid w:val="001D008A"/>
    <w:rsid w:val="001D2CE4"/>
    <w:rsid w:val="001E0152"/>
    <w:rsid w:val="001E0FF5"/>
    <w:rsid w:val="001F0095"/>
    <w:rsid w:val="001F36B0"/>
    <w:rsid w:val="001F4CA3"/>
    <w:rsid w:val="001F59E0"/>
    <w:rsid w:val="002002ED"/>
    <w:rsid w:val="00200CA7"/>
    <w:rsid w:val="0020410B"/>
    <w:rsid w:val="002044DD"/>
    <w:rsid w:val="002170E5"/>
    <w:rsid w:val="002174C5"/>
    <w:rsid w:val="00220D57"/>
    <w:rsid w:val="00223B99"/>
    <w:rsid w:val="002247DD"/>
    <w:rsid w:val="0022721A"/>
    <w:rsid w:val="00230BB9"/>
    <w:rsid w:val="00233B9B"/>
    <w:rsid w:val="00240FE2"/>
    <w:rsid w:val="00241CEF"/>
    <w:rsid w:val="00242638"/>
    <w:rsid w:val="00242699"/>
    <w:rsid w:val="00244D85"/>
    <w:rsid w:val="0025124E"/>
    <w:rsid w:val="00252B30"/>
    <w:rsid w:val="00255291"/>
    <w:rsid w:val="00257F36"/>
    <w:rsid w:val="002613E4"/>
    <w:rsid w:val="00262C43"/>
    <w:rsid w:val="0026544B"/>
    <w:rsid w:val="00270F89"/>
    <w:rsid w:val="002755C4"/>
    <w:rsid w:val="00276CDC"/>
    <w:rsid w:val="00277655"/>
    <w:rsid w:val="002824B7"/>
    <w:rsid w:val="00282AC4"/>
    <w:rsid w:val="0029161C"/>
    <w:rsid w:val="00293DC9"/>
    <w:rsid w:val="00297C37"/>
    <w:rsid w:val="002A01AE"/>
    <w:rsid w:val="002A11AC"/>
    <w:rsid w:val="002A6F30"/>
    <w:rsid w:val="002B3111"/>
    <w:rsid w:val="002B6725"/>
    <w:rsid w:val="002C118E"/>
    <w:rsid w:val="002C1B4A"/>
    <w:rsid w:val="002C1FB0"/>
    <w:rsid w:val="002C2096"/>
    <w:rsid w:val="002C7908"/>
    <w:rsid w:val="002D391B"/>
    <w:rsid w:val="002D4B1F"/>
    <w:rsid w:val="002D6A0E"/>
    <w:rsid w:val="002D7D15"/>
    <w:rsid w:val="002E1B2E"/>
    <w:rsid w:val="002E27EB"/>
    <w:rsid w:val="002E4EF4"/>
    <w:rsid w:val="002F0F1C"/>
    <w:rsid w:val="002F1EBD"/>
    <w:rsid w:val="002F2A9D"/>
    <w:rsid w:val="002F31C2"/>
    <w:rsid w:val="002F7BF6"/>
    <w:rsid w:val="00303FDE"/>
    <w:rsid w:val="0031296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166B"/>
    <w:rsid w:val="00363FD2"/>
    <w:rsid w:val="0037196E"/>
    <w:rsid w:val="003722B6"/>
    <w:rsid w:val="003734ED"/>
    <w:rsid w:val="003744F5"/>
    <w:rsid w:val="00382C6A"/>
    <w:rsid w:val="003875A9"/>
    <w:rsid w:val="00387BDE"/>
    <w:rsid w:val="00390DD8"/>
    <w:rsid w:val="003911B1"/>
    <w:rsid w:val="00394DC6"/>
    <w:rsid w:val="00397C3E"/>
    <w:rsid w:val="003A0A44"/>
    <w:rsid w:val="003A6B53"/>
    <w:rsid w:val="003B1A09"/>
    <w:rsid w:val="003B2ED1"/>
    <w:rsid w:val="003B6F02"/>
    <w:rsid w:val="003B76EA"/>
    <w:rsid w:val="003C0431"/>
    <w:rsid w:val="003C29BB"/>
    <w:rsid w:val="003D2F45"/>
    <w:rsid w:val="003D3989"/>
    <w:rsid w:val="003D4CCA"/>
    <w:rsid w:val="003D52A6"/>
    <w:rsid w:val="003D6416"/>
    <w:rsid w:val="003E1D48"/>
    <w:rsid w:val="003E3704"/>
    <w:rsid w:val="003E711F"/>
    <w:rsid w:val="003F1D2B"/>
    <w:rsid w:val="003F2E68"/>
    <w:rsid w:val="003F49A6"/>
    <w:rsid w:val="003F518F"/>
    <w:rsid w:val="003F6BA7"/>
    <w:rsid w:val="003F7445"/>
    <w:rsid w:val="00407F16"/>
    <w:rsid w:val="00410B51"/>
    <w:rsid w:val="00411DF2"/>
    <w:rsid w:val="00411E8F"/>
    <w:rsid w:val="004247F5"/>
    <w:rsid w:val="0042527B"/>
    <w:rsid w:val="00427EAC"/>
    <w:rsid w:val="004431B4"/>
    <w:rsid w:val="0045537F"/>
    <w:rsid w:val="00457DC7"/>
    <w:rsid w:val="004640B3"/>
    <w:rsid w:val="00472BCC"/>
    <w:rsid w:val="00477699"/>
    <w:rsid w:val="004916B5"/>
    <w:rsid w:val="004977DD"/>
    <w:rsid w:val="004A25CD"/>
    <w:rsid w:val="004A26CC"/>
    <w:rsid w:val="004B2108"/>
    <w:rsid w:val="004B3A2B"/>
    <w:rsid w:val="004B70D3"/>
    <w:rsid w:val="004C312D"/>
    <w:rsid w:val="004D2D1B"/>
    <w:rsid w:val="004D4C00"/>
    <w:rsid w:val="004D5067"/>
    <w:rsid w:val="004D5857"/>
    <w:rsid w:val="004D6838"/>
    <w:rsid w:val="004D72BC"/>
    <w:rsid w:val="004E469D"/>
    <w:rsid w:val="004E7F4F"/>
    <w:rsid w:val="004F2DDE"/>
    <w:rsid w:val="004F5696"/>
    <w:rsid w:val="004F5A55"/>
    <w:rsid w:val="004F7826"/>
    <w:rsid w:val="004F7DF3"/>
    <w:rsid w:val="0050097F"/>
    <w:rsid w:val="00514B1F"/>
    <w:rsid w:val="005231F2"/>
    <w:rsid w:val="00523C5C"/>
    <w:rsid w:val="00524884"/>
    <w:rsid w:val="00525434"/>
    <w:rsid w:val="00525E93"/>
    <w:rsid w:val="0052671D"/>
    <w:rsid w:val="005300C0"/>
    <w:rsid w:val="00533EF6"/>
    <w:rsid w:val="00537D68"/>
    <w:rsid w:val="00540E6B"/>
    <w:rsid w:val="0054109E"/>
    <w:rsid w:val="0055595D"/>
    <w:rsid w:val="00556A10"/>
    <w:rsid w:val="00557F50"/>
    <w:rsid w:val="00571D3D"/>
    <w:rsid w:val="00576AC8"/>
    <w:rsid w:val="00580E78"/>
    <w:rsid w:val="0058264B"/>
    <w:rsid w:val="00582B55"/>
    <w:rsid w:val="00584253"/>
    <w:rsid w:val="00585FD7"/>
    <w:rsid w:val="00586368"/>
    <w:rsid w:val="005868AA"/>
    <w:rsid w:val="00590845"/>
    <w:rsid w:val="005963C2"/>
    <w:rsid w:val="005A0861"/>
    <w:rsid w:val="005A0D69"/>
    <w:rsid w:val="005A31F4"/>
    <w:rsid w:val="005A73EA"/>
    <w:rsid w:val="005B45F7"/>
    <w:rsid w:val="005B63EA"/>
    <w:rsid w:val="005C1A88"/>
    <w:rsid w:val="005C4EF7"/>
    <w:rsid w:val="005C5033"/>
    <w:rsid w:val="005D186A"/>
    <w:rsid w:val="005D4E1B"/>
    <w:rsid w:val="005E751B"/>
    <w:rsid w:val="005F2751"/>
    <w:rsid w:val="005F3354"/>
    <w:rsid w:val="005F4AD6"/>
    <w:rsid w:val="0060005E"/>
    <w:rsid w:val="0060095B"/>
    <w:rsid w:val="00601266"/>
    <w:rsid w:val="00610221"/>
    <w:rsid w:val="00610E73"/>
    <w:rsid w:val="00615F9B"/>
    <w:rsid w:val="00616DF2"/>
    <w:rsid w:val="0062385D"/>
    <w:rsid w:val="0062711E"/>
    <w:rsid w:val="00630814"/>
    <w:rsid w:val="0063168D"/>
    <w:rsid w:val="00635C79"/>
    <w:rsid w:val="00642515"/>
    <w:rsid w:val="006455DF"/>
    <w:rsid w:val="00647025"/>
    <w:rsid w:val="0064730A"/>
    <w:rsid w:val="00647E93"/>
    <w:rsid w:val="006507DA"/>
    <w:rsid w:val="006531A4"/>
    <w:rsid w:val="00660774"/>
    <w:rsid w:val="0066389A"/>
    <w:rsid w:val="0066495C"/>
    <w:rsid w:val="00665CC7"/>
    <w:rsid w:val="00672612"/>
    <w:rsid w:val="0067598C"/>
    <w:rsid w:val="00677F18"/>
    <w:rsid w:val="00685B4B"/>
    <w:rsid w:val="00693483"/>
    <w:rsid w:val="006A0BF3"/>
    <w:rsid w:val="006A1152"/>
    <w:rsid w:val="006B0036"/>
    <w:rsid w:val="006B0DA6"/>
    <w:rsid w:val="006B3FA9"/>
    <w:rsid w:val="006B7ADA"/>
    <w:rsid w:val="006C547E"/>
    <w:rsid w:val="006D2B51"/>
    <w:rsid w:val="006D5575"/>
    <w:rsid w:val="006D7191"/>
    <w:rsid w:val="006E1F0C"/>
    <w:rsid w:val="006E21C4"/>
    <w:rsid w:val="006E42BE"/>
    <w:rsid w:val="006E5D4D"/>
    <w:rsid w:val="006E6D16"/>
    <w:rsid w:val="006F69E2"/>
    <w:rsid w:val="006F71EF"/>
    <w:rsid w:val="00701AF6"/>
    <w:rsid w:val="00703F2A"/>
    <w:rsid w:val="0070461A"/>
    <w:rsid w:val="00704C5D"/>
    <w:rsid w:val="007072BC"/>
    <w:rsid w:val="00715275"/>
    <w:rsid w:val="00721B44"/>
    <w:rsid w:val="00721BF0"/>
    <w:rsid w:val="007232A2"/>
    <w:rsid w:val="00726366"/>
    <w:rsid w:val="00731AB6"/>
    <w:rsid w:val="00733B6B"/>
    <w:rsid w:val="00740808"/>
    <w:rsid w:val="007453D9"/>
    <w:rsid w:val="007467C4"/>
    <w:rsid w:val="0076170F"/>
    <w:rsid w:val="0076669C"/>
    <w:rsid w:val="00766E46"/>
    <w:rsid w:val="0077160E"/>
    <w:rsid w:val="00772CCB"/>
    <w:rsid w:val="00777727"/>
    <w:rsid w:val="00777F0C"/>
    <w:rsid w:val="0078166A"/>
    <w:rsid w:val="00782B79"/>
    <w:rsid w:val="00783811"/>
    <w:rsid w:val="007865E9"/>
    <w:rsid w:val="0079237D"/>
    <w:rsid w:val="00792383"/>
    <w:rsid w:val="00794D5A"/>
    <w:rsid w:val="00794DD9"/>
    <w:rsid w:val="00795EB2"/>
    <w:rsid w:val="00796A1C"/>
    <w:rsid w:val="007A060F"/>
    <w:rsid w:val="007B1C5E"/>
    <w:rsid w:val="007B350E"/>
    <w:rsid w:val="007B55CD"/>
    <w:rsid w:val="007C0FBC"/>
    <w:rsid w:val="007C29C9"/>
    <w:rsid w:val="007C35B8"/>
    <w:rsid w:val="007C36E3"/>
    <w:rsid w:val="007C3A8E"/>
    <w:rsid w:val="007C3ABB"/>
    <w:rsid w:val="007C7134"/>
    <w:rsid w:val="007C7ECF"/>
    <w:rsid w:val="007D3D20"/>
    <w:rsid w:val="007D44F9"/>
    <w:rsid w:val="007D742E"/>
    <w:rsid w:val="007E3AFD"/>
    <w:rsid w:val="007E41A0"/>
    <w:rsid w:val="007F1F3F"/>
    <w:rsid w:val="007F776F"/>
    <w:rsid w:val="00801DAD"/>
    <w:rsid w:val="00803189"/>
    <w:rsid w:val="00804E7A"/>
    <w:rsid w:val="00805FBB"/>
    <w:rsid w:val="00806C0F"/>
    <w:rsid w:val="00814292"/>
    <w:rsid w:val="008169A4"/>
    <w:rsid w:val="0082411D"/>
    <w:rsid w:val="008278FE"/>
    <w:rsid w:val="00832598"/>
    <w:rsid w:val="0083397E"/>
    <w:rsid w:val="0083534B"/>
    <w:rsid w:val="00837E68"/>
    <w:rsid w:val="00842035"/>
    <w:rsid w:val="00842602"/>
    <w:rsid w:val="008449F0"/>
    <w:rsid w:val="00845017"/>
    <w:rsid w:val="00846F11"/>
    <w:rsid w:val="00847B45"/>
    <w:rsid w:val="00863A66"/>
    <w:rsid w:val="00866FC8"/>
    <w:rsid w:val="008703D7"/>
    <w:rsid w:val="00874429"/>
    <w:rsid w:val="00875D22"/>
    <w:rsid w:val="008810FA"/>
    <w:rsid w:val="00883D9A"/>
    <w:rsid w:val="008919EF"/>
    <w:rsid w:val="00892B20"/>
    <w:rsid w:val="008931BC"/>
    <w:rsid w:val="0089695B"/>
    <w:rsid w:val="00897740"/>
    <w:rsid w:val="008A12EC"/>
    <w:rsid w:val="008B07F9"/>
    <w:rsid w:val="008B0DE7"/>
    <w:rsid w:val="008B14BE"/>
    <w:rsid w:val="008B19A6"/>
    <w:rsid w:val="008B2ADE"/>
    <w:rsid w:val="008B3A6B"/>
    <w:rsid w:val="008B4EFB"/>
    <w:rsid w:val="008C21C8"/>
    <w:rsid w:val="008C6375"/>
    <w:rsid w:val="008C6A5B"/>
    <w:rsid w:val="008D2EC4"/>
    <w:rsid w:val="008D441D"/>
    <w:rsid w:val="008D498D"/>
    <w:rsid w:val="008D6D36"/>
    <w:rsid w:val="008E0693"/>
    <w:rsid w:val="008E1978"/>
    <w:rsid w:val="008E26A5"/>
    <w:rsid w:val="008E42D2"/>
    <w:rsid w:val="008E6328"/>
    <w:rsid w:val="008E76C3"/>
    <w:rsid w:val="008F3F3C"/>
    <w:rsid w:val="008F578F"/>
    <w:rsid w:val="008F5D04"/>
    <w:rsid w:val="00902885"/>
    <w:rsid w:val="00903EAF"/>
    <w:rsid w:val="009040EE"/>
    <w:rsid w:val="009057FD"/>
    <w:rsid w:val="00906FBA"/>
    <w:rsid w:val="0091346C"/>
    <w:rsid w:val="009163E8"/>
    <w:rsid w:val="00921BD3"/>
    <w:rsid w:val="009228C7"/>
    <w:rsid w:val="00922A7F"/>
    <w:rsid w:val="00923A5E"/>
    <w:rsid w:val="00924FE7"/>
    <w:rsid w:val="00926E27"/>
    <w:rsid w:val="00931C8C"/>
    <w:rsid w:val="009369DF"/>
    <w:rsid w:val="009372CA"/>
    <w:rsid w:val="00943D21"/>
    <w:rsid w:val="0094504B"/>
    <w:rsid w:val="00945D59"/>
    <w:rsid w:val="00955609"/>
    <w:rsid w:val="00964A38"/>
    <w:rsid w:val="00966A9D"/>
    <w:rsid w:val="0096742B"/>
    <w:rsid w:val="00967C64"/>
    <w:rsid w:val="009718C5"/>
    <w:rsid w:val="0097231F"/>
    <w:rsid w:val="00976AFF"/>
    <w:rsid w:val="00986AED"/>
    <w:rsid w:val="009924CF"/>
    <w:rsid w:val="00992582"/>
    <w:rsid w:val="00994100"/>
    <w:rsid w:val="009A04B7"/>
    <w:rsid w:val="009A6B17"/>
    <w:rsid w:val="009B052E"/>
    <w:rsid w:val="009C0097"/>
    <w:rsid w:val="009C3046"/>
    <w:rsid w:val="009D48D9"/>
    <w:rsid w:val="009D4C29"/>
    <w:rsid w:val="009D68D5"/>
    <w:rsid w:val="009E58E9"/>
    <w:rsid w:val="009E6803"/>
    <w:rsid w:val="009F6AD2"/>
    <w:rsid w:val="009F7C1B"/>
    <w:rsid w:val="00A00B5B"/>
    <w:rsid w:val="00A00D8D"/>
    <w:rsid w:val="00A01BB6"/>
    <w:rsid w:val="00A108A7"/>
    <w:rsid w:val="00A21CD1"/>
    <w:rsid w:val="00A22B28"/>
    <w:rsid w:val="00A3351E"/>
    <w:rsid w:val="00A4303C"/>
    <w:rsid w:val="00A4526E"/>
    <w:rsid w:val="00A46CAF"/>
    <w:rsid w:val="00A470FD"/>
    <w:rsid w:val="00A50B5E"/>
    <w:rsid w:val="00A62DAB"/>
    <w:rsid w:val="00A6757A"/>
    <w:rsid w:val="00A726A6"/>
    <w:rsid w:val="00A74842"/>
    <w:rsid w:val="00A81340"/>
    <w:rsid w:val="00A8269A"/>
    <w:rsid w:val="00A83287"/>
    <w:rsid w:val="00A86A50"/>
    <w:rsid w:val="00A9178A"/>
    <w:rsid w:val="00A9515B"/>
    <w:rsid w:val="00A97535"/>
    <w:rsid w:val="00AA2BAA"/>
    <w:rsid w:val="00AA3E5A"/>
    <w:rsid w:val="00AA6516"/>
    <w:rsid w:val="00AA73F1"/>
    <w:rsid w:val="00AB0E1A"/>
    <w:rsid w:val="00AB1A30"/>
    <w:rsid w:val="00AB3C36"/>
    <w:rsid w:val="00AB3D30"/>
    <w:rsid w:val="00AC4B09"/>
    <w:rsid w:val="00AC4BF5"/>
    <w:rsid w:val="00AC5A01"/>
    <w:rsid w:val="00AD10EB"/>
    <w:rsid w:val="00AD1ED3"/>
    <w:rsid w:val="00AD3717"/>
    <w:rsid w:val="00AD5640"/>
    <w:rsid w:val="00B019C1"/>
    <w:rsid w:val="00B02001"/>
    <w:rsid w:val="00B03C50"/>
    <w:rsid w:val="00B0777D"/>
    <w:rsid w:val="00B11576"/>
    <w:rsid w:val="00B1195F"/>
    <w:rsid w:val="00B14D10"/>
    <w:rsid w:val="00B15BAE"/>
    <w:rsid w:val="00B17A29"/>
    <w:rsid w:val="00B209C7"/>
    <w:rsid w:val="00B3055D"/>
    <w:rsid w:val="00B3644F"/>
    <w:rsid w:val="00B4057A"/>
    <w:rsid w:val="00B40894"/>
    <w:rsid w:val="00B41039"/>
    <w:rsid w:val="00B42987"/>
    <w:rsid w:val="00B42E1B"/>
    <w:rsid w:val="00B444AE"/>
    <w:rsid w:val="00B45E75"/>
    <w:rsid w:val="00B50876"/>
    <w:rsid w:val="00B51074"/>
    <w:rsid w:val="00B54DAA"/>
    <w:rsid w:val="00B550F7"/>
    <w:rsid w:val="00B552E0"/>
    <w:rsid w:val="00B55AB0"/>
    <w:rsid w:val="00B55EE5"/>
    <w:rsid w:val="00B612FC"/>
    <w:rsid w:val="00B61D42"/>
    <w:rsid w:val="00B67A43"/>
    <w:rsid w:val="00B71D1F"/>
    <w:rsid w:val="00B72CFF"/>
    <w:rsid w:val="00B73DE6"/>
    <w:rsid w:val="00B761CD"/>
    <w:rsid w:val="00B76B66"/>
    <w:rsid w:val="00B80BE3"/>
    <w:rsid w:val="00B8224A"/>
    <w:rsid w:val="00B86EF0"/>
    <w:rsid w:val="00B96969"/>
    <w:rsid w:val="00B97900"/>
    <w:rsid w:val="00BA1229"/>
    <w:rsid w:val="00BA148C"/>
    <w:rsid w:val="00BA44A8"/>
    <w:rsid w:val="00BA49C5"/>
    <w:rsid w:val="00BA6791"/>
    <w:rsid w:val="00BB0182"/>
    <w:rsid w:val="00BB2F4A"/>
    <w:rsid w:val="00BC786E"/>
    <w:rsid w:val="00BD5C92"/>
    <w:rsid w:val="00BD6B0A"/>
    <w:rsid w:val="00BD6CBA"/>
    <w:rsid w:val="00BE375B"/>
    <w:rsid w:val="00BE50E6"/>
    <w:rsid w:val="00BE7A0C"/>
    <w:rsid w:val="00BF2928"/>
    <w:rsid w:val="00BF514E"/>
    <w:rsid w:val="00BF5D60"/>
    <w:rsid w:val="00BF6691"/>
    <w:rsid w:val="00C028FC"/>
    <w:rsid w:val="00C037F2"/>
    <w:rsid w:val="00C0386D"/>
    <w:rsid w:val="00C05563"/>
    <w:rsid w:val="00C065A1"/>
    <w:rsid w:val="00C06AD6"/>
    <w:rsid w:val="00C10ED5"/>
    <w:rsid w:val="00C12574"/>
    <w:rsid w:val="00C151A6"/>
    <w:rsid w:val="00C24098"/>
    <w:rsid w:val="00C30A4E"/>
    <w:rsid w:val="00C33F6C"/>
    <w:rsid w:val="00C40DB6"/>
    <w:rsid w:val="00C411F3"/>
    <w:rsid w:val="00C4305D"/>
    <w:rsid w:val="00C44105"/>
    <w:rsid w:val="00C45C8C"/>
    <w:rsid w:val="00C523EC"/>
    <w:rsid w:val="00C538FA"/>
    <w:rsid w:val="00C55A33"/>
    <w:rsid w:val="00C607FA"/>
    <w:rsid w:val="00C64D49"/>
    <w:rsid w:val="00C66692"/>
    <w:rsid w:val="00C673B5"/>
    <w:rsid w:val="00C7063D"/>
    <w:rsid w:val="00C72339"/>
    <w:rsid w:val="00C810C8"/>
    <w:rsid w:val="00C830BC"/>
    <w:rsid w:val="00C84324"/>
    <w:rsid w:val="00C84D1B"/>
    <w:rsid w:val="00C8524D"/>
    <w:rsid w:val="00C90904"/>
    <w:rsid w:val="00C91123"/>
    <w:rsid w:val="00CA71FF"/>
    <w:rsid w:val="00CB2393"/>
    <w:rsid w:val="00CB5276"/>
    <w:rsid w:val="00CB57B0"/>
    <w:rsid w:val="00CB5BFC"/>
    <w:rsid w:val="00CB68D7"/>
    <w:rsid w:val="00CB785B"/>
    <w:rsid w:val="00CC637A"/>
    <w:rsid w:val="00CC7E68"/>
    <w:rsid w:val="00CD3D74"/>
    <w:rsid w:val="00CD7132"/>
    <w:rsid w:val="00CD71A7"/>
    <w:rsid w:val="00CE0E6F"/>
    <w:rsid w:val="00CE3B21"/>
    <w:rsid w:val="00CE56FC"/>
    <w:rsid w:val="00CE7A4D"/>
    <w:rsid w:val="00CF32D2"/>
    <w:rsid w:val="00CF4CFE"/>
    <w:rsid w:val="00D00E8E"/>
    <w:rsid w:val="00D02E0F"/>
    <w:rsid w:val="00D03AB1"/>
    <w:rsid w:val="00D03EE8"/>
    <w:rsid w:val="00D13535"/>
    <w:rsid w:val="00D15497"/>
    <w:rsid w:val="00D17B79"/>
    <w:rsid w:val="00D205F5"/>
    <w:rsid w:val="00D218B1"/>
    <w:rsid w:val="00D2397D"/>
    <w:rsid w:val="00D23FEA"/>
    <w:rsid w:val="00D269CA"/>
    <w:rsid w:val="00D30B48"/>
    <w:rsid w:val="00D3168A"/>
    <w:rsid w:val="00D350D1"/>
    <w:rsid w:val="00D46FAA"/>
    <w:rsid w:val="00D47A40"/>
    <w:rsid w:val="00D51D33"/>
    <w:rsid w:val="00D57BB2"/>
    <w:rsid w:val="00D57E57"/>
    <w:rsid w:val="00D663F7"/>
    <w:rsid w:val="00D70752"/>
    <w:rsid w:val="00D80E2D"/>
    <w:rsid w:val="00D82CD4"/>
    <w:rsid w:val="00D83CF4"/>
    <w:rsid w:val="00D84D5E"/>
    <w:rsid w:val="00D851AC"/>
    <w:rsid w:val="00D8560E"/>
    <w:rsid w:val="00D8758F"/>
    <w:rsid w:val="00D94D7F"/>
    <w:rsid w:val="00D97451"/>
    <w:rsid w:val="00DA0BD1"/>
    <w:rsid w:val="00DA14BC"/>
    <w:rsid w:val="00DA4EDD"/>
    <w:rsid w:val="00DA6B78"/>
    <w:rsid w:val="00DB122B"/>
    <w:rsid w:val="00DB16F3"/>
    <w:rsid w:val="00DC1D94"/>
    <w:rsid w:val="00DC31BF"/>
    <w:rsid w:val="00DC42CF"/>
    <w:rsid w:val="00DC738A"/>
    <w:rsid w:val="00DC79D7"/>
    <w:rsid w:val="00DD1EAB"/>
    <w:rsid w:val="00DD382A"/>
    <w:rsid w:val="00DD52E6"/>
    <w:rsid w:val="00DD592E"/>
    <w:rsid w:val="00DE057F"/>
    <w:rsid w:val="00DE2082"/>
    <w:rsid w:val="00DE2289"/>
    <w:rsid w:val="00DE638F"/>
    <w:rsid w:val="00DF09A7"/>
    <w:rsid w:val="00DF2B51"/>
    <w:rsid w:val="00E001D6"/>
    <w:rsid w:val="00E03A76"/>
    <w:rsid w:val="00E043D6"/>
    <w:rsid w:val="00E04410"/>
    <w:rsid w:val="00E049AA"/>
    <w:rsid w:val="00E07484"/>
    <w:rsid w:val="00E11351"/>
    <w:rsid w:val="00E17D45"/>
    <w:rsid w:val="00E27F14"/>
    <w:rsid w:val="00E33F44"/>
    <w:rsid w:val="00E37D48"/>
    <w:rsid w:val="00E4225C"/>
    <w:rsid w:val="00E44879"/>
    <w:rsid w:val="00E72914"/>
    <w:rsid w:val="00E75AE0"/>
    <w:rsid w:val="00E80956"/>
    <w:rsid w:val="00E838CD"/>
    <w:rsid w:val="00E83C1F"/>
    <w:rsid w:val="00E85684"/>
    <w:rsid w:val="00E86192"/>
    <w:rsid w:val="00E873CD"/>
    <w:rsid w:val="00E8794B"/>
    <w:rsid w:val="00E97656"/>
    <w:rsid w:val="00EA004A"/>
    <w:rsid w:val="00EA172C"/>
    <w:rsid w:val="00EA259B"/>
    <w:rsid w:val="00EA35A3"/>
    <w:rsid w:val="00EA3E6A"/>
    <w:rsid w:val="00EB18EF"/>
    <w:rsid w:val="00EB58F4"/>
    <w:rsid w:val="00EB7951"/>
    <w:rsid w:val="00EB79ED"/>
    <w:rsid w:val="00EC4766"/>
    <w:rsid w:val="00ED4B49"/>
    <w:rsid w:val="00ED6A79"/>
    <w:rsid w:val="00EE17DF"/>
    <w:rsid w:val="00EF1482"/>
    <w:rsid w:val="00EF2FA2"/>
    <w:rsid w:val="00EF4621"/>
    <w:rsid w:val="00EF4D52"/>
    <w:rsid w:val="00EF6312"/>
    <w:rsid w:val="00F038B0"/>
    <w:rsid w:val="00F05F34"/>
    <w:rsid w:val="00F1504C"/>
    <w:rsid w:val="00F173F3"/>
    <w:rsid w:val="00F22B27"/>
    <w:rsid w:val="00F234A7"/>
    <w:rsid w:val="00F277B6"/>
    <w:rsid w:val="00F27DA5"/>
    <w:rsid w:val="00F347A3"/>
    <w:rsid w:val="00F37E07"/>
    <w:rsid w:val="00F4182A"/>
    <w:rsid w:val="00F54380"/>
    <w:rsid w:val="00F54B47"/>
    <w:rsid w:val="00F61247"/>
    <w:rsid w:val="00F61F61"/>
    <w:rsid w:val="00F63191"/>
    <w:rsid w:val="00F6702E"/>
    <w:rsid w:val="00F70E84"/>
    <w:rsid w:val="00F80685"/>
    <w:rsid w:val="00F8347B"/>
    <w:rsid w:val="00F94968"/>
    <w:rsid w:val="00F952F5"/>
    <w:rsid w:val="00FA092B"/>
    <w:rsid w:val="00FA4F6C"/>
    <w:rsid w:val="00FA6EFD"/>
    <w:rsid w:val="00FB3791"/>
    <w:rsid w:val="00FB6780"/>
    <w:rsid w:val="00FB74EA"/>
    <w:rsid w:val="00FD0ADB"/>
    <w:rsid w:val="00FD2C9E"/>
    <w:rsid w:val="00FD4786"/>
    <w:rsid w:val="00FD616C"/>
    <w:rsid w:val="00FD6386"/>
    <w:rsid w:val="00FE50B9"/>
    <w:rsid w:val="00FE53F2"/>
    <w:rsid w:val="00FF0A00"/>
    <w:rsid w:val="00FF1C57"/>
    <w:rsid w:val="00FF2581"/>
    <w:rsid w:val="00FF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41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17D45"/>
    <w:pPr>
      <w:ind w:left="720"/>
      <w:contextualSpacing/>
      <w:jc w:val="both"/>
    </w:pPr>
    <w:rPr>
      <w:szCs w:val="20"/>
    </w:rPr>
  </w:style>
  <w:style w:type="character" w:styleId="CommentReference">
    <w:name w:val="annotation reference"/>
    <w:basedOn w:val="DefaultParagraphFont"/>
    <w:uiPriority w:val="99"/>
    <w:semiHidden/>
    <w:unhideWhenUsed/>
    <w:rsid w:val="004D5857"/>
    <w:rPr>
      <w:sz w:val="16"/>
      <w:szCs w:val="16"/>
    </w:rPr>
  </w:style>
  <w:style w:type="paragraph" w:styleId="CommentText">
    <w:name w:val="annotation text"/>
    <w:basedOn w:val="Normal"/>
    <w:link w:val="CommentTextChar"/>
    <w:uiPriority w:val="99"/>
    <w:semiHidden/>
    <w:unhideWhenUsed/>
    <w:rsid w:val="004D5857"/>
    <w:rPr>
      <w:sz w:val="20"/>
      <w:szCs w:val="20"/>
    </w:rPr>
  </w:style>
  <w:style w:type="character" w:customStyle="1" w:styleId="CommentTextChar">
    <w:name w:val="Comment Text Char"/>
    <w:basedOn w:val="DefaultParagraphFont"/>
    <w:link w:val="CommentText"/>
    <w:uiPriority w:val="99"/>
    <w:semiHidden/>
    <w:rsid w:val="004D5857"/>
  </w:style>
  <w:style w:type="paragraph" w:styleId="CommentSubject">
    <w:name w:val="annotation subject"/>
    <w:basedOn w:val="CommentText"/>
    <w:next w:val="CommentText"/>
    <w:link w:val="CommentSubjectChar"/>
    <w:semiHidden/>
    <w:unhideWhenUsed/>
    <w:rsid w:val="004D5857"/>
    <w:rPr>
      <w:b/>
      <w:bCs/>
    </w:rPr>
  </w:style>
  <w:style w:type="character" w:customStyle="1" w:styleId="CommentSubjectChar">
    <w:name w:val="Comment Subject Char"/>
    <w:basedOn w:val="CommentTextChar"/>
    <w:link w:val="CommentSubject"/>
    <w:semiHidden/>
    <w:rsid w:val="004D5857"/>
    <w:rPr>
      <w:b/>
      <w:bCs/>
    </w:rPr>
  </w:style>
  <w:style w:type="paragraph" w:styleId="BalloonText">
    <w:name w:val="Balloon Text"/>
    <w:basedOn w:val="Normal"/>
    <w:link w:val="BalloonTextChar"/>
    <w:semiHidden/>
    <w:unhideWhenUsed/>
    <w:rsid w:val="004D5857"/>
    <w:rPr>
      <w:rFonts w:ascii="Segoe UI" w:hAnsi="Segoe UI" w:cs="Segoe UI"/>
      <w:sz w:val="18"/>
      <w:szCs w:val="18"/>
    </w:rPr>
  </w:style>
  <w:style w:type="character" w:customStyle="1" w:styleId="BalloonTextChar">
    <w:name w:val="Balloon Text Char"/>
    <w:basedOn w:val="DefaultParagraphFont"/>
    <w:link w:val="BalloonText"/>
    <w:semiHidden/>
    <w:rsid w:val="004D5857"/>
    <w:rPr>
      <w:rFonts w:ascii="Segoe UI" w:hAnsi="Segoe UI" w:cs="Segoe UI"/>
      <w:sz w:val="18"/>
      <w:szCs w:val="18"/>
    </w:rPr>
  </w:style>
  <w:style w:type="paragraph" w:customStyle="1" w:styleId="Level2">
    <w:name w:val="Level 2"/>
    <w:rsid w:val="0031296E"/>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24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png@01D9D681.63E0C3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52</Pages>
  <Words>14170</Words>
  <Characters>80771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2023-08-28T15:35:00Z</dcterms:created>
  <dcterms:modified xsi:type="dcterms:W3CDTF">2023-08-28T16:44:00Z</dcterms:modified>
</cp:coreProperties>
</file>