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D9AF" w14:textId="0BF54F79" w:rsidR="00EA7B4F" w:rsidRPr="00612272" w:rsidRDefault="00EA7B4F" w:rsidP="00EA7B4F">
      <w:pPr>
        <w:pStyle w:val="sectionname"/>
        <w:pBdr>
          <w:bottom w:val="none" w:sz="0" w:space="0" w:color="auto"/>
        </w:pBdr>
        <w:rPr>
          <w:rFonts w:eastAsia="Times New Roman"/>
          <w:color w:val="auto"/>
          <w:sz w:val="22"/>
          <w:szCs w:val="22"/>
        </w:rPr>
      </w:pPr>
      <w:bookmarkStart w:id="0" w:name="_Toc474771100"/>
      <w:bookmarkStart w:id="1" w:name="_Toc475529559"/>
      <w:bookmarkStart w:id="2" w:name="_Toc536023075"/>
      <w:r>
        <w:rPr>
          <w:rFonts w:eastAsia="Times New Roman"/>
          <w:color w:val="auto"/>
          <w:sz w:val="22"/>
          <w:szCs w:val="22"/>
        </w:rPr>
        <w:t>Gregg Therrien</w:t>
      </w:r>
    </w:p>
    <w:p w14:paraId="542C088E" w14:textId="77777777" w:rsidR="00EA7B4F" w:rsidRPr="00612272" w:rsidRDefault="00EA7B4F" w:rsidP="00EA7B4F">
      <w:pPr>
        <w:pStyle w:val="sectionname"/>
        <w:pBdr>
          <w:bottom w:val="none" w:sz="0" w:space="0" w:color="auto"/>
        </w:pBdr>
        <w:rPr>
          <w:rFonts w:eastAsia="Times New Roman"/>
          <w:b w:val="0"/>
          <w:caps w:val="0"/>
          <w:sz w:val="22"/>
          <w:szCs w:val="22"/>
        </w:rPr>
      </w:pPr>
      <w:r w:rsidRPr="00612272">
        <w:rPr>
          <w:rFonts w:ascii="Cambria" w:eastAsia="Times New Roman" w:hAnsi="Cambria" w:cs="Times New Roman"/>
          <w:caps w:val="0"/>
          <w:noProof/>
          <w:color w:val="404040"/>
          <w:sz w:val="22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C8C2AB7" wp14:editId="384F86D2">
                <wp:simplePos x="0" y="0"/>
                <wp:positionH relativeFrom="margin">
                  <wp:posOffset>-85725</wp:posOffset>
                </wp:positionH>
                <wp:positionV relativeFrom="paragraph">
                  <wp:posOffset>290195</wp:posOffset>
                </wp:positionV>
                <wp:extent cx="5967095" cy="33432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334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7FBD0" w14:textId="77777777" w:rsidR="00EA7B4F" w:rsidRDefault="00EA7B4F" w:rsidP="00EA7B4F">
                            <w:pPr>
                              <w:pBdr>
                                <w:top w:val="single" w:sz="24" w:space="8" w:color="860000"/>
                                <w:bottom w:val="single" w:sz="24" w:space="8" w:color="860000"/>
                              </w:pBdr>
                              <w:suppressAutoHyphens/>
                              <w:spacing w:line="264" w:lineRule="auto"/>
                              <w:jc w:val="both"/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</w:pP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Mr. Therrien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provides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regulatory strateg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y 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financial 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rate case 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expertise to regulated and unregulated entities in the natural gas, electric, and water industries.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Since joining Concentric in 2016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,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Mr. Therrien has performed a multitude of 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consulting 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engagements including 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expert testimony on the subjects of allocated cost of service, rate design, rate consolidation, alternative rate plans, decoupling,</w:t>
                            </w:r>
                            <w:r w:rsidRPr="00FD3F5C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revenue requirements, and natural gas infrastructure replacement programs.  Other engagements include 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merger and acquisition due diligence,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electric power plant retirement analysis (including securitization),</w:t>
                            </w:r>
                            <w:r w:rsidRPr="007C0A37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billing system and rate mechanism audits,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natural gas storage rate analysis, solar/renewable project evaluation, line extension policies, 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power procurement advisory services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, i</w:t>
                            </w:r>
                            <w:r w:rsidRPr="003E2142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nterstate pipeline rate settlement assistanc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e and 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tariff writing and administration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.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</w:t>
                            </w:r>
                          </w:p>
                          <w:p w14:paraId="0C942DBD" w14:textId="77777777" w:rsidR="00EA7B4F" w:rsidRDefault="00EA7B4F" w:rsidP="00EA7B4F">
                            <w:pPr>
                              <w:pBdr>
                                <w:top w:val="single" w:sz="24" w:space="8" w:color="860000"/>
                                <w:bottom w:val="single" w:sz="24" w:space="8" w:color="860000"/>
                              </w:pBdr>
                              <w:suppressAutoHyphens/>
                              <w:spacing w:line="264" w:lineRule="auto"/>
                              <w:jc w:val="both"/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Prior to entering consulting Mr. Therrien held previous leadership level positions at Connecticut Natural Gas Corporation and its affiliated companies for over 19 years. H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formerly 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served as Director, Gas Construction at Connecticut Natural Gas and The Southern Connecticut Gas Company and Director, Regulatory &amp; Tariffs at UIL Holdings, Inc.</w:t>
                            </w:r>
                          </w:p>
                          <w:p w14:paraId="2BAB509A" w14:textId="77777777" w:rsidR="00EA7B4F" w:rsidRDefault="00EA7B4F" w:rsidP="00EA7B4F">
                            <w:pPr>
                              <w:pBdr>
                                <w:top w:val="single" w:sz="24" w:space="8" w:color="860000"/>
                                <w:bottom w:val="single" w:sz="24" w:space="8" w:color="860000"/>
                              </w:pBdr>
                              <w:suppressAutoHyphens/>
                              <w:spacing w:line="264" w:lineRule="auto"/>
                              <w:jc w:val="both"/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</w:pP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Mr. Therrien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holds 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an M.B.A. from the University of Connecticut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,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 a B.S. in Finance from Bryant University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 xml:space="preserve">, and is </w:t>
                            </w:r>
                            <w:r w:rsidRPr="00A72D65"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certified Project Management Professional (PMP</w:t>
                            </w:r>
                            <w:r>
                              <w:rPr>
                                <w:rFonts w:ascii="Century Gothic" w:hAnsi="Century Gothic"/>
                                <w:iCs/>
                                <w:color w:val="400000"/>
                                <w:kern w:val="20"/>
                                <w:sz w:val="20"/>
                                <w:szCs w:val="24"/>
                                <w14:ligatures w14:val="standard"/>
                                <w14:numSpacing w14:val="proportional"/>
                                <w14:cntxtAlts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C2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2.85pt;width:469.85pt;height:263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" filled="f" stroked="f">
                <v:textbox>
                  <w:txbxContent>
                    <w:p w14:paraId="4847FBD0" w14:textId="77777777" w:rsidR="00EA7B4F" w:rsidRDefault="00EA7B4F" w:rsidP="00EA7B4F">
                      <w:pPr>
                        <w:pBdr>
                          <w:top w:val="single" w:sz="24" w:space="8" w:color="860000"/>
                          <w:bottom w:val="single" w:sz="24" w:space="8" w:color="860000"/>
                        </w:pBdr>
                        <w:suppressAutoHyphens/>
                        <w:spacing w:line="264" w:lineRule="auto"/>
                        <w:jc w:val="both"/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</w:pP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Mr. Therrien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provides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regulatory strateg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y 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and 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financial 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rate case 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expertise to regulated and unregulated entities in the natural gas, electric, and water industries.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Since joining Concentric in 2016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,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Mr. Therrien has performed a multitude of 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consulting 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engagements including 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expert testimony on the subjects of allocated cost of service, rate design, rate consolidation, alternative rate plans, decoupling,</w:t>
                      </w:r>
                      <w:r w:rsidRPr="00FD3F5C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revenue requirements, and natural gas infrastructure replacement programs.  Other engagements include 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merger and acquisition due diligence,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electric power plant retirement analysis (including securitization),</w:t>
                      </w:r>
                      <w:r w:rsidRPr="007C0A37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billing system and rate mechanism audits,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natural gas storage rate analysis, solar/renewable project evaluation, line extension policies, 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power procurement advisory services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, i</w:t>
                      </w:r>
                      <w:r w:rsidRPr="003E2142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nterstate pipeline rate settlement assistanc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e and 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tariff writing and administration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.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</w:t>
                      </w:r>
                    </w:p>
                    <w:p w14:paraId="0C942DBD" w14:textId="77777777" w:rsidR="00EA7B4F" w:rsidRDefault="00EA7B4F" w:rsidP="00EA7B4F">
                      <w:pPr>
                        <w:pBdr>
                          <w:top w:val="single" w:sz="24" w:space="8" w:color="860000"/>
                          <w:bottom w:val="single" w:sz="24" w:space="8" w:color="860000"/>
                        </w:pBdr>
                        <w:suppressAutoHyphens/>
                        <w:spacing w:line="264" w:lineRule="auto"/>
                        <w:jc w:val="both"/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</w:pP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Prior to entering consulting Mr. Therrien held previous leadership level positions at Connecticut Natural Gas Corporation and its affiliated companies for over 19 years. H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e 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formerly 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served as Director, Gas Construction at Connecticut Natural Gas and The Southern Connecticut Gas Company and Director, Regulatory &amp; Tariffs at UIL Holdings, Inc.</w:t>
                      </w:r>
                    </w:p>
                    <w:p w14:paraId="2BAB509A" w14:textId="77777777" w:rsidR="00EA7B4F" w:rsidRDefault="00EA7B4F" w:rsidP="00EA7B4F">
                      <w:pPr>
                        <w:pBdr>
                          <w:top w:val="single" w:sz="24" w:space="8" w:color="860000"/>
                          <w:bottom w:val="single" w:sz="24" w:space="8" w:color="860000"/>
                        </w:pBdr>
                        <w:suppressAutoHyphens/>
                        <w:spacing w:line="264" w:lineRule="auto"/>
                        <w:jc w:val="both"/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</w:pP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Mr. Therrien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holds 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an M.B.A. from the University of Connecticut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,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 a B.S. in Finance from Bryant University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 xml:space="preserve">, and is </w:t>
                      </w:r>
                      <w:r w:rsidRPr="00A72D65"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certified Project Management Professional (PMP</w:t>
                      </w:r>
                      <w:r>
                        <w:rPr>
                          <w:rFonts w:ascii="Century Gothic" w:hAnsi="Century Gothic"/>
                          <w:iCs/>
                          <w:color w:val="400000"/>
                          <w:kern w:val="20"/>
                          <w:sz w:val="20"/>
                          <w:szCs w:val="24"/>
                          <w14:ligatures w14:val="standard"/>
                          <w14:numSpacing w14:val="proportional"/>
                          <w14:cntxtAlts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/>
          <w:b w:val="0"/>
          <w:caps w:val="0"/>
          <w:sz w:val="22"/>
          <w:szCs w:val="22"/>
        </w:rPr>
        <w:t>Vice President</w:t>
      </w:r>
    </w:p>
    <w:p w14:paraId="385124B3" w14:textId="77777777" w:rsidR="00EA7B4F" w:rsidRDefault="00EA7B4F" w:rsidP="00EA7B4F">
      <w:pPr>
        <w:pStyle w:val="Subheading1"/>
        <w:spacing w:after="0" w:line="257" w:lineRule="auto"/>
        <w:rPr>
          <w:caps/>
        </w:rPr>
      </w:pPr>
      <w:r w:rsidRPr="001B7B53">
        <w:rPr>
          <w:caps/>
        </w:rPr>
        <w:t>Representative Project Experience</w:t>
      </w:r>
    </w:p>
    <w:p w14:paraId="1BF9BD33" w14:textId="77777777" w:rsidR="00EA7B4F" w:rsidRDefault="00EA7B4F" w:rsidP="00EA7B4F">
      <w:pPr>
        <w:pStyle w:val="Subheading2"/>
        <w:spacing w:before="80" w:line="257" w:lineRule="auto"/>
        <w:jc w:val="left"/>
        <w:rPr>
          <w:sz w:val="20"/>
        </w:rPr>
      </w:pPr>
      <w:r>
        <w:rPr>
          <w:sz w:val="20"/>
        </w:rPr>
        <w:t>Consultancy</w:t>
      </w:r>
    </w:p>
    <w:p w14:paraId="56DBFCA8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Regulatory risk assessments</w:t>
      </w:r>
    </w:p>
    <w:p w14:paraId="50789C89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 xml:space="preserve">Gas infrastructure replacement program </w:t>
      </w:r>
      <w:r>
        <w:rPr>
          <w:rFonts w:ascii="Cambria" w:eastAsia="Times New Roman" w:hAnsi="Cambria" w:cs="Times New Roman"/>
        </w:rPr>
        <w:t xml:space="preserve">benchmarking, </w:t>
      </w:r>
      <w:r w:rsidRPr="001B1852">
        <w:rPr>
          <w:rFonts w:ascii="Cambria" w:eastAsia="Times New Roman" w:hAnsi="Cambria" w:cs="Times New Roman"/>
        </w:rPr>
        <w:t>technical</w:t>
      </w:r>
      <w:r>
        <w:rPr>
          <w:rFonts w:ascii="Cambria" w:eastAsia="Times New Roman" w:hAnsi="Cambria" w:cs="Times New Roman"/>
        </w:rPr>
        <w:t xml:space="preserve"> </w:t>
      </w:r>
      <w:r w:rsidRPr="001B1852">
        <w:rPr>
          <w:rFonts w:ascii="Cambria" w:eastAsia="Times New Roman" w:hAnsi="Cambria" w:cs="Times New Roman"/>
        </w:rPr>
        <w:t>and financial analysis</w:t>
      </w:r>
      <w:r>
        <w:rPr>
          <w:rFonts w:ascii="Cambria" w:eastAsia="Times New Roman" w:hAnsi="Cambria" w:cs="Times New Roman"/>
        </w:rPr>
        <w:t>,</w:t>
      </w:r>
      <w:r w:rsidRPr="001B1852">
        <w:rPr>
          <w:rFonts w:ascii="Cambria" w:eastAsia="Times New Roman" w:hAnsi="Cambria" w:cs="Times New Roman"/>
        </w:rPr>
        <w:t xml:space="preserve"> and </w:t>
      </w:r>
      <w:r>
        <w:rPr>
          <w:rFonts w:ascii="Cambria" w:eastAsia="Times New Roman" w:hAnsi="Cambria" w:cs="Times New Roman"/>
        </w:rPr>
        <w:t xml:space="preserve">expert </w:t>
      </w:r>
      <w:r w:rsidRPr="001B1852">
        <w:rPr>
          <w:rFonts w:ascii="Cambria" w:eastAsia="Times New Roman" w:hAnsi="Cambria" w:cs="Times New Roman"/>
        </w:rPr>
        <w:t>testimony</w:t>
      </w:r>
    </w:p>
    <w:p w14:paraId="3E1A1600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Market analysis for international clients</w:t>
      </w:r>
    </w:p>
    <w:p w14:paraId="09CADCDD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M&amp;A due diligence (regulatory</w:t>
      </w:r>
      <w:r>
        <w:rPr>
          <w:rFonts w:ascii="Cambria" w:eastAsia="Times New Roman" w:hAnsi="Cambria" w:cs="Times New Roman"/>
        </w:rPr>
        <w:t xml:space="preserve"> and financial</w:t>
      </w:r>
      <w:r w:rsidRPr="001B1852">
        <w:rPr>
          <w:rFonts w:ascii="Cambria" w:eastAsia="Times New Roman" w:hAnsi="Cambria" w:cs="Times New Roman"/>
        </w:rPr>
        <w:t>)</w:t>
      </w:r>
    </w:p>
    <w:p w14:paraId="4687BC1D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Gas and </w:t>
      </w:r>
      <w:r w:rsidRPr="001B1852">
        <w:rPr>
          <w:rFonts w:ascii="Cambria" w:eastAsia="Times New Roman" w:hAnsi="Cambria" w:cs="Times New Roman"/>
        </w:rPr>
        <w:t>Electric distribution alternative rate plan analysis</w:t>
      </w:r>
    </w:p>
    <w:p w14:paraId="6048765B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Economic Development</w:t>
      </w:r>
      <w:r>
        <w:rPr>
          <w:rFonts w:ascii="Cambria" w:eastAsia="Times New Roman" w:hAnsi="Cambria" w:cs="Times New Roman"/>
        </w:rPr>
        <w:t xml:space="preserve"> and large customer</w:t>
      </w:r>
      <w:r w:rsidRPr="001B1852">
        <w:rPr>
          <w:rFonts w:ascii="Cambria" w:eastAsia="Times New Roman" w:hAnsi="Cambria" w:cs="Times New Roman"/>
        </w:rPr>
        <w:t xml:space="preserve"> tariff development</w:t>
      </w:r>
    </w:p>
    <w:p w14:paraId="56F16862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Decoupling testimony assistance for a Western Gas LDC</w:t>
      </w:r>
    </w:p>
    <w:p w14:paraId="063E63F4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Decoupling and Rate Design expert witness testimony for a New England Gas LDC</w:t>
      </w:r>
    </w:p>
    <w:p w14:paraId="228D2DC8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Revenue Requirements witness for an electric distribution company</w:t>
      </w:r>
    </w:p>
    <w:p w14:paraId="1D221698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Regulatory rate strategies for a vertically integrated electric utility</w:t>
      </w:r>
    </w:p>
    <w:p w14:paraId="3FC97CE4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Testified on behalf of a New England gas LDC on the subjects of decoupling, capital trackers and rate design</w:t>
      </w:r>
    </w:p>
    <w:p w14:paraId="2FC90F18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Developed an Alternative Rate Plan for a New England gas LDC</w:t>
      </w:r>
    </w:p>
    <w:p w14:paraId="4F54E482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Rate comparison study for the Government of Alberta, Canada</w:t>
      </w:r>
    </w:p>
    <w:p w14:paraId="06CF326F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 xml:space="preserve">Established a cost of service-based pricing model for a 10MW fuel cell developer </w:t>
      </w:r>
    </w:p>
    <w:p w14:paraId="55CE92AE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lastRenderedPageBreak/>
        <w:t>Power procurement consultancy for a New England investor-owned water utility</w:t>
      </w:r>
    </w:p>
    <w:p w14:paraId="70DE0C8D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Rates comparisons for U.S. electric and gas distribution utilities</w:t>
      </w:r>
    </w:p>
    <w:p w14:paraId="11947A48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Revenue requirements and tariff review of a gas storage facility</w:t>
      </w:r>
    </w:p>
    <w:p w14:paraId="0823D5C8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Rate consolidation analysis for gas and water distribution companies</w:t>
      </w:r>
    </w:p>
    <w:p w14:paraId="61CD00EB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Renewable project financial evaluation</w:t>
      </w:r>
    </w:p>
    <w:p w14:paraId="10A9181B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Review of natural gas company regulatory and operational performance in response to a commission Show Cause Order</w:t>
      </w:r>
    </w:p>
    <w:p w14:paraId="420E8A64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Led an investigation of billing errors related to a municipal electric, gas, water, and refuse utility in support of a class action lawsuit investigation</w:t>
      </w:r>
    </w:p>
    <w:p w14:paraId="42DFFC37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Assessed the impact of and strategy to comply with the Tax Cuts and Jobs Act (“TCJA”)</w:t>
      </w:r>
    </w:p>
    <w:p w14:paraId="25DB9450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Reviewed and recommended changes to electric line extension policies</w:t>
      </w:r>
    </w:p>
    <w:p w14:paraId="73D57BBB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Evaluated Renewable Natural Gas (“RNG”) investments as part of buy-side due diligence</w:t>
      </w:r>
    </w:p>
    <w:p w14:paraId="5FF89763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Modeled alternative time of use (“TOU”) tariff structures in support of a utility customer’s evaluation of a large customer potential electric system bypass</w:t>
      </w:r>
    </w:p>
    <w:p w14:paraId="5ED4A4E1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Provided regulatory assistance and strategy to a market broker in a state utility investigation of Consumer Choice Aggregation</w:t>
      </w:r>
    </w:p>
    <w:p w14:paraId="1EC62581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Assisted in the development of a lead/lag study for a Southwestern electric utility</w:t>
      </w:r>
    </w:p>
    <w:p w14:paraId="32999091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Part of a team that developed a multi-year rate plan regulatory strategy for a Mid-Atlantic natural gas utility</w:t>
      </w:r>
    </w:p>
    <w:p w14:paraId="484BE830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Co-authored a RNG white paper for a Southern U.S. natural gas company</w:t>
      </w:r>
    </w:p>
    <w:p w14:paraId="2317474A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Authored a report on behalf of a major U.S. interstate pipeline in support of an ongoing FERC settlement proceeding</w:t>
      </w:r>
    </w:p>
    <w:p w14:paraId="4F16B128" w14:textId="77777777" w:rsidR="00EA7B4F" w:rsidRDefault="00EA7B4F" w:rsidP="00EA7B4F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Prepared extensive rate analyses in support of electric transmission and generation project development and acquisition</w:t>
      </w:r>
    </w:p>
    <w:p w14:paraId="34972C1D" w14:textId="77777777" w:rsidR="00EA7B4F" w:rsidRPr="00612272" w:rsidRDefault="00EA7B4F" w:rsidP="00EA7B4F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Developed a rate design model, performed rate analysis, drafted position papers and data responses for an international electric utility</w:t>
      </w:r>
    </w:p>
    <w:p w14:paraId="2684338C" w14:textId="77777777" w:rsidR="00EA7B4F" w:rsidRDefault="00EA7B4F" w:rsidP="00EA7B4F">
      <w:pPr>
        <w:pStyle w:val="Subheading2"/>
        <w:spacing w:before="80" w:line="257" w:lineRule="auto"/>
        <w:jc w:val="left"/>
        <w:rPr>
          <w:sz w:val="20"/>
        </w:rPr>
      </w:pPr>
      <w:r>
        <w:rPr>
          <w:sz w:val="20"/>
        </w:rPr>
        <w:t>Regulatory Affairs</w:t>
      </w:r>
    </w:p>
    <w:p w14:paraId="38BA41A0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Led the preparation, filing, discovery and implementation of several rate cases</w:t>
      </w:r>
    </w:p>
    <w:p w14:paraId="5C7460B4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Designed rates and prepared testimony, and served as the primary rate design witness</w:t>
      </w:r>
    </w:p>
    <w:p w14:paraId="77AEC177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Prepared, testified, and implemented revenue requirement rate mechanisms for new customer growth and pipeline replacement programs</w:t>
      </w:r>
    </w:p>
    <w:p w14:paraId="0640D78A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Prepared gas Integrated Resource Plans</w:t>
      </w:r>
    </w:p>
    <w:p w14:paraId="00996C6E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Prepared assessment of forecast methodology and forecast accuracy of gas demands</w:t>
      </w:r>
    </w:p>
    <w:p w14:paraId="18E15A48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Prepared validation of sales forecast and analysis of declining use per customer</w:t>
      </w:r>
    </w:p>
    <w:p w14:paraId="185136FB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Proposed, testified, and implemented Connecticut’s first gas decoupling mechanism</w:t>
      </w:r>
    </w:p>
    <w:p w14:paraId="7EB6EA59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lastRenderedPageBreak/>
        <w:t>Key contributor in settlement negotiations for rate cases and other litigated regulatory matters, including the LDC gas expansion plan</w:t>
      </w:r>
    </w:p>
    <w:p w14:paraId="4A495281" w14:textId="77777777" w:rsidR="00EA7B4F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Prepared testimony and exhibits for bi-annual Purchased Gas Adjustment proceedings</w:t>
      </w:r>
    </w:p>
    <w:p w14:paraId="79EEEBF6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Prepared biennial Gas LDC Demand and Supply filings</w:t>
      </w:r>
    </w:p>
    <w:p w14:paraId="5DDF390C" w14:textId="77777777" w:rsidR="00EA7B4F" w:rsidRDefault="00EA7B4F" w:rsidP="00EA7B4F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Prepared testimony and new program tariffs in support of gas unbundling</w:t>
      </w:r>
    </w:p>
    <w:p w14:paraId="579C64CA" w14:textId="77777777" w:rsidR="00EA7B4F" w:rsidRDefault="00EA7B4F" w:rsidP="00EA7B4F">
      <w:pPr>
        <w:pStyle w:val="Subheading2"/>
        <w:spacing w:before="80" w:line="257" w:lineRule="auto"/>
        <w:jc w:val="left"/>
        <w:rPr>
          <w:sz w:val="20"/>
        </w:rPr>
      </w:pPr>
      <w:r>
        <w:rPr>
          <w:sz w:val="20"/>
        </w:rPr>
        <w:t>Business Strategy and Operations</w:t>
      </w:r>
    </w:p>
    <w:p w14:paraId="25D374A6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Led a gas construction organization, leveraging project management practices to plan and execute a $100M annual capital budget</w:t>
      </w:r>
    </w:p>
    <w:p w14:paraId="3C2EC0EC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Responsible for RFP development and bid selection of five-year contracts of local, regional and national gas construction and restoration contractors representing approximately seventy work crews</w:t>
      </w:r>
    </w:p>
    <w:p w14:paraId="68ABF58C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Developed and implemented a tablet-based QA/QC inspection program</w:t>
      </w:r>
    </w:p>
    <w:p w14:paraId="27F7F791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Developed annual sales and revenue operating budgets</w:t>
      </w:r>
    </w:p>
    <w:p w14:paraId="6EE14B3E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Developed rate of return new customer acquisition model</w:t>
      </w:r>
    </w:p>
    <w:p w14:paraId="541073FF" w14:textId="77777777" w:rsidR="00EA7B4F" w:rsidRPr="001B1852" w:rsidRDefault="00EA7B4F" w:rsidP="00EA7B4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Guided several process improvement teams</w:t>
      </w:r>
    </w:p>
    <w:p w14:paraId="163EDBD3" w14:textId="77777777" w:rsidR="00EA7B4F" w:rsidRPr="00D43C2E" w:rsidRDefault="00EA7B4F" w:rsidP="00EA7B4F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mbria" w:eastAsia="Times New Roman" w:hAnsi="Cambria" w:cs="Times New Roman"/>
        </w:rPr>
      </w:pPr>
      <w:r w:rsidRPr="001B1852">
        <w:rPr>
          <w:rFonts w:ascii="Cambria" w:eastAsia="Times New Roman" w:hAnsi="Cambria" w:cs="Times New Roman"/>
        </w:rPr>
        <w:t>Successfully negotiated contracts with large cogeneration users avoiding system bypass and obtaining regulatory approval</w:t>
      </w:r>
    </w:p>
    <w:p w14:paraId="0483ED7F" w14:textId="77777777" w:rsidR="00EA7B4F" w:rsidRDefault="00EA7B4F" w:rsidP="00EA7B4F">
      <w:pPr>
        <w:pStyle w:val="Subheading1"/>
        <w:spacing w:before="360" w:line="257" w:lineRule="auto"/>
        <w:rPr>
          <w:caps/>
        </w:rPr>
      </w:pPr>
      <w:r w:rsidRPr="00AE2616">
        <w:rPr>
          <w:caps/>
        </w:rPr>
        <w:t>Professional History</w:t>
      </w:r>
    </w:p>
    <w:p w14:paraId="543ACB52" w14:textId="77777777" w:rsidR="00EA7B4F" w:rsidRDefault="00EA7B4F" w:rsidP="00EA7B4F">
      <w:pPr>
        <w:keepNext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Concentric Energy Advisors, Inc. (2016 – Present)</w:t>
      </w:r>
    </w:p>
    <w:p w14:paraId="6E96ECBE" w14:textId="77777777" w:rsidR="00EA7B4F" w:rsidRDefault="00EA7B4F" w:rsidP="00EA7B4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Vice President (2022-Present)</w:t>
      </w:r>
    </w:p>
    <w:p w14:paraId="2F051AB4" w14:textId="77777777" w:rsidR="00EA7B4F" w:rsidRPr="00612272" w:rsidRDefault="00EA7B4F" w:rsidP="00EA7B4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Assistant Vice President (2016-2021)</w:t>
      </w:r>
    </w:p>
    <w:p w14:paraId="71DE3199" w14:textId="77777777" w:rsidR="00EA7B4F" w:rsidRDefault="00EA7B4F" w:rsidP="00EA7B4F">
      <w:pPr>
        <w:keepNext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AVANGRID and affiliated companies (2016)</w:t>
      </w:r>
    </w:p>
    <w:p w14:paraId="74219BFC" w14:textId="77777777" w:rsidR="00EA7B4F" w:rsidRDefault="00EA7B4F" w:rsidP="00EA7B4F">
      <w:pPr>
        <w:keepNext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Connecticut Natural Gas and The Southern Connecticut Gas Company (2014 – 2016)</w:t>
      </w:r>
    </w:p>
    <w:p w14:paraId="486A17D8" w14:textId="77777777" w:rsidR="00EA7B4F" w:rsidRPr="00612272" w:rsidRDefault="00EA7B4F" w:rsidP="00EA7B4F">
      <w:pPr>
        <w:spacing w:after="120" w:line="276" w:lineRule="auto"/>
        <w:rPr>
          <w:rFonts w:ascii="Cambria" w:hAnsi="Cambria"/>
        </w:rPr>
      </w:pPr>
      <w:r>
        <w:rPr>
          <w:rFonts w:ascii="Cambria" w:hAnsi="Cambria"/>
        </w:rPr>
        <w:t>Director, Gas Construction</w:t>
      </w:r>
    </w:p>
    <w:p w14:paraId="292198B4" w14:textId="77777777" w:rsidR="00EA7B4F" w:rsidRDefault="00EA7B4F" w:rsidP="00EA7B4F">
      <w:pPr>
        <w:keepNext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UIL Holdings, Inc. (2010 – 2014)</w:t>
      </w:r>
    </w:p>
    <w:p w14:paraId="08EC0610" w14:textId="77777777" w:rsidR="00EA7B4F" w:rsidRDefault="00EA7B4F" w:rsidP="00EA7B4F">
      <w:pPr>
        <w:spacing w:after="120" w:line="276" w:lineRule="auto"/>
        <w:rPr>
          <w:rFonts w:ascii="Cambria" w:hAnsi="Cambria"/>
        </w:rPr>
      </w:pPr>
      <w:r>
        <w:rPr>
          <w:rFonts w:ascii="Cambria" w:hAnsi="Cambria"/>
        </w:rPr>
        <w:t>Director, Regulatory &amp; Tariffs</w:t>
      </w:r>
    </w:p>
    <w:p w14:paraId="61B15107" w14:textId="77777777" w:rsidR="00EA7B4F" w:rsidRDefault="00EA7B4F" w:rsidP="00EA7B4F">
      <w:pPr>
        <w:keepNext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Iberdrola S.A. / Energy East Corporation / Connecticut Natural Gas and The Southern Connecticut Gas Company (2001 – 2010)</w:t>
      </w:r>
    </w:p>
    <w:p w14:paraId="6A7E62BD" w14:textId="77777777" w:rsidR="00EA7B4F" w:rsidRPr="00612272" w:rsidRDefault="00EA7B4F" w:rsidP="00EA7B4F">
      <w:pPr>
        <w:spacing w:after="120" w:line="276" w:lineRule="auto"/>
        <w:rPr>
          <w:rFonts w:ascii="Cambria" w:hAnsi="Cambria"/>
        </w:rPr>
      </w:pPr>
      <w:r>
        <w:rPr>
          <w:rFonts w:ascii="Cambria" w:hAnsi="Cambria"/>
        </w:rPr>
        <w:t>Director, Regulatory &amp; Pricing / Director, Pricing &amp; Analysis</w:t>
      </w:r>
    </w:p>
    <w:p w14:paraId="0D9EEDC4" w14:textId="77777777" w:rsidR="00EA7B4F" w:rsidRDefault="00EA7B4F" w:rsidP="00EA7B4F">
      <w:pPr>
        <w:keepNext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Connecticut Natural Gas Corporation (1997 – 2001)</w:t>
      </w:r>
    </w:p>
    <w:p w14:paraId="25142A68" w14:textId="77777777" w:rsidR="00EA7B4F" w:rsidRDefault="00EA7B4F" w:rsidP="00EA7B4F">
      <w:pPr>
        <w:spacing w:after="120" w:line="276" w:lineRule="auto"/>
        <w:rPr>
          <w:rFonts w:ascii="Cambria" w:hAnsi="Cambria"/>
        </w:rPr>
      </w:pPr>
      <w:r>
        <w:rPr>
          <w:rFonts w:ascii="Cambria" w:hAnsi="Cambria"/>
        </w:rPr>
        <w:t>Manager, Pricing</w:t>
      </w:r>
    </w:p>
    <w:p w14:paraId="11ABA616" w14:textId="77777777" w:rsidR="00EA7B4F" w:rsidRDefault="00EA7B4F" w:rsidP="00EA7B4F">
      <w:pPr>
        <w:keepNext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United Technologies, Inc. – Pratt &amp; Whitney</w:t>
      </w:r>
      <w:r>
        <w:rPr>
          <w:rFonts w:ascii="Cambria" w:hAnsi="Cambria"/>
          <w:b/>
          <w:bCs/>
        </w:rPr>
        <w:br/>
        <w:t>Turbo Power &amp; Marine Systems (1996 – 1997)</w:t>
      </w:r>
    </w:p>
    <w:p w14:paraId="010F465B" w14:textId="77777777" w:rsidR="00EA7B4F" w:rsidRPr="00612272" w:rsidRDefault="00EA7B4F" w:rsidP="00EA7B4F">
      <w:pPr>
        <w:spacing w:after="120" w:line="276" w:lineRule="auto"/>
        <w:rPr>
          <w:rFonts w:ascii="Cambria" w:hAnsi="Cambria"/>
        </w:rPr>
      </w:pPr>
      <w:r>
        <w:rPr>
          <w:rFonts w:ascii="Cambria" w:hAnsi="Cambria"/>
        </w:rPr>
        <w:t>Manager, Financial Planning &amp; Analysis</w:t>
      </w:r>
    </w:p>
    <w:p w14:paraId="420AB28D" w14:textId="77777777" w:rsidR="00EA7B4F" w:rsidRDefault="00EA7B4F" w:rsidP="00EA7B4F">
      <w:pPr>
        <w:keepNext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Pratt &amp; Whitney Aircraft</w:t>
      </w:r>
    </w:p>
    <w:p w14:paraId="2F70AC7B" w14:textId="77777777" w:rsidR="00EA7B4F" w:rsidRDefault="00EA7B4F" w:rsidP="00EA7B4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Business Unit Cell Leader, Overhaul &amp; Repair / Manufacturing – turbine airfoils (1994 – 1996)</w:t>
      </w:r>
    </w:p>
    <w:p w14:paraId="1095C726" w14:textId="77777777" w:rsidR="00EA7B4F" w:rsidRPr="00612272" w:rsidRDefault="00EA7B4F" w:rsidP="00EA7B4F">
      <w:pPr>
        <w:spacing w:after="120" w:line="276" w:lineRule="auto"/>
        <w:rPr>
          <w:rFonts w:ascii="Cambria" w:hAnsi="Cambria"/>
        </w:rPr>
      </w:pPr>
      <w:r>
        <w:rPr>
          <w:rFonts w:ascii="Cambria" w:hAnsi="Cambria"/>
        </w:rPr>
        <w:t>Financial Analyst, Commercial Engine Business (1987 – 1994)</w:t>
      </w:r>
    </w:p>
    <w:p w14:paraId="5D05B5D3" w14:textId="77777777" w:rsidR="00EA7B4F" w:rsidRPr="001B7B53" w:rsidRDefault="00EA7B4F" w:rsidP="00EA7B4F">
      <w:pPr>
        <w:pStyle w:val="Subheading1"/>
        <w:spacing w:before="360" w:line="257" w:lineRule="auto"/>
        <w:rPr>
          <w:caps/>
        </w:rPr>
      </w:pPr>
      <w:r w:rsidRPr="00AE2616">
        <w:rPr>
          <w:caps/>
        </w:rPr>
        <w:t>Education</w:t>
      </w:r>
    </w:p>
    <w:p w14:paraId="3F1D4242" w14:textId="77777777" w:rsidR="00EA7B4F" w:rsidRPr="00F86A7F" w:rsidRDefault="00EA7B4F" w:rsidP="00EA7B4F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University of Connecticut</w:t>
      </w:r>
    </w:p>
    <w:p w14:paraId="6083B950" w14:textId="77777777" w:rsidR="00EA7B4F" w:rsidRPr="00F86A7F" w:rsidRDefault="00EA7B4F" w:rsidP="00EA7B4F">
      <w:pPr>
        <w:spacing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M.B.A., Concentration in Finance, 1993</w:t>
      </w:r>
    </w:p>
    <w:p w14:paraId="38691C03" w14:textId="77777777" w:rsidR="00EA7B4F" w:rsidRPr="00F86A7F" w:rsidRDefault="00EA7B4F" w:rsidP="00EA7B4F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Bryant University (College)</w:t>
      </w:r>
    </w:p>
    <w:p w14:paraId="336472C9" w14:textId="77777777" w:rsidR="00EA7B4F" w:rsidRPr="00F86A7F" w:rsidRDefault="00EA7B4F" w:rsidP="00EA7B4F">
      <w:pPr>
        <w:spacing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B.S., Finance, 1987</w:t>
      </w:r>
    </w:p>
    <w:p w14:paraId="2F945EBD" w14:textId="77777777" w:rsidR="00EA7B4F" w:rsidRDefault="00EA7B4F" w:rsidP="00EA7B4F">
      <w:pPr>
        <w:pStyle w:val="Subheading1"/>
        <w:spacing w:before="360" w:line="257" w:lineRule="auto"/>
        <w:rPr>
          <w:caps/>
        </w:rPr>
      </w:pPr>
      <w:r w:rsidRPr="00AE2616">
        <w:rPr>
          <w:caps/>
        </w:rPr>
        <w:t xml:space="preserve">PROFESSIONAL </w:t>
      </w:r>
      <w:r>
        <w:rPr>
          <w:caps/>
        </w:rPr>
        <w:t>Affiliations</w:t>
      </w:r>
    </w:p>
    <w:p w14:paraId="6A034AB4" w14:textId="77777777" w:rsidR="00EA7B4F" w:rsidRDefault="00EA7B4F" w:rsidP="00EA7B4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American Gas Association</w:t>
      </w:r>
      <w:r>
        <w:rPr>
          <w:rFonts w:ascii="Cambria" w:hAnsi="Cambria"/>
        </w:rPr>
        <w:br/>
        <w:t>Guild of Gas Managers</w:t>
      </w:r>
    </w:p>
    <w:p w14:paraId="1B55D7A0" w14:textId="77777777" w:rsidR="00EA7B4F" w:rsidRPr="00612272" w:rsidRDefault="00EA7B4F" w:rsidP="00EA7B4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Northeast Gas Association</w:t>
      </w:r>
    </w:p>
    <w:p w14:paraId="473DCEBF" w14:textId="77777777" w:rsidR="00EA7B4F" w:rsidRPr="00612272" w:rsidRDefault="00EA7B4F" w:rsidP="00EA7B4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Project Management Institute</w:t>
      </w:r>
    </w:p>
    <w:p w14:paraId="29314304" w14:textId="77777777" w:rsidR="00EA7B4F" w:rsidRDefault="00EA7B4F" w:rsidP="00EA7B4F">
      <w:pPr>
        <w:pStyle w:val="Subheading1"/>
        <w:spacing w:before="360" w:line="257" w:lineRule="auto"/>
        <w:rPr>
          <w:caps/>
        </w:rPr>
      </w:pPr>
      <w:r>
        <w:rPr>
          <w:caps/>
        </w:rPr>
        <w:t>certifications</w:t>
      </w:r>
    </w:p>
    <w:p w14:paraId="61E4AAD2" w14:textId="77777777" w:rsidR="00EA7B4F" w:rsidRPr="00612272" w:rsidRDefault="00EA7B4F" w:rsidP="00EA7B4F">
      <w:pPr>
        <w:spacing w:after="120" w:line="276" w:lineRule="auto"/>
        <w:rPr>
          <w:rFonts w:ascii="Cambria" w:hAnsi="Cambria"/>
        </w:rPr>
      </w:pPr>
      <w:r>
        <w:rPr>
          <w:rFonts w:ascii="Cambria" w:hAnsi="Cambria"/>
        </w:rPr>
        <w:t>Certified Project Management Professional (PMP)</w:t>
      </w:r>
    </w:p>
    <w:p w14:paraId="1C7A273D" w14:textId="77777777" w:rsidR="00EA7B4F" w:rsidRDefault="00EA7B4F" w:rsidP="00EA7B4F">
      <w:pPr>
        <w:pStyle w:val="Subheading1"/>
        <w:spacing w:before="360" w:line="257" w:lineRule="auto"/>
        <w:rPr>
          <w:caps/>
        </w:rPr>
      </w:pPr>
      <w:r>
        <w:rPr>
          <w:caps/>
        </w:rPr>
        <w:t>Leadership</w:t>
      </w:r>
    </w:p>
    <w:p w14:paraId="154006AF" w14:textId="77777777" w:rsidR="00EA7B4F" w:rsidRPr="00F86A7F" w:rsidRDefault="00EA7B4F" w:rsidP="00EA7B4F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Connecticut Economic Resource Center (CERC)</w:t>
      </w:r>
    </w:p>
    <w:p w14:paraId="544D31E7" w14:textId="77777777" w:rsidR="00EA7B4F" w:rsidRDefault="00EA7B4F" w:rsidP="00EA7B4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Member, Board of Directors 2008 – 2011</w:t>
      </w:r>
    </w:p>
    <w:p w14:paraId="30804BF4" w14:textId="77777777" w:rsidR="00EA7B4F" w:rsidRPr="00F86A7F" w:rsidRDefault="00EA7B4F" w:rsidP="00EA7B4F">
      <w:pPr>
        <w:spacing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Treasurer, 2011 – 2016</w:t>
      </w:r>
    </w:p>
    <w:p w14:paraId="44EE8BBC" w14:textId="77777777" w:rsidR="00EA7B4F" w:rsidRPr="00F86A7F" w:rsidRDefault="00EA7B4F" w:rsidP="00EA7B4F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Connecticut Power and Energy Society (CPES)</w:t>
      </w:r>
    </w:p>
    <w:p w14:paraId="0E7378B3" w14:textId="77777777" w:rsidR="00EA7B4F" w:rsidRPr="00A3598E" w:rsidRDefault="00EA7B4F" w:rsidP="00EA7B4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Treasurer and Director 2022 - present</w:t>
      </w:r>
    </w:p>
    <w:p w14:paraId="7EEA36DA" w14:textId="77777777" w:rsidR="00EA7B4F" w:rsidRDefault="00EA7B4F" w:rsidP="00EA7B4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Secretary and Director  2018 – 2022</w:t>
      </w:r>
    </w:p>
    <w:p w14:paraId="7A474280" w14:textId="77777777" w:rsidR="00EA7B4F" w:rsidRDefault="00EA7B4F" w:rsidP="00EA7B4F">
      <w:pPr>
        <w:spacing w:after="120" w:line="276" w:lineRule="auto"/>
        <w:rPr>
          <w:rFonts w:ascii="Cambria" w:hAnsi="Cambria"/>
        </w:rPr>
      </w:pPr>
      <w:r>
        <w:rPr>
          <w:rFonts w:ascii="Cambria" w:hAnsi="Cambria"/>
        </w:rPr>
        <w:t>Member, Board of Directors 2017 – 2018</w:t>
      </w:r>
    </w:p>
    <w:p w14:paraId="1ACF2BB4" w14:textId="77777777" w:rsidR="00EA7B4F" w:rsidRDefault="00EA7B4F" w:rsidP="00EA7B4F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AGA Executive Leadership Development Program – 2012</w:t>
      </w:r>
    </w:p>
    <w:p w14:paraId="18CC4DF8" w14:textId="77777777" w:rsidR="00EA7B4F" w:rsidRPr="006026F5" w:rsidRDefault="00EA7B4F" w:rsidP="00EA7B4F">
      <w:pPr>
        <w:spacing w:line="276" w:lineRule="auto"/>
        <w:jc w:val="both"/>
        <w:rPr>
          <w:rFonts w:ascii="Cambria" w:hAnsi="Cambria"/>
          <w:b/>
        </w:rPr>
        <w:sectPr w:rsidR="00EA7B4F" w:rsidRPr="006026F5" w:rsidSect="008E70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872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tbl>
      <w:tblPr>
        <w:tblW w:w="9450" w:type="dxa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990"/>
        <w:gridCol w:w="2340"/>
        <w:gridCol w:w="1350"/>
        <w:gridCol w:w="2700"/>
      </w:tblGrid>
      <w:tr w:rsidR="00EA7B4F" w:rsidRPr="00437FC8" w14:paraId="61522573" w14:textId="77777777" w:rsidTr="00EE5431">
        <w:trPr>
          <w:cantSplit/>
          <w:tblHeader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D7D1B2" w14:textId="77777777" w:rsidR="00EA7B4F" w:rsidRPr="00437FC8" w:rsidRDefault="00EA7B4F" w:rsidP="00EE5431">
            <w:pPr>
              <w:spacing w:line="276" w:lineRule="auto"/>
              <w:rPr>
                <w:rFonts w:ascii="Century Gothic" w:eastAsia="Calibri" w:hAnsi="Century Gothic"/>
                <w:b/>
                <w:smallCaps/>
                <w:color w:val="400000"/>
                <w:sz w:val="20"/>
              </w:rPr>
            </w:pPr>
            <w:bookmarkStart w:id="3" w:name="_Hlk25309874"/>
            <w:bookmarkEnd w:id="0"/>
            <w:bookmarkEnd w:id="1"/>
            <w:bookmarkEnd w:id="2"/>
            <w:r w:rsidRPr="00437FC8">
              <w:rPr>
                <w:rFonts w:ascii="Century Gothic" w:eastAsia="Calibri" w:hAnsi="Century Gothic"/>
                <w:b/>
                <w:smallCaps/>
                <w:color w:val="400000"/>
                <w:sz w:val="20"/>
              </w:rPr>
              <w:lastRenderedPageBreak/>
              <w:t>SPONSOR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94991F" w14:textId="77777777" w:rsidR="00EA7B4F" w:rsidRPr="00437FC8" w:rsidRDefault="00EA7B4F" w:rsidP="00EE5431">
            <w:pPr>
              <w:spacing w:line="276" w:lineRule="auto"/>
              <w:rPr>
                <w:rFonts w:ascii="Century Gothic" w:eastAsia="Calibri" w:hAnsi="Century Gothic"/>
                <w:b/>
                <w:smallCaps/>
                <w:color w:val="400000"/>
                <w:sz w:val="20"/>
              </w:rPr>
            </w:pPr>
            <w:r w:rsidRPr="00437FC8">
              <w:rPr>
                <w:rFonts w:ascii="Century Gothic" w:eastAsia="Calibri" w:hAnsi="Century Gothic"/>
                <w:b/>
                <w:smallCaps/>
                <w:color w:val="400000"/>
                <w:sz w:val="20"/>
              </w:rPr>
              <w:t>DATE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C2ECB0" w14:textId="77777777" w:rsidR="00EA7B4F" w:rsidRPr="00437FC8" w:rsidRDefault="00EA7B4F" w:rsidP="00EE5431">
            <w:pPr>
              <w:spacing w:line="276" w:lineRule="auto"/>
              <w:rPr>
                <w:rFonts w:ascii="Century Gothic" w:eastAsia="Calibri" w:hAnsi="Century Gothic"/>
                <w:b/>
                <w:smallCaps/>
                <w:color w:val="400000"/>
                <w:sz w:val="20"/>
              </w:rPr>
            </w:pPr>
            <w:r w:rsidRPr="00437FC8">
              <w:rPr>
                <w:rFonts w:ascii="Century Gothic" w:eastAsia="Calibri" w:hAnsi="Century Gothic"/>
                <w:b/>
                <w:smallCaps/>
                <w:color w:val="400000"/>
                <w:sz w:val="20"/>
              </w:rPr>
              <w:t>CASE/APPLICANT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FEFF25" w14:textId="77777777" w:rsidR="00EA7B4F" w:rsidRPr="00437FC8" w:rsidRDefault="00EA7B4F" w:rsidP="00EE5431">
            <w:pPr>
              <w:spacing w:line="276" w:lineRule="auto"/>
              <w:rPr>
                <w:rFonts w:ascii="Century Gothic" w:eastAsia="Calibri" w:hAnsi="Century Gothic"/>
                <w:b/>
                <w:smallCaps/>
                <w:color w:val="400000"/>
                <w:sz w:val="20"/>
              </w:rPr>
            </w:pPr>
            <w:r w:rsidRPr="00437FC8">
              <w:rPr>
                <w:rFonts w:ascii="Century Gothic" w:eastAsia="Calibri" w:hAnsi="Century Gothic"/>
                <w:b/>
                <w:smallCaps/>
                <w:color w:val="400000"/>
                <w:sz w:val="20"/>
              </w:rPr>
              <w:t>DOCKET /CASE NO.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8EF4CD" w14:textId="77777777" w:rsidR="00EA7B4F" w:rsidRPr="00437FC8" w:rsidRDefault="00EA7B4F" w:rsidP="00EE5431">
            <w:pPr>
              <w:spacing w:line="276" w:lineRule="auto"/>
              <w:rPr>
                <w:rFonts w:ascii="Century Gothic" w:eastAsia="Calibri" w:hAnsi="Century Gothic"/>
                <w:b/>
                <w:smallCaps/>
                <w:color w:val="400000"/>
                <w:sz w:val="20"/>
              </w:rPr>
            </w:pPr>
            <w:r w:rsidRPr="00437FC8">
              <w:rPr>
                <w:rFonts w:ascii="Century Gothic" w:eastAsia="Calibri" w:hAnsi="Century Gothic"/>
                <w:b/>
                <w:smallCaps/>
                <w:color w:val="400000"/>
                <w:sz w:val="20"/>
              </w:rPr>
              <w:t>SUBJECT</w:t>
            </w:r>
          </w:p>
        </w:tc>
      </w:tr>
      <w:tr w:rsidR="00EA7B4F" w:rsidRPr="00437FC8" w14:paraId="1B47304A" w14:textId="77777777" w:rsidTr="00EE5431">
        <w:trPr>
          <w:cantSplit/>
          <w:trHeight w:val="20"/>
        </w:trPr>
        <w:tc>
          <w:tcPr>
            <w:tcW w:w="9450" w:type="dxa"/>
            <w:gridSpan w:val="5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73A9D6" w14:textId="77777777" w:rsidR="00EA7B4F" w:rsidRPr="00437FC8" w:rsidRDefault="00EA7B4F" w:rsidP="00EE5431">
            <w:pPr>
              <w:spacing w:line="276" w:lineRule="auto"/>
              <w:rPr>
                <w:rFonts w:ascii="Cambria" w:eastAsia="Calibri" w:hAnsi="Cambria"/>
                <w:b/>
                <w:color w:val="400000"/>
                <w:sz w:val="20"/>
              </w:rPr>
            </w:pPr>
            <w:r w:rsidRPr="00437FC8">
              <w:rPr>
                <w:rFonts w:ascii="Cambria" w:eastAsia="Calibri" w:hAnsi="Cambria"/>
                <w:b/>
                <w:color w:val="400000"/>
                <w:sz w:val="20"/>
              </w:rPr>
              <w:t>Connecticut Public Utilities Regulatory Authority</w:t>
            </w:r>
          </w:p>
        </w:tc>
      </w:tr>
      <w:tr w:rsidR="00EA7B4F" w:rsidRPr="00437FC8" w14:paraId="28BC743A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144D8B" w14:textId="77777777" w:rsidR="00EA7B4F" w:rsidRPr="00BD2126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>
              <w:rPr>
                <w:rFonts w:ascii="Cambria" w:eastAsia="Calibri" w:hAnsi="Cambria"/>
                <w:sz w:val="20"/>
              </w:rPr>
              <w:t>United Illuminating Company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EF8BFC" w14:textId="77777777" w:rsidR="00EA7B4F" w:rsidRPr="00BD2126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>
              <w:rPr>
                <w:rFonts w:ascii="Cambria" w:eastAsia="Calibri" w:hAnsi="Cambria"/>
                <w:sz w:val="20"/>
              </w:rPr>
              <w:t>2023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DA2F1E" w14:textId="77777777" w:rsidR="00EA7B4F" w:rsidRPr="00BD2126" w:rsidRDefault="00EA7B4F" w:rsidP="00EE5431">
            <w:pPr>
              <w:adjustRightInd w:val="0"/>
              <w:spacing w:line="276" w:lineRule="auto"/>
              <w:rPr>
                <w:rFonts w:ascii="Cambria" w:hAnsi="Cambria"/>
                <w:sz w:val="18"/>
              </w:rPr>
            </w:pPr>
            <w:r>
              <w:rPr>
                <w:rFonts w:ascii="Cambria" w:eastAsia="Calibri" w:hAnsi="Cambria"/>
                <w:sz w:val="20"/>
              </w:rPr>
              <w:t>United Illuminating Company Application for a rate increase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4E734E" w14:textId="77777777" w:rsidR="00EA7B4F" w:rsidRPr="00BD2126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>
              <w:rPr>
                <w:rFonts w:ascii="Cambria" w:eastAsia="Calibri" w:hAnsi="Cambria"/>
                <w:sz w:val="20"/>
              </w:rPr>
              <w:t>Docket No. 22-08-08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AA5645" w14:textId="77777777" w:rsidR="00EA7B4F" w:rsidRPr="00BD2126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>
              <w:rPr>
                <w:rFonts w:ascii="Cambria" w:eastAsia="Calibri" w:hAnsi="Cambria"/>
                <w:sz w:val="20"/>
              </w:rPr>
              <w:t>Rate design, Economic Development rate</w:t>
            </w:r>
          </w:p>
        </w:tc>
      </w:tr>
      <w:tr w:rsidR="00EA7B4F" w:rsidRPr="00437FC8" w14:paraId="619FA7DE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C3A2C5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BD2126">
              <w:rPr>
                <w:rFonts w:ascii="Cambria" w:eastAsia="Calibri" w:hAnsi="Cambria"/>
                <w:sz w:val="20"/>
              </w:rPr>
              <w:t>NuPower, LLC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484744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BD2126">
              <w:rPr>
                <w:rFonts w:ascii="Cambria" w:eastAsia="Calibri" w:hAnsi="Cambria"/>
                <w:sz w:val="20"/>
              </w:rPr>
              <w:t>20</w:t>
            </w:r>
            <w:r>
              <w:rPr>
                <w:rFonts w:ascii="Cambria" w:eastAsia="Calibri" w:hAnsi="Cambria"/>
                <w:sz w:val="20"/>
              </w:rPr>
              <w:t>22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E2E488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BD2126">
              <w:rPr>
                <w:rFonts w:ascii="Cambria" w:hAnsi="Cambria"/>
                <w:sz w:val="18"/>
              </w:rPr>
              <w:t xml:space="preserve">PURA – review of combined heat and power projection solicitation. 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65ED4E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BD2126">
              <w:rPr>
                <w:rFonts w:ascii="Cambria" w:eastAsia="Calibri" w:hAnsi="Cambria"/>
                <w:sz w:val="20"/>
              </w:rPr>
              <w:t>Docket No. 18-08-14</w:t>
            </w:r>
            <w:r>
              <w:rPr>
                <w:rFonts w:ascii="Cambria" w:eastAsia="Calibri" w:hAnsi="Cambria"/>
                <w:sz w:val="20"/>
              </w:rPr>
              <w:t>RE01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4D9024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BD2126">
              <w:rPr>
                <w:rFonts w:ascii="Cambria" w:eastAsia="Calibri" w:hAnsi="Cambria"/>
                <w:sz w:val="20"/>
              </w:rPr>
              <w:t>Cost of Service analysis for a regulated fuel cell project</w:t>
            </w:r>
            <w:r>
              <w:rPr>
                <w:rFonts w:ascii="Cambria" w:eastAsia="Calibri" w:hAnsi="Cambria"/>
                <w:sz w:val="20"/>
              </w:rPr>
              <w:t>, as amended</w:t>
            </w:r>
          </w:p>
        </w:tc>
      </w:tr>
      <w:tr w:rsidR="00EA7B4F" w:rsidRPr="00437FC8" w14:paraId="64E52A64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F7D3FA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The Connecticut Water Company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8BFFF9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2021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E7F1B5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The Connecticut Water Company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30AF82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20-12-30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C9C05A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Allocated Cost of Service, Rate Design and Rate Consolidation</w:t>
            </w:r>
          </w:p>
        </w:tc>
      </w:tr>
      <w:tr w:rsidR="00EA7B4F" w:rsidRPr="00437FC8" w14:paraId="3EDBA2AB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98238E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NuPower, LLC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98E7A2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2019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FB2504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 xml:space="preserve">PURA – review of combined heat and power projection solicitation. 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C7EB42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Docket No. 18-08-14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9936E5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Cost of Service analysis for a regulated fuel cell project</w:t>
            </w:r>
          </w:p>
        </w:tc>
      </w:tr>
      <w:tr w:rsidR="00EA7B4F" w:rsidRPr="00437FC8" w14:paraId="01A76171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FC4BCC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Yankee Gas Services (Eversource Energy)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F48424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2018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7E00F1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Yankee Gas Services DBA Eversource Energy – amend rate schedules.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F6E94F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Docket No. 18-05-10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612150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Distribution Rate Case</w:t>
            </w:r>
          </w:p>
          <w:p w14:paraId="0A47DAF3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Rate design, decoupling, and capital trackers</w:t>
            </w:r>
          </w:p>
        </w:tc>
      </w:tr>
      <w:tr w:rsidR="00EA7B4F" w:rsidRPr="00437FC8" w14:paraId="5D42E354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51D245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Connecticut Natural Gas Corporation &amp; Southern Connecticut Gas Company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FC469C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2016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2D8DB9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hAnsi="Cambria"/>
                <w:sz w:val="18"/>
              </w:rPr>
            </w:pPr>
            <w:r w:rsidRPr="00437FC8">
              <w:rPr>
                <w:rFonts w:ascii="Cambria" w:hAnsi="Cambria"/>
                <w:sz w:val="18"/>
              </w:rPr>
              <w:t>Connecticut Natural Gas Corporation &amp; Southern Connecticut Gas Company - OCC successfully advocated that the</w:t>
            </w:r>
          </w:p>
          <w:p w14:paraId="59A2D97F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gas utilities should not be allowed to recover certain expenses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7EB2DB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Docket No. 16-04-10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A04D9B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State of Connecticut LDC Gas Expansion Plan: System Expansion Reconciliation</w:t>
            </w:r>
          </w:p>
          <w:p w14:paraId="4ACE092D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Capital Expenditures, System Improvement/Reinforcement Projects</w:t>
            </w:r>
          </w:p>
        </w:tc>
      </w:tr>
      <w:tr w:rsidR="00EA7B4F" w:rsidRPr="00437FC8" w14:paraId="7925A259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180181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Connecticut Natural Gas Corporation &amp; Southern Connecticut Gas Company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FE9299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2014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4ABE2B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Connecticut Natural Gas Corporation &amp; Southern Connecticut Gas Company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6E2F26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Docket No. 13-06-02RE01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1368C7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State of Connecticut LDC Gas Expansion Plan</w:t>
            </w:r>
          </w:p>
          <w:p w14:paraId="31A74598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Settlement Agreement</w:t>
            </w:r>
          </w:p>
        </w:tc>
      </w:tr>
      <w:tr w:rsidR="00EA7B4F" w:rsidRPr="00437FC8" w14:paraId="4B8D4B8E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D22A3E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Connecticut Natural Gas Corporation &amp; Southern Connecticut Gas Company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AB5462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2013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D0EE7E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Connecticut Natural Gas Corporation &amp; Southern Connecticut Gas Company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A4F22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Docket No. 13-06-02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9AB2C2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State of Connecticut LDC Gas Expansion Plan</w:t>
            </w:r>
          </w:p>
          <w:p w14:paraId="3DC86311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Rates, Hurdle Rate analysis, Demand forecast, Rate Mechanism</w:t>
            </w:r>
          </w:p>
        </w:tc>
      </w:tr>
      <w:tr w:rsidR="00EA7B4F" w:rsidRPr="00437FC8" w14:paraId="00F8A7A8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987243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Connecticut Natural Gas Corporation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64287E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2013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722D70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Connecticut Natural Gas Corporation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45D5FD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Docket No. 13-06-08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2F1C81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Distribution Rate Case</w:t>
            </w:r>
          </w:p>
          <w:p w14:paraId="656579A5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Revenue Requirements, Cost of Service, Rate Design, Demand Forecast, and Forecasted Revenues; Decoupling, DIMP and System Expansion Reconciliation Rate Mechanisms, Tariffs</w:t>
            </w:r>
          </w:p>
        </w:tc>
      </w:tr>
      <w:tr w:rsidR="00EA7B4F" w:rsidRPr="00437FC8" w14:paraId="4FE421BC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447D0B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lastRenderedPageBreak/>
              <w:t>The Southern Connecticut Gas Company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7E04DD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2013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8D4682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The Southern Connecticut Gas Company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D6DA38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Docket No. 99-10-25RE01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7E6CE2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Firm Transportation Service Agreement and Gas Exchange Agreement</w:t>
            </w:r>
          </w:p>
          <w:p w14:paraId="31241270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 xml:space="preserve"> - Review of Revenue Requirement Allocation</w:t>
            </w:r>
          </w:p>
        </w:tc>
      </w:tr>
      <w:tr w:rsidR="00EA7B4F" w:rsidRPr="00437FC8" w14:paraId="01B50FED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EF1B56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Connecticut Natural Gas Corporation &amp; Southern Connecticut Gas Company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F89D9D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2011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C3751D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Connecticut Natural Gas Corporation &amp; Southern Connecticut Gas Company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70B4A5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 xml:space="preserve">Docket No. </w:t>
            </w:r>
          </w:p>
          <w:p w14:paraId="23CF195A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fldChar w:fldCharType="begin"/>
            </w:r>
            <w:r w:rsidRPr="00437FC8">
              <w:rPr>
                <w:rFonts w:ascii="Cambria" w:eastAsia="Calibri" w:hAnsi="Cambria"/>
                <w:sz w:val="20"/>
              </w:rPr>
              <w:instrText>Ask Docknum "Enter the docket number of the case (i.e., 92-11-11)"</w:instrText>
            </w:r>
            <w:r w:rsidRPr="00437FC8">
              <w:rPr>
                <w:rFonts w:ascii="Cambria" w:eastAsia="Calibri" w:hAnsi="Cambria"/>
                <w:sz w:val="20"/>
              </w:rPr>
              <w:fldChar w:fldCharType="separate"/>
            </w:r>
            <w:bookmarkStart w:id="4" w:name="Docknum"/>
            <w:r w:rsidRPr="00437FC8">
              <w:rPr>
                <w:rFonts w:ascii="Cambria" w:eastAsia="Calibri" w:hAnsi="Cambria"/>
                <w:sz w:val="20"/>
              </w:rPr>
              <w:t>08-12-06RE02</w:t>
            </w:r>
            <w:bookmarkEnd w:id="4"/>
            <w:r w:rsidRPr="00437FC8">
              <w:rPr>
                <w:rFonts w:ascii="Cambria" w:eastAsia="Calibri" w:hAnsi="Cambria"/>
                <w:sz w:val="20"/>
              </w:rPr>
              <w:fldChar w:fldCharType="end"/>
            </w:r>
            <w:r w:rsidRPr="00437FC8">
              <w:rPr>
                <w:rFonts w:ascii="Cambria" w:eastAsia="Calibri" w:hAnsi="Cambria"/>
                <w:sz w:val="20"/>
              </w:rPr>
              <w:fldChar w:fldCharType="begin"/>
            </w:r>
            <w:r w:rsidRPr="00437FC8">
              <w:rPr>
                <w:rFonts w:ascii="Cambria" w:eastAsia="Calibri" w:hAnsi="Cambria"/>
                <w:sz w:val="20"/>
              </w:rPr>
              <w:instrText xml:space="preserve">ref docknum \* MERGEFORMAT </w:instrText>
            </w:r>
            <w:r w:rsidRPr="00437FC8">
              <w:rPr>
                <w:rFonts w:ascii="Cambria" w:eastAsia="Calibri" w:hAnsi="Cambria"/>
                <w:sz w:val="20"/>
              </w:rPr>
              <w:fldChar w:fldCharType="separate"/>
            </w:r>
            <w:r w:rsidRPr="00437FC8">
              <w:rPr>
                <w:rFonts w:ascii="Cambria" w:eastAsia="Calibri" w:hAnsi="Cambria"/>
                <w:sz w:val="20"/>
              </w:rPr>
              <w:t>08-12-06RE02</w:t>
            </w:r>
            <w:r w:rsidRPr="00437FC8">
              <w:rPr>
                <w:rFonts w:ascii="Cambria" w:eastAsia="Calibri" w:hAnsi="Cambria"/>
                <w:sz w:val="20"/>
              </w:rPr>
              <w:fldChar w:fldCharType="end"/>
            </w:r>
            <w:r w:rsidRPr="00437FC8">
              <w:rPr>
                <w:rFonts w:ascii="Cambria" w:eastAsia="Calibri" w:hAnsi="Cambria"/>
                <w:sz w:val="20"/>
              </w:rPr>
              <w:t>, 08-12-07RE02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0C4B64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fldChar w:fldCharType="begin"/>
            </w:r>
            <w:r w:rsidRPr="00437FC8">
              <w:rPr>
                <w:rFonts w:ascii="Cambria" w:eastAsia="Calibri" w:hAnsi="Cambria"/>
                <w:sz w:val="20"/>
              </w:rPr>
              <w:instrText>Ask title "Enter the complete title</w:instrText>
            </w:r>
            <w:r w:rsidRPr="00437FC8">
              <w:rPr>
                <w:rFonts w:ascii="Cambria" w:eastAsia="Calibri" w:hAnsi="Cambria"/>
                <w:sz w:val="20"/>
              </w:rPr>
              <w:fldChar w:fldCharType="separate"/>
            </w:r>
            <w:bookmarkStart w:id="5" w:name="title"/>
            <w:r w:rsidRPr="00437FC8">
              <w:rPr>
                <w:rFonts w:ascii="Cambria" w:eastAsia="Calibri" w:hAnsi="Cambria"/>
                <w:sz w:val="20"/>
              </w:rPr>
              <w:t>Application of Connecticut Natural Gas Corporation for a Rate Increase - Settlement Agreement</w:t>
            </w:r>
            <w:bookmarkEnd w:id="5"/>
            <w:r w:rsidRPr="00437FC8">
              <w:rPr>
                <w:rFonts w:ascii="Cambria" w:eastAsia="Calibri" w:hAnsi="Cambria"/>
                <w:sz w:val="20"/>
              </w:rPr>
              <w:fldChar w:fldCharType="end"/>
            </w:r>
            <w:r w:rsidRPr="00437FC8">
              <w:rPr>
                <w:rFonts w:ascii="Cambria" w:eastAsia="Calibri" w:hAnsi="Cambria"/>
                <w:sz w:val="20"/>
              </w:rPr>
              <w:t xml:space="preserve">Settlement Agreement RE: Resolve Stayed Decisions and Orders from Appealed CNG and SCG Rate Cases, and resolve SCG overearnings </w:t>
            </w:r>
          </w:p>
        </w:tc>
      </w:tr>
      <w:tr w:rsidR="00EA7B4F" w:rsidRPr="00437FC8" w14:paraId="07E3ACE3" w14:textId="77777777" w:rsidTr="00EE5431">
        <w:trPr>
          <w:cantSplit/>
        </w:trPr>
        <w:tc>
          <w:tcPr>
            <w:tcW w:w="207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30AD59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The Southern Connecticut Gas Company</w:t>
            </w:r>
          </w:p>
        </w:tc>
        <w:tc>
          <w:tcPr>
            <w:tcW w:w="99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76F64A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2011</w:t>
            </w:r>
          </w:p>
        </w:tc>
        <w:tc>
          <w:tcPr>
            <w:tcW w:w="23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3663F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DPUC review Overearnings for SCG</w:t>
            </w:r>
          </w:p>
        </w:tc>
        <w:tc>
          <w:tcPr>
            <w:tcW w:w="135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067845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Docket No. 10-12-17</w:t>
            </w: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40D2CC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Just and Reasonable Rates – Potential Overearnings Investigation</w:t>
            </w:r>
          </w:p>
        </w:tc>
      </w:tr>
      <w:tr w:rsidR="00EA7B4F" w:rsidRPr="00437FC8" w14:paraId="04F7C2E7" w14:textId="77777777" w:rsidTr="00EE5431">
        <w:trPr>
          <w:cantSplit/>
        </w:trPr>
        <w:tc>
          <w:tcPr>
            <w:tcW w:w="9450" w:type="dxa"/>
            <w:gridSpan w:val="5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C2C99" w14:textId="77777777" w:rsidR="00EA7B4F" w:rsidRPr="00437FC8" w:rsidRDefault="00EA7B4F" w:rsidP="00EE5431">
            <w:pPr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b/>
                <w:color w:val="400000"/>
                <w:sz w:val="20"/>
              </w:rPr>
              <w:t>Georgia Public Service Commission</w:t>
            </w:r>
          </w:p>
        </w:tc>
      </w:tr>
      <w:tr w:rsidR="00EA7B4F" w:rsidRPr="00437FC8" w14:paraId="30579CCA" w14:textId="77777777" w:rsidTr="00EE5431">
        <w:trPr>
          <w:cantSplit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FCB8D0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Liberty Utilities Georgia d/b/a/ Peachtree Natural Gas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4AD371" w14:textId="77777777" w:rsidR="00EA7B4F" w:rsidRPr="00437FC8" w:rsidRDefault="00EA7B4F" w:rsidP="00EE5431">
            <w:pPr>
              <w:adjustRightInd w:val="0"/>
              <w:spacing w:line="276" w:lineRule="auto"/>
              <w:jc w:val="both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2020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9E3B4B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Liberty Utilities</w:t>
            </w:r>
            <w:r>
              <w:rPr>
                <w:rFonts w:ascii="Cambria" w:hAnsi="Cambria"/>
                <w:sz w:val="18"/>
              </w:rPr>
              <w:t xml:space="preserve"> Corp.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556A49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Docket 42959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DB5BA5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Distribution Rate Case Allocated Cost of Service and Rate Design</w:t>
            </w:r>
          </w:p>
        </w:tc>
      </w:tr>
      <w:tr w:rsidR="00EA7B4F" w:rsidRPr="00437FC8" w14:paraId="6307ECA6" w14:textId="77777777" w:rsidTr="00EE5431">
        <w:trPr>
          <w:cantSplit/>
        </w:trPr>
        <w:tc>
          <w:tcPr>
            <w:tcW w:w="9450" w:type="dxa"/>
            <w:gridSpan w:val="5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26AEAD" w14:textId="77777777" w:rsidR="00EA7B4F" w:rsidRPr="00437FC8" w:rsidRDefault="00EA7B4F" w:rsidP="00EE5431">
            <w:pPr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b/>
                <w:color w:val="400000"/>
                <w:sz w:val="20"/>
              </w:rPr>
              <w:t>Illinois Commerce Commission</w:t>
            </w:r>
          </w:p>
        </w:tc>
      </w:tr>
      <w:tr w:rsidR="00EA7B4F" w:rsidRPr="00437FC8" w14:paraId="79011460" w14:textId="77777777" w:rsidTr="00EE5431">
        <w:trPr>
          <w:cantSplit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0E9949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The Peoples Gas Light &amp; Coke Company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1B5E76" w14:textId="77777777" w:rsidR="00EA7B4F" w:rsidRPr="00437FC8" w:rsidRDefault="00EA7B4F" w:rsidP="00EE5431">
            <w:pPr>
              <w:adjustRightInd w:val="0"/>
              <w:spacing w:line="276" w:lineRule="auto"/>
              <w:jc w:val="both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2017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039FA5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ICC vs The Peoples Gas Light &amp; Coke Company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10616C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Docket No. 16-0376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7635F7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Gas Distribution Aging Infrastructure Peer Utility Benchmark Study, Affordability</w:t>
            </w:r>
          </w:p>
        </w:tc>
      </w:tr>
      <w:tr w:rsidR="00EA7B4F" w:rsidRPr="00437FC8" w14:paraId="3ECD1687" w14:textId="77777777" w:rsidTr="00EE5431">
        <w:trPr>
          <w:cantSplit/>
        </w:trPr>
        <w:tc>
          <w:tcPr>
            <w:tcW w:w="9450" w:type="dxa"/>
            <w:gridSpan w:val="5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77AA4D" w14:textId="77777777" w:rsidR="00EA7B4F" w:rsidRPr="00437FC8" w:rsidRDefault="00EA7B4F" w:rsidP="00EE5431">
            <w:pPr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b/>
                <w:color w:val="400000"/>
                <w:sz w:val="20"/>
              </w:rPr>
              <w:t>Maine Public Utilities Commission</w:t>
            </w:r>
          </w:p>
        </w:tc>
      </w:tr>
      <w:tr w:rsidR="00EA7B4F" w:rsidRPr="00437FC8" w14:paraId="4D1B9A0C" w14:textId="77777777" w:rsidTr="00EE5431">
        <w:trPr>
          <w:cantSplit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E6089E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Emera, Maine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E56B7D" w14:textId="77777777" w:rsidR="00EA7B4F" w:rsidRPr="00437FC8" w:rsidRDefault="00EA7B4F" w:rsidP="00EE5431">
            <w:pPr>
              <w:adjustRightInd w:val="0"/>
              <w:spacing w:line="276" w:lineRule="auto"/>
              <w:jc w:val="both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2017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598F4D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Request for approval of rate change Emera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DB3E3C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Docket No. 2017-00198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EF65A6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Electric Distribution Revenue Requirements</w:t>
            </w:r>
          </w:p>
        </w:tc>
      </w:tr>
      <w:tr w:rsidR="00EA7B4F" w:rsidRPr="00437FC8" w14:paraId="7042CD59" w14:textId="77777777" w:rsidTr="00EE5431">
        <w:trPr>
          <w:cantSplit/>
        </w:trPr>
        <w:tc>
          <w:tcPr>
            <w:tcW w:w="9450" w:type="dxa"/>
            <w:gridSpan w:val="5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F1AB3B" w14:textId="77777777" w:rsidR="00EA7B4F" w:rsidRPr="00437FC8" w:rsidRDefault="00EA7B4F" w:rsidP="00EE5431">
            <w:pPr>
              <w:spacing w:line="276" w:lineRule="auto"/>
              <w:rPr>
                <w:rFonts w:ascii="Cambria" w:eastAsia="Calibri" w:hAnsi="Cambria"/>
                <w:b/>
                <w:color w:val="400000"/>
                <w:sz w:val="20"/>
              </w:rPr>
            </w:pPr>
            <w:r w:rsidRPr="00437FC8">
              <w:rPr>
                <w:rFonts w:ascii="Cambria" w:eastAsia="Calibri" w:hAnsi="Cambria"/>
                <w:b/>
                <w:color w:val="400000"/>
                <w:sz w:val="20"/>
              </w:rPr>
              <w:t>Massachusetts Department of Public Utilities</w:t>
            </w:r>
          </w:p>
        </w:tc>
      </w:tr>
      <w:tr w:rsidR="00EA7B4F" w:rsidRPr="00437FC8" w14:paraId="2E67D06E" w14:textId="77777777" w:rsidTr="00EE5431">
        <w:trPr>
          <w:cantSplit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CCC425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437FC8">
              <w:rPr>
                <w:rFonts w:ascii="Cambria" w:hAnsi="Cambria"/>
                <w:bCs/>
                <w:sz w:val="18"/>
                <w:szCs w:val="18"/>
              </w:rPr>
              <w:t>Berkshire Gas Company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8DA02D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</w:t>
            </w:r>
            <w:r>
              <w:rPr>
                <w:rFonts w:ascii="Cambria" w:eastAsia="Calibri" w:hAnsi="Cambria"/>
                <w:sz w:val="20"/>
              </w:rPr>
              <w:t>22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46A4EF" w14:textId="77777777" w:rsidR="00EA7B4F" w:rsidRDefault="00EA7B4F" w:rsidP="00EE5431">
            <w:pPr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bCs/>
                <w:sz w:val="18"/>
                <w:szCs w:val="18"/>
              </w:rPr>
              <w:t>The Berkshire Gas Company filed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437FC8">
              <w:rPr>
                <w:rFonts w:ascii="Cambria" w:hAnsi="Cambria"/>
                <w:bCs/>
                <w:sz w:val="18"/>
                <w:szCs w:val="18"/>
              </w:rPr>
              <w:t>a petition with the Department of Public Utilities for an increase in gas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437FC8">
              <w:rPr>
                <w:rFonts w:ascii="Cambria" w:hAnsi="Cambria"/>
                <w:bCs/>
                <w:sz w:val="18"/>
                <w:szCs w:val="18"/>
              </w:rPr>
              <w:t>distribution rates.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321C58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437FC8">
              <w:rPr>
                <w:rFonts w:ascii="Cambria" w:hAnsi="Cambria"/>
                <w:bCs/>
                <w:sz w:val="18"/>
                <w:szCs w:val="18"/>
              </w:rPr>
              <w:t xml:space="preserve">D.P.U. </w:t>
            </w:r>
            <w:r>
              <w:rPr>
                <w:rFonts w:ascii="Cambria" w:hAnsi="Cambria"/>
                <w:bCs/>
                <w:sz w:val="18"/>
                <w:szCs w:val="18"/>
              </w:rPr>
              <w:t>22-20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764CAA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Weather Normalization, </w:t>
            </w:r>
            <w:r w:rsidRPr="00437FC8">
              <w:rPr>
                <w:rFonts w:ascii="Cambria" w:hAnsi="Cambria"/>
                <w:bCs/>
                <w:sz w:val="18"/>
                <w:szCs w:val="18"/>
              </w:rPr>
              <w:t>Rate Design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and Bill Impacts</w:t>
            </w:r>
          </w:p>
        </w:tc>
      </w:tr>
      <w:tr w:rsidR="00EA7B4F" w:rsidRPr="00437FC8" w14:paraId="0B6A7DF0" w14:textId="77777777" w:rsidTr="00EE5431">
        <w:trPr>
          <w:cantSplit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B3C80D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bCs/>
                <w:sz w:val="18"/>
                <w:szCs w:val="18"/>
              </w:rPr>
              <w:t>Boston Gas Company d/b/a National Grid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0E8E7D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2020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7D1D3D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>
              <w:rPr>
                <w:rFonts w:ascii="Cambria" w:eastAsia="Calibri" w:hAnsi="Cambria"/>
                <w:sz w:val="20"/>
              </w:rPr>
              <w:t>Boston Gas Company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D7801C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bCs/>
                <w:sz w:val="18"/>
                <w:szCs w:val="18"/>
              </w:rPr>
              <w:t>D.P.U. 20-120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5A6892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bCs/>
                <w:sz w:val="18"/>
                <w:szCs w:val="18"/>
              </w:rPr>
              <w:t>Allocated Cost of Service, Rate Design and Rate Consolidation</w:t>
            </w:r>
          </w:p>
        </w:tc>
      </w:tr>
      <w:tr w:rsidR="00EA7B4F" w:rsidRPr="00437FC8" w14:paraId="631C1606" w14:textId="77777777" w:rsidTr="00EE5431">
        <w:trPr>
          <w:cantSplit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6E0BF3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bCs/>
                <w:sz w:val="18"/>
                <w:szCs w:val="18"/>
              </w:rPr>
              <w:t>Berkshire Gas Company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CD1FC1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sz w:val="20"/>
              </w:rPr>
              <w:t>2018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47E49C" w14:textId="77777777" w:rsidR="00EA7B4F" w:rsidRPr="00437FC8" w:rsidRDefault="00EA7B4F" w:rsidP="00EE5431">
            <w:pPr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bCs/>
                <w:sz w:val="18"/>
                <w:szCs w:val="18"/>
              </w:rPr>
              <w:t>The Berkshire Gas Company filed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437FC8">
              <w:rPr>
                <w:rFonts w:ascii="Cambria" w:hAnsi="Cambria"/>
                <w:bCs/>
                <w:sz w:val="18"/>
                <w:szCs w:val="18"/>
              </w:rPr>
              <w:t>a petition with the Department of Public Utilities for an increase in gas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437FC8">
              <w:rPr>
                <w:rFonts w:ascii="Cambria" w:hAnsi="Cambria"/>
                <w:bCs/>
                <w:sz w:val="18"/>
                <w:szCs w:val="18"/>
              </w:rPr>
              <w:t>distribution rates.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1A2908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bCs/>
                <w:sz w:val="18"/>
                <w:szCs w:val="18"/>
              </w:rPr>
              <w:t>D.P.U. 18-40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51B7C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bCs/>
                <w:sz w:val="18"/>
                <w:szCs w:val="18"/>
              </w:rPr>
              <w:t>Rate Design, Decoupling and Performance-Based Ratemaking</w:t>
            </w:r>
          </w:p>
        </w:tc>
      </w:tr>
      <w:tr w:rsidR="00EA7B4F" w:rsidRPr="00437FC8" w14:paraId="71BAAD45" w14:textId="77777777" w:rsidTr="00EE5431">
        <w:trPr>
          <w:cantSplit/>
        </w:trPr>
        <w:tc>
          <w:tcPr>
            <w:tcW w:w="9450" w:type="dxa"/>
            <w:gridSpan w:val="5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85C3F0" w14:textId="77777777" w:rsidR="00EA7B4F" w:rsidRPr="00437FC8" w:rsidRDefault="00EA7B4F" w:rsidP="00EE5431">
            <w:pPr>
              <w:keepNext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eastAsia="Calibri" w:hAnsi="Cambria"/>
                <w:b/>
                <w:color w:val="400000"/>
                <w:sz w:val="20"/>
              </w:rPr>
              <w:lastRenderedPageBreak/>
              <w:t>New Hampshire Public Utilities Commission</w:t>
            </w:r>
          </w:p>
        </w:tc>
      </w:tr>
      <w:tr w:rsidR="00EA7B4F" w:rsidRPr="00437FC8" w14:paraId="70E36799" w14:textId="77777777" w:rsidTr="00EE5431">
        <w:trPr>
          <w:cantSplit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961D2A" w14:textId="77777777" w:rsidR="00EA7B4F" w:rsidRPr="00BD2126" w:rsidRDefault="00EA7B4F" w:rsidP="00EE5431">
            <w:pPr>
              <w:adjustRightInd w:val="0"/>
              <w:spacing w:line="276" w:lineRule="auto"/>
              <w:rPr>
                <w:rFonts w:ascii="Cambria" w:hAnsi="Cambria"/>
                <w:sz w:val="18"/>
              </w:rPr>
            </w:pPr>
            <w:r w:rsidRPr="00BD2126">
              <w:rPr>
                <w:rFonts w:ascii="Cambria" w:hAnsi="Cambria"/>
                <w:sz w:val="18"/>
              </w:rPr>
              <w:t>Liberty Utilities – New Hampshire</w:t>
            </w:r>
          </w:p>
          <w:p w14:paraId="16E999B8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hAnsi="Cambria"/>
                <w:sz w:val="18"/>
              </w:rPr>
            </w:pPr>
            <w:r w:rsidRPr="00BD2126">
              <w:rPr>
                <w:rFonts w:ascii="Cambria" w:hAnsi="Cambria"/>
                <w:sz w:val="18"/>
              </w:rPr>
              <w:t>d/b/a/ Granite State Electric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BAE9EF" w14:textId="77777777" w:rsidR="00EA7B4F" w:rsidRPr="00437FC8" w:rsidRDefault="00EA7B4F" w:rsidP="00EE5431">
            <w:pPr>
              <w:keepNext/>
              <w:adjustRightInd w:val="0"/>
              <w:spacing w:line="276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2022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AD313F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Request for Approval of Revenue Decoupling Adjustment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46F2F1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DE 22-052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E2ABBD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Revenue Decoupling - Compliance</w:t>
            </w:r>
          </w:p>
        </w:tc>
      </w:tr>
      <w:tr w:rsidR="00EA7B4F" w:rsidRPr="00437FC8" w14:paraId="52359F8C" w14:textId="77777777" w:rsidTr="00EE5431">
        <w:trPr>
          <w:cantSplit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0A45C0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hAnsi="Cambria"/>
                <w:sz w:val="18"/>
              </w:rPr>
            </w:pPr>
            <w:r w:rsidRPr="00437FC8">
              <w:rPr>
                <w:rFonts w:ascii="Cambria" w:hAnsi="Cambria"/>
                <w:sz w:val="18"/>
              </w:rPr>
              <w:t>Liberty Utilities – New Hampshire</w:t>
            </w:r>
          </w:p>
          <w:p w14:paraId="2822C99E" w14:textId="77777777" w:rsidR="00EA7B4F" w:rsidRPr="00437FC8" w:rsidRDefault="00EA7B4F" w:rsidP="00EE5431">
            <w:pPr>
              <w:keepNext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d/b/a/ Granite State Electric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9D7755" w14:textId="77777777" w:rsidR="00EA7B4F" w:rsidRPr="00437FC8" w:rsidRDefault="00EA7B4F" w:rsidP="00EE5431">
            <w:pPr>
              <w:keepNext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2019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F7D5EB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  <w:szCs w:val="18"/>
              </w:rPr>
              <w:t>Granite State Electric - Petition for Permanent and Temporary Rates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D64A46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DE 19-064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EC3839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Revenue Decoupling</w:t>
            </w:r>
          </w:p>
        </w:tc>
      </w:tr>
      <w:tr w:rsidR="00EA7B4F" w:rsidRPr="00437FC8" w14:paraId="573A568C" w14:textId="77777777" w:rsidTr="00EE5431">
        <w:trPr>
          <w:cantSplit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6AA94" w14:textId="77777777" w:rsidR="00EA7B4F" w:rsidRPr="00437FC8" w:rsidRDefault="00EA7B4F" w:rsidP="00EE5431">
            <w:pPr>
              <w:keepNext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Pennichuck Water Works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3ADF1C" w14:textId="77777777" w:rsidR="00EA7B4F" w:rsidRPr="00437FC8" w:rsidRDefault="00EA7B4F" w:rsidP="00EE5431">
            <w:pPr>
              <w:keepNext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2018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8E0C03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Pennichuck Water Works, Inc. – Rate Proceeding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6FBCEF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DG 19-084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B0019B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Allocated Cost of Service</w:t>
            </w:r>
          </w:p>
        </w:tc>
      </w:tr>
      <w:tr w:rsidR="00EA7B4F" w:rsidRPr="00437FC8" w14:paraId="3FBA42CC" w14:textId="77777777" w:rsidTr="00EE5431">
        <w:trPr>
          <w:cantSplit/>
        </w:trPr>
        <w:tc>
          <w:tcPr>
            <w:tcW w:w="20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171E62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hAnsi="Cambria"/>
                <w:sz w:val="18"/>
              </w:rPr>
            </w:pPr>
            <w:r w:rsidRPr="00437FC8">
              <w:rPr>
                <w:rFonts w:ascii="Cambria" w:hAnsi="Cambria"/>
                <w:sz w:val="18"/>
              </w:rPr>
              <w:t>Liberty Utilities – New Hampshire</w:t>
            </w:r>
          </w:p>
          <w:p w14:paraId="35F59A86" w14:textId="77777777" w:rsidR="00EA7B4F" w:rsidRPr="00437FC8" w:rsidRDefault="00EA7B4F" w:rsidP="00EE5431">
            <w:pPr>
              <w:keepNext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d/b/a/ EnergyNorth Natural Gas</w:t>
            </w:r>
          </w:p>
        </w:tc>
        <w:tc>
          <w:tcPr>
            <w:tcW w:w="9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35E983" w14:textId="77777777" w:rsidR="00EA7B4F" w:rsidRPr="00437FC8" w:rsidRDefault="00EA7B4F" w:rsidP="00EE5431">
            <w:pPr>
              <w:keepNext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2017</w:t>
            </w:r>
          </w:p>
        </w:tc>
        <w:tc>
          <w:tcPr>
            <w:tcW w:w="23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C1077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23ADE031">
              <w:rPr>
                <w:rFonts w:ascii="Cambria" w:hAnsi="Cambria"/>
                <w:sz w:val="18"/>
                <w:szCs w:val="18"/>
              </w:rPr>
              <w:t>Liberty Distribution Service Rate Case – Request for change in rates</w:t>
            </w:r>
          </w:p>
        </w:tc>
        <w:tc>
          <w:tcPr>
            <w:tcW w:w="135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20A92F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DG 17-048</w:t>
            </w: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071E9C" w14:textId="77777777" w:rsidR="00EA7B4F" w:rsidRPr="00437FC8" w:rsidRDefault="00EA7B4F" w:rsidP="00EE5431">
            <w:pPr>
              <w:adjustRightInd w:val="0"/>
              <w:spacing w:line="276" w:lineRule="auto"/>
              <w:rPr>
                <w:rFonts w:ascii="Cambria" w:hAnsi="Cambria"/>
                <w:sz w:val="18"/>
              </w:rPr>
            </w:pPr>
            <w:r w:rsidRPr="00437FC8">
              <w:rPr>
                <w:rFonts w:ascii="Cambria" w:hAnsi="Cambria"/>
                <w:sz w:val="18"/>
              </w:rPr>
              <w:t>Revenue Decoupling</w:t>
            </w:r>
          </w:p>
          <w:p w14:paraId="2A2DF26F" w14:textId="77777777" w:rsidR="00EA7B4F" w:rsidRPr="00437FC8" w:rsidRDefault="00EA7B4F" w:rsidP="00EE5431">
            <w:pPr>
              <w:keepNext/>
              <w:keepLines/>
              <w:adjustRightInd w:val="0"/>
              <w:spacing w:line="276" w:lineRule="auto"/>
              <w:rPr>
                <w:rFonts w:ascii="Cambria" w:eastAsia="Calibri" w:hAnsi="Cambria"/>
                <w:sz w:val="20"/>
              </w:rPr>
            </w:pPr>
            <w:r w:rsidRPr="00437FC8">
              <w:rPr>
                <w:rFonts w:ascii="Cambria" w:hAnsi="Cambria"/>
                <w:sz w:val="18"/>
              </w:rPr>
              <w:t>Rate Design</w:t>
            </w:r>
          </w:p>
        </w:tc>
      </w:tr>
    </w:tbl>
    <w:bookmarkEnd w:id="3"/>
    <w:p w14:paraId="67A167F8" w14:textId="77777777" w:rsidR="00EA7B4F" w:rsidRPr="0079393E" w:rsidRDefault="00EA7B4F" w:rsidP="00EA7B4F">
      <w:pPr>
        <w:rPr>
          <w:rFonts w:cs="Courier New"/>
          <w:b/>
          <w:sz w:val="28"/>
          <w:szCs w:val="28"/>
        </w:rPr>
      </w:pPr>
      <w:r w:rsidRPr="0079393E">
        <w:rPr>
          <w:rFonts w:cs="Courier New"/>
          <w:b/>
          <w:sz w:val="28"/>
          <w:szCs w:val="28"/>
        </w:rPr>
        <w:t xml:space="preserve"> </w:t>
      </w:r>
    </w:p>
    <w:p w14:paraId="361E8975" w14:textId="77777777" w:rsidR="00EA7B4F" w:rsidRDefault="00EA7B4F" w:rsidP="00EA7B4F">
      <w:pPr>
        <w:ind w:left="-1440"/>
        <w:jc w:val="center"/>
        <w:rPr>
          <w:rFonts w:cs="Courier New"/>
          <w:b/>
          <w:sz w:val="28"/>
          <w:szCs w:val="28"/>
        </w:rPr>
      </w:pPr>
    </w:p>
    <w:p w14:paraId="61B5F2B9" w14:textId="77777777" w:rsidR="00EA7B4F" w:rsidRDefault="00EA7B4F"/>
    <w:sectPr w:rsidR="00EA7B4F" w:rsidSect="007F1F85">
      <w:pgSz w:w="12240" w:h="15840" w:code="1"/>
      <w:pgMar w:top="1440" w:right="720" w:bottom="720" w:left="2160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2475" w14:textId="77777777" w:rsidR="00622395" w:rsidRDefault="00622395" w:rsidP="00EA7B4F">
      <w:pPr>
        <w:spacing w:line="240" w:lineRule="auto"/>
      </w:pPr>
      <w:r>
        <w:separator/>
      </w:r>
    </w:p>
  </w:endnote>
  <w:endnote w:type="continuationSeparator" w:id="0">
    <w:p w14:paraId="61AA9E4A" w14:textId="77777777" w:rsidR="00622395" w:rsidRDefault="00622395" w:rsidP="00EA7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 3">
    <w:altName w:val="Cambria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E505" w14:textId="77777777" w:rsidR="00D13DAC" w:rsidRDefault="00622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5536" w14:textId="77777777" w:rsidR="00D13DAC" w:rsidRPr="00CD713C" w:rsidRDefault="00EA7B4F" w:rsidP="008E7075">
    <w:pPr>
      <w:pStyle w:val="Footer"/>
      <w:jc w:val="right"/>
      <w:rPr>
        <w:rFonts w:ascii="Trajan Pro 3" w:hAnsi="Trajan Pro 3"/>
        <w:smallCaps/>
        <w:sz w:val="18"/>
        <w:szCs w:val="18"/>
      </w:rPr>
    </w:pPr>
    <w:r w:rsidRPr="00CD713C">
      <w:rPr>
        <w:rFonts w:ascii="Trajan Pro 3" w:hAnsi="Trajan Pro 3"/>
        <w:smallCaps/>
        <w:sz w:val="18"/>
        <w:szCs w:val="18"/>
      </w:rPr>
      <w:t xml:space="preserve">Concentric Energy Advisors | </w:t>
    </w:r>
    <w:r w:rsidRPr="00437FC8">
      <w:rPr>
        <w:rFonts w:ascii="Trajan Pro 3" w:hAnsi="Trajan Pro 3"/>
        <w:smallCaps/>
        <w:sz w:val="18"/>
        <w:szCs w:val="18"/>
      </w:rPr>
      <w:t>Pg. A-</w:t>
    </w:r>
    <w:r w:rsidRPr="00437FC8">
      <w:rPr>
        <w:rFonts w:ascii="Trajan Pro 3" w:hAnsi="Trajan Pro 3"/>
        <w:smallCaps/>
        <w:sz w:val="18"/>
        <w:szCs w:val="18"/>
      </w:rPr>
      <w:fldChar w:fldCharType="begin"/>
    </w:r>
    <w:r w:rsidRPr="00CD713C">
      <w:rPr>
        <w:rFonts w:ascii="Trajan Pro 3" w:hAnsi="Trajan Pro 3"/>
        <w:smallCaps/>
        <w:sz w:val="18"/>
        <w:szCs w:val="18"/>
      </w:rPr>
      <w:instrText xml:space="preserve"> PAGE    \* MERGEFORMAT </w:instrText>
    </w:r>
    <w:r w:rsidRPr="00437FC8">
      <w:rPr>
        <w:rFonts w:ascii="Trajan Pro 3" w:hAnsi="Trajan Pro 3"/>
        <w:smallCaps/>
        <w:sz w:val="18"/>
        <w:szCs w:val="18"/>
      </w:rPr>
      <w:fldChar w:fldCharType="separate"/>
    </w:r>
    <w:r w:rsidRPr="00437FC8">
      <w:rPr>
        <w:rFonts w:ascii="Trajan Pro 3" w:hAnsi="Trajan Pro 3"/>
        <w:smallCaps/>
        <w:sz w:val="18"/>
        <w:szCs w:val="18"/>
      </w:rPr>
      <w:t>1</w:t>
    </w:r>
    <w:r w:rsidRPr="00437FC8">
      <w:rPr>
        <w:rFonts w:ascii="Trajan Pro 3" w:hAnsi="Trajan Pro 3"/>
        <w:smallCap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D686" w14:textId="77777777" w:rsidR="00D13DAC" w:rsidRPr="00CD713C" w:rsidRDefault="00EA7B4F" w:rsidP="008E7075">
    <w:pPr>
      <w:pStyle w:val="Footer"/>
      <w:jc w:val="right"/>
      <w:rPr>
        <w:rFonts w:ascii="Trajan Pro 3" w:hAnsi="Trajan Pro 3"/>
        <w:smallCaps/>
        <w:sz w:val="18"/>
        <w:szCs w:val="18"/>
      </w:rPr>
    </w:pPr>
    <w:r w:rsidRPr="00CD713C">
      <w:rPr>
        <w:rFonts w:ascii="Trajan Pro 3" w:hAnsi="Trajan Pro 3"/>
        <w:smallCaps/>
        <w:sz w:val="18"/>
        <w:szCs w:val="18"/>
      </w:rPr>
      <w:t xml:space="preserve">Concentric Energy Advisors | </w:t>
    </w:r>
    <w:r w:rsidRPr="00CD713C">
      <w:rPr>
        <w:rFonts w:ascii="Trajan Pro 3" w:eastAsiaTheme="majorEastAsia" w:hAnsi="Trajan Pro 3" w:cstheme="majorBidi"/>
        <w:smallCaps/>
        <w:sz w:val="18"/>
        <w:szCs w:val="18"/>
      </w:rPr>
      <w:t>Pg. A-</w:t>
    </w:r>
    <w:r w:rsidRPr="00CD713C">
      <w:rPr>
        <w:rFonts w:ascii="Trajan Pro 3" w:eastAsiaTheme="minorEastAsia" w:hAnsi="Trajan Pro 3" w:cstheme="minorBidi"/>
        <w:smallCaps/>
        <w:sz w:val="18"/>
        <w:szCs w:val="18"/>
      </w:rPr>
      <w:fldChar w:fldCharType="begin"/>
    </w:r>
    <w:r w:rsidRPr="00CD713C">
      <w:rPr>
        <w:rFonts w:ascii="Trajan Pro 3" w:hAnsi="Trajan Pro 3"/>
        <w:smallCaps/>
        <w:sz w:val="18"/>
        <w:szCs w:val="18"/>
      </w:rPr>
      <w:instrText xml:space="preserve"> PAGE    \* MERGEFORMAT </w:instrText>
    </w:r>
    <w:r w:rsidRPr="00CD713C">
      <w:rPr>
        <w:rFonts w:ascii="Trajan Pro 3" w:eastAsiaTheme="minorEastAsia" w:hAnsi="Trajan Pro 3" w:cstheme="minorBidi"/>
        <w:smallCaps/>
        <w:sz w:val="18"/>
        <w:szCs w:val="18"/>
      </w:rPr>
      <w:fldChar w:fldCharType="separate"/>
    </w:r>
    <w:r w:rsidRPr="00CD713C">
      <w:rPr>
        <w:rFonts w:ascii="Trajan Pro 3" w:eastAsiaTheme="majorEastAsia" w:hAnsi="Trajan Pro 3" w:cstheme="majorBidi"/>
        <w:smallCaps/>
        <w:noProof/>
        <w:sz w:val="18"/>
        <w:szCs w:val="18"/>
      </w:rPr>
      <w:t>1</w:t>
    </w:r>
    <w:r w:rsidRPr="00CD713C">
      <w:rPr>
        <w:rFonts w:ascii="Trajan Pro 3" w:eastAsiaTheme="majorEastAsia" w:hAnsi="Trajan Pro 3" w:cstheme="majorBidi"/>
        <w:small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F5E3" w14:textId="77777777" w:rsidR="00622395" w:rsidRDefault="00622395" w:rsidP="00EA7B4F">
      <w:pPr>
        <w:spacing w:line="240" w:lineRule="auto"/>
      </w:pPr>
      <w:r>
        <w:separator/>
      </w:r>
    </w:p>
  </w:footnote>
  <w:footnote w:type="continuationSeparator" w:id="0">
    <w:p w14:paraId="4E4AB18D" w14:textId="77777777" w:rsidR="00622395" w:rsidRDefault="00622395" w:rsidP="00EA7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8FD2" w14:textId="77777777" w:rsidR="00D13DAC" w:rsidRDefault="00622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A4F4" w14:textId="6357CE64" w:rsidR="00D13DAC" w:rsidRPr="00CD713C" w:rsidRDefault="00EA7B4F" w:rsidP="008E7075">
    <w:pPr>
      <w:pStyle w:val="Header2"/>
      <w:rPr>
        <w:rFonts w:ascii="Trajan Pro 3" w:hAnsi="Trajan Pro 3"/>
        <w:lang w:val="en-US"/>
      </w:rPr>
    </w:pPr>
    <w:r w:rsidRPr="00CD713C">
      <w:rPr>
        <w:rFonts w:ascii="Trajan Pro 3" w:hAnsi="Trajan Pro 3"/>
      </w:rPr>
      <w:drawing>
        <wp:anchor distT="0" distB="0" distL="114300" distR="114300" simplePos="0" relativeHeight="251659264" behindDoc="0" locked="0" layoutInCell="1" allowOverlap="1" wp14:anchorId="05C06669" wp14:editId="4125862A">
          <wp:simplePos x="0" y="0"/>
          <wp:positionH relativeFrom="margin">
            <wp:align>left</wp:align>
          </wp:positionH>
          <wp:positionV relativeFrom="page">
            <wp:posOffset>457523</wp:posOffset>
          </wp:positionV>
          <wp:extent cx="539496" cy="4572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abyrinth Icon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13C">
      <w:rPr>
        <w:rFonts w:ascii="Trajan Pro 3" w:hAnsi="Trajan Pro 3"/>
        <w:lang w:val="en-US"/>
      </w:rPr>
      <w:t>Attachment A: Resume of Gregg</w:t>
    </w:r>
    <w:r>
      <w:rPr>
        <w:rFonts w:ascii="Trajan Pro 3" w:hAnsi="Trajan Pro 3"/>
        <w:lang w:val="en-US"/>
      </w:rPr>
      <w:t xml:space="preserve"> </w:t>
    </w:r>
    <w:r w:rsidRPr="00CD713C">
      <w:rPr>
        <w:rFonts w:ascii="Trajan Pro 3" w:hAnsi="Trajan Pro 3"/>
        <w:lang w:val="en-US"/>
      </w:rPr>
      <w:t>Therrien</w:t>
    </w:r>
  </w:p>
  <w:p w14:paraId="445A128F" w14:textId="77777777" w:rsidR="00D13DAC" w:rsidRDefault="00622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E8F" w14:textId="52048AA4" w:rsidR="00D13DAC" w:rsidRPr="00CD713C" w:rsidRDefault="00EA7B4F" w:rsidP="008E7075">
    <w:pPr>
      <w:pStyle w:val="Header2"/>
      <w:rPr>
        <w:rFonts w:ascii="Trajan Pro 3" w:hAnsi="Trajan Pro 3"/>
        <w:lang w:val="en-US"/>
      </w:rPr>
    </w:pPr>
    <w:r>
      <w:drawing>
        <wp:anchor distT="0" distB="0" distL="114300" distR="114300" simplePos="0" relativeHeight="251660288" behindDoc="0" locked="0" layoutInCell="1" allowOverlap="1" wp14:anchorId="5798BFB0" wp14:editId="19FEB940">
          <wp:simplePos x="0" y="0"/>
          <wp:positionH relativeFrom="page">
            <wp:posOffset>831850</wp:posOffset>
          </wp:positionH>
          <wp:positionV relativeFrom="page">
            <wp:posOffset>495916</wp:posOffset>
          </wp:positionV>
          <wp:extent cx="1737115" cy="425487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115" cy="425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13C">
      <w:rPr>
        <w:rFonts w:ascii="Trajan Pro 3" w:hAnsi="Trajan Pro 3"/>
        <w:lang w:val="en-US"/>
      </w:rPr>
      <w:t>Attachment A: Resume of Gregg</w:t>
    </w:r>
    <w:r>
      <w:rPr>
        <w:rFonts w:ascii="Trajan Pro 3" w:hAnsi="Trajan Pro 3"/>
        <w:lang w:val="en-US"/>
      </w:rPr>
      <w:t xml:space="preserve"> </w:t>
    </w:r>
    <w:r w:rsidRPr="00CD713C">
      <w:rPr>
        <w:rFonts w:ascii="Trajan Pro 3" w:hAnsi="Trajan Pro 3"/>
        <w:lang w:val="en-US"/>
      </w:rPr>
      <w:t>Therrien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7B78"/>
    <w:multiLevelType w:val="hybridMultilevel"/>
    <w:tmpl w:val="F382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83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4F"/>
    <w:rsid w:val="00622395"/>
    <w:rsid w:val="00D458B4"/>
    <w:rsid w:val="00E310EF"/>
    <w:rsid w:val="00E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33B1"/>
  <w15:chartTrackingRefBased/>
  <w15:docId w15:val="{09DF6061-E426-4CDD-B9C6-97615CD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4F"/>
    <w:pPr>
      <w:spacing w:after="0" w:line="500" w:lineRule="exact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7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B4F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7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B4F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A7B4F"/>
    <w:pPr>
      <w:ind w:left="720"/>
      <w:contextualSpacing/>
    </w:pPr>
    <w:rPr>
      <w:rFonts w:ascii="Times New Roman" w:eastAsiaTheme="minorHAnsi" w:hAnsi="Times New Roman" w:cstheme="majorBidi"/>
    </w:rPr>
  </w:style>
  <w:style w:type="paragraph" w:customStyle="1" w:styleId="Header2">
    <w:name w:val="Header 2"/>
    <w:basedOn w:val="Header"/>
    <w:link w:val="Header2Char"/>
    <w:rsid w:val="00EA7B4F"/>
    <w:pPr>
      <w:tabs>
        <w:tab w:val="clear" w:pos="4320"/>
        <w:tab w:val="clear" w:pos="8640"/>
        <w:tab w:val="center" w:pos="4680"/>
        <w:tab w:val="right" w:pos="9360"/>
      </w:tabs>
      <w:spacing w:line="240" w:lineRule="auto"/>
      <w:jc w:val="right"/>
    </w:pPr>
    <w:rPr>
      <w:rFonts w:ascii="Trajan Pro" w:hAnsi="Trajan Pro"/>
      <w:smallCaps/>
      <w:noProof/>
      <w:sz w:val="18"/>
      <w:szCs w:val="18"/>
      <w:lang w:val="x-none" w:eastAsia="x-none"/>
    </w:rPr>
  </w:style>
  <w:style w:type="character" w:customStyle="1" w:styleId="Header2Char">
    <w:name w:val="Header 2 Char"/>
    <w:basedOn w:val="HeaderChar"/>
    <w:link w:val="Header2"/>
    <w:rsid w:val="00EA7B4F"/>
    <w:rPr>
      <w:rFonts w:ascii="Trajan Pro" w:eastAsia="Times New Roman" w:hAnsi="Trajan Pro" w:cs="Times New Roman"/>
      <w:smallCaps/>
      <w:noProof/>
      <w:sz w:val="18"/>
      <w:szCs w:val="18"/>
      <w:lang w:val="x-none" w:eastAsia="x-none"/>
    </w:rPr>
  </w:style>
  <w:style w:type="paragraph" w:customStyle="1" w:styleId="sectionname">
    <w:name w:val="section name"/>
    <w:basedOn w:val="Normal"/>
    <w:link w:val="sectionnameChar"/>
    <w:qFormat/>
    <w:rsid w:val="00EA7B4F"/>
    <w:pPr>
      <w:pBdr>
        <w:bottom w:val="single" w:sz="4" w:space="1" w:color="auto"/>
      </w:pBdr>
      <w:spacing w:after="240" w:line="276" w:lineRule="auto"/>
      <w:contextualSpacing/>
    </w:pPr>
    <w:rPr>
      <w:rFonts w:ascii="Century Gothic" w:eastAsiaTheme="minorEastAsia" w:hAnsi="Century Gothic" w:cstheme="minorBidi"/>
      <w:b/>
      <w:caps/>
      <w:color w:val="400000"/>
      <w:sz w:val="28"/>
      <w:szCs w:val="28"/>
    </w:rPr>
  </w:style>
  <w:style w:type="character" w:customStyle="1" w:styleId="sectionnameChar">
    <w:name w:val="section name Char"/>
    <w:basedOn w:val="DefaultParagraphFont"/>
    <w:link w:val="sectionname"/>
    <w:rsid w:val="00EA7B4F"/>
    <w:rPr>
      <w:rFonts w:ascii="Century Gothic" w:eastAsiaTheme="minorEastAsia" w:hAnsi="Century Gothic"/>
      <w:b/>
      <w:caps/>
      <w:color w:val="400000"/>
      <w:sz w:val="28"/>
      <w:szCs w:val="28"/>
    </w:rPr>
  </w:style>
  <w:style w:type="paragraph" w:customStyle="1" w:styleId="Subheading1">
    <w:name w:val="Subheading 1"/>
    <w:basedOn w:val="Normal"/>
    <w:link w:val="Subheading1Char"/>
    <w:qFormat/>
    <w:rsid w:val="00EA7B4F"/>
    <w:pPr>
      <w:keepNext/>
      <w:keepLines/>
      <w:spacing w:before="240" w:after="160" w:line="256" w:lineRule="auto"/>
      <w:jc w:val="both"/>
    </w:pPr>
    <w:rPr>
      <w:rFonts w:ascii="Cambria" w:eastAsia="Calibri" w:hAnsi="Cambria"/>
      <w:b/>
      <w:sz w:val="22"/>
      <w:szCs w:val="22"/>
    </w:rPr>
  </w:style>
  <w:style w:type="paragraph" w:customStyle="1" w:styleId="Subheading2">
    <w:name w:val="Subheading 2"/>
    <w:basedOn w:val="Subheading1"/>
    <w:link w:val="Subheading2Char"/>
    <w:qFormat/>
    <w:rsid w:val="00EA7B4F"/>
    <w:rPr>
      <w:rFonts w:ascii="Century Gothic" w:hAnsi="Century Gothic"/>
      <w:b w:val="0"/>
      <w:color w:val="400000"/>
    </w:rPr>
  </w:style>
  <w:style w:type="character" w:customStyle="1" w:styleId="Subheading1Char">
    <w:name w:val="Subheading 1 Char"/>
    <w:basedOn w:val="DefaultParagraphFont"/>
    <w:link w:val="Subheading1"/>
    <w:rsid w:val="00EA7B4F"/>
    <w:rPr>
      <w:rFonts w:ascii="Cambria" w:eastAsia="Calibri" w:hAnsi="Cambria" w:cs="Times New Roman"/>
      <w:b/>
    </w:rPr>
  </w:style>
  <w:style w:type="character" w:customStyle="1" w:styleId="Subheading2Char">
    <w:name w:val="Subheading 2 Char"/>
    <w:basedOn w:val="Subheading1Char"/>
    <w:link w:val="Subheading2"/>
    <w:rsid w:val="00EA7B4F"/>
    <w:rPr>
      <w:rFonts w:ascii="Century Gothic" w:eastAsia="Calibri" w:hAnsi="Century Gothic" w:cs="Times New Roman"/>
      <w:b w:val="0"/>
      <w:color w:val="4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B27A9-AE6F-41EF-948A-D18E05E54541}"/>
</file>

<file path=customXml/itemProps2.xml><?xml version="1.0" encoding="utf-8"?>
<ds:datastoreItem xmlns:ds="http://schemas.openxmlformats.org/officeDocument/2006/customXml" ds:itemID="{CBD5ECDB-9373-48B4-903A-70A35B0DA1AE}"/>
</file>

<file path=customXml/itemProps3.xml><?xml version="1.0" encoding="utf-8"?>
<ds:datastoreItem xmlns:ds="http://schemas.openxmlformats.org/officeDocument/2006/customXml" ds:itemID="{6CEAF222-9CCE-4CBF-8663-137E9635AE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Brenda L.</dc:creator>
  <cp:keywords/>
  <dc:description/>
  <cp:lastModifiedBy>Irizarry, Brenda L.</cp:lastModifiedBy>
  <cp:revision>3</cp:revision>
  <dcterms:created xsi:type="dcterms:W3CDTF">2023-03-23T20:35:00Z</dcterms:created>
  <dcterms:modified xsi:type="dcterms:W3CDTF">2023-03-24T14:14:00Z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2023-03-24T14:13:40Z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5f4408fb-fdd3-4c0e-87d9-8f5422257253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