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2166" w:rsidP="009B2166">
      <w:pPr>
        <w:pStyle w:val="OrderHeading"/>
      </w:pPr>
      <w:r>
        <w:t>BEFORE THE FLORIDA PUBLIC SERVICE COMMISSION</w:t>
      </w:r>
    </w:p>
    <w:p w:rsidR="009B2166" w:rsidRDefault="009B2166" w:rsidP="009B21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2166" w:rsidRPr="00C63FCF" w:rsidTr="00C63FCF">
        <w:trPr>
          <w:trHeight w:val="828"/>
        </w:trPr>
        <w:tc>
          <w:tcPr>
            <w:tcW w:w="4788" w:type="dxa"/>
            <w:tcBorders>
              <w:bottom w:val="single" w:sz="8" w:space="0" w:color="auto"/>
              <w:right w:val="double" w:sz="6" w:space="0" w:color="auto"/>
            </w:tcBorders>
            <w:shd w:val="clear" w:color="auto" w:fill="auto"/>
          </w:tcPr>
          <w:p w:rsidR="009B2166" w:rsidRDefault="009B216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B2166" w:rsidRDefault="009B2166" w:rsidP="009B2166">
            <w:pPr>
              <w:pStyle w:val="OrderBody"/>
            </w:pPr>
            <w:r>
              <w:t xml:space="preserve">DOCKET NO. </w:t>
            </w:r>
            <w:bookmarkStart w:id="1" w:name="SSDocketNo"/>
            <w:bookmarkEnd w:id="1"/>
            <w:r>
              <w:t>20240001-EI</w:t>
            </w:r>
          </w:p>
          <w:p w:rsidR="009B2166" w:rsidRDefault="009B2166" w:rsidP="00C63FCF">
            <w:pPr>
              <w:pStyle w:val="OrderBody"/>
              <w:tabs>
                <w:tab w:val="center" w:pos="4320"/>
                <w:tab w:val="right" w:pos="8640"/>
              </w:tabs>
              <w:jc w:val="left"/>
            </w:pPr>
            <w:r>
              <w:t xml:space="preserve">ORDER NO. </w:t>
            </w:r>
            <w:bookmarkStart w:id="2" w:name="OrderNo0075"/>
            <w:r w:rsidR="00C01A5C">
              <w:t>PSC-2024-0075-PHO-EI</w:t>
            </w:r>
            <w:bookmarkEnd w:id="2"/>
          </w:p>
          <w:p w:rsidR="009B2166" w:rsidRDefault="009B2166" w:rsidP="00C63FCF">
            <w:pPr>
              <w:pStyle w:val="OrderBody"/>
              <w:tabs>
                <w:tab w:val="center" w:pos="4320"/>
                <w:tab w:val="right" w:pos="8640"/>
              </w:tabs>
              <w:jc w:val="left"/>
            </w:pPr>
            <w:r>
              <w:t xml:space="preserve">ISSUED: </w:t>
            </w:r>
            <w:r w:rsidR="00C01A5C">
              <w:t>March 21, 2024</w:t>
            </w:r>
          </w:p>
        </w:tc>
      </w:tr>
    </w:tbl>
    <w:p w:rsidR="009B2166" w:rsidRDefault="009B2166" w:rsidP="009B2166"/>
    <w:p w:rsidR="00CB5276" w:rsidRDefault="009B2166" w:rsidP="009B2166">
      <w:pPr>
        <w:pStyle w:val="CenterUnderline"/>
      </w:pPr>
      <w:bookmarkStart w:id="3" w:name="Commissioners"/>
      <w:bookmarkStart w:id="4" w:name="OrderTitle"/>
      <w:bookmarkEnd w:id="3"/>
      <w:r>
        <w:t xml:space="preserve">PREHEARING ORDER </w:t>
      </w:r>
      <w:bookmarkEnd w:id="4"/>
    </w:p>
    <w:p w:rsidR="009B2166" w:rsidRDefault="009B2166" w:rsidP="009B2166">
      <w:pPr>
        <w:pStyle w:val="CenterUnderline"/>
      </w:pPr>
    </w:p>
    <w:p w:rsidR="009B2166" w:rsidRPr="00701945" w:rsidRDefault="009B2166" w:rsidP="009B2166">
      <w:pPr>
        <w:ind w:firstLine="720"/>
        <w:jc w:val="both"/>
      </w:pPr>
      <w:r w:rsidRPr="00701945">
        <w:t xml:space="preserve">Pursuant to Notice and in accordance with Rule 28-106.209, </w:t>
      </w:r>
      <w:r>
        <w:t>Florida Administrative Code (F.A.C.)</w:t>
      </w:r>
      <w:r w:rsidRPr="00701945">
        <w:t xml:space="preserve">, a Prehearing Conference was held on </w:t>
      </w:r>
      <w:r>
        <w:t>March 19, 2024</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Gabriella Passidomo</w:t>
      </w:r>
      <w:r w:rsidRPr="00701945">
        <w:t>, as Prehearing Officer.</w:t>
      </w:r>
    </w:p>
    <w:p w:rsidR="009B2166" w:rsidRPr="00701945" w:rsidRDefault="009B2166" w:rsidP="009B2166">
      <w:pPr>
        <w:jc w:val="both"/>
      </w:pPr>
    </w:p>
    <w:p w:rsidR="009B2166" w:rsidRPr="00701945" w:rsidRDefault="009B2166" w:rsidP="009B2166">
      <w:pPr>
        <w:jc w:val="both"/>
      </w:pPr>
      <w:r w:rsidRPr="00701945">
        <w:t>APPEARANCES:</w:t>
      </w:r>
    </w:p>
    <w:p w:rsidR="009B2166" w:rsidRPr="00701945" w:rsidRDefault="009B2166" w:rsidP="009B2166">
      <w:pPr>
        <w:jc w:val="both"/>
      </w:pPr>
    </w:p>
    <w:p w:rsidR="009B2166" w:rsidRPr="00503582" w:rsidRDefault="009B2166" w:rsidP="009B2166">
      <w:pPr>
        <w:ind w:left="1440"/>
        <w:jc w:val="both"/>
      </w:pPr>
      <w:r w:rsidRPr="00503582">
        <w:t>MARIA J</w:t>
      </w:r>
      <w:r>
        <w:t>OSE</w:t>
      </w:r>
      <w:r w:rsidRPr="00503582">
        <w:t xml:space="preserve"> MONCADA</w:t>
      </w:r>
      <w:r>
        <w:t xml:space="preserve">, WILLIAM P. COX, and DAVID M. LEE, </w:t>
      </w:r>
      <w:r w:rsidRPr="00503582">
        <w:t>ESQUIRE</w:t>
      </w:r>
      <w:r>
        <w:t>S</w:t>
      </w:r>
      <w:r w:rsidRPr="00503582">
        <w:t>, Florida Power &amp; Light Company, 700 Universe Boulevard, Juno Beach, Florida 33408-0420</w:t>
      </w:r>
    </w:p>
    <w:p w:rsidR="009B2166" w:rsidRPr="00503582" w:rsidRDefault="009B2166" w:rsidP="009B2166">
      <w:pPr>
        <w:ind w:left="1440"/>
        <w:jc w:val="both"/>
        <w:rPr>
          <w:u w:val="single"/>
        </w:rPr>
      </w:pPr>
      <w:r w:rsidRPr="00503582">
        <w:rPr>
          <w:u w:val="single"/>
        </w:rPr>
        <w:t>On behalf of Florida Power &amp; Light Company (FPL)</w:t>
      </w:r>
    </w:p>
    <w:p w:rsidR="009B2166" w:rsidRPr="00503582" w:rsidRDefault="009B2166" w:rsidP="009B2166">
      <w:pPr>
        <w:jc w:val="both"/>
      </w:pPr>
    </w:p>
    <w:p w:rsidR="009B2166" w:rsidRPr="00503582" w:rsidRDefault="009B2166" w:rsidP="009B2166">
      <w:pPr>
        <w:ind w:left="1440" w:hanging="1440"/>
        <w:jc w:val="both"/>
      </w:pPr>
      <w:r w:rsidRPr="00503582">
        <w:rPr>
          <w:rFonts w:cs="Arial"/>
          <w:spacing w:val="-3"/>
        </w:rPr>
        <w:tab/>
      </w:r>
      <w:r>
        <w:rPr>
          <w:rFonts w:cs="Arial"/>
          <w:spacing w:val="-3"/>
        </w:rPr>
        <w:t>WALT TRIERWEILER</w:t>
      </w:r>
      <w:r w:rsidRPr="00503582">
        <w:rPr>
          <w:rFonts w:cs="Arial"/>
          <w:spacing w:val="-3"/>
        </w:rPr>
        <w:t>,</w:t>
      </w:r>
      <w:r>
        <w:rPr>
          <w:rFonts w:cs="Arial"/>
          <w:spacing w:val="-3"/>
        </w:rPr>
        <w:t xml:space="preserve"> </w:t>
      </w:r>
      <w:r w:rsidRPr="00503582">
        <w:t>CHARLES REHWINKEL</w:t>
      </w:r>
      <w:r>
        <w:t xml:space="preserve">, </w:t>
      </w:r>
      <w:r w:rsidRPr="004A6555">
        <w:t>PATRICIA A. CHRISTENSEN</w:t>
      </w:r>
      <w:r>
        <w:t xml:space="preserve">, MARY WESSLING, and OCTAVIO SIMOES-PONCE, </w:t>
      </w:r>
      <w:r w:rsidRPr="00503582">
        <w:t>ESQUIRES, Office of Public Counsel, c/o The Florida Legislature, 111 West Madison Street, Room 812, Tallahassee, Florida 32399-1400</w:t>
      </w:r>
    </w:p>
    <w:p w:rsidR="009B2166" w:rsidRPr="00503582" w:rsidRDefault="009B2166" w:rsidP="009B2166">
      <w:pPr>
        <w:ind w:left="1440" w:hanging="1440"/>
        <w:jc w:val="both"/>
      </w:pPr>
      <w:r w:rsidRPr="00503582">
        <w:tab/>
      </w:r>
      <w:r w:rsidRPr="00503582">
        <w:rPr>
          <w:u w:val="single"/>
        </w:rPr>
        <w:t>On behalf of the Citizens of the State of Florida (OPC)</w:t>
      </w:r>
    </w:p>
    <w:p w:rsidR="009B2166" w:rsidRDefault="009B2166" w:rsidP="009B2166">
      <w:pPr>
        <w:jc w:val="both"/>
      </w:pPr>
    </w:p>
    <w:p w:rsidR="009B2166" w:rsidRDefault="009B2166" w:rsidP="009B2166">
      <w:pPr>
        <w:ind w:left="1440"/>
      </w:pPr>
      <w:r>
        <w:t>JON C. MOYLE, JR. and KAREN A. PUTNAL, ESQUIRES, Moyle Law Firm, PA, The Perkins House, 118 North Gadsden Street, Tallahassee, Florida 32301</w:t>
      </w:r>
    </w:p>
    <w:p w:rsidR="009B2166" w:rsidRPr="00C777BD" w:rsidRDefault="009B2166" w:rsidP="009B2166">
      <w:pPr>
        <w:ind w:left="1440"/>
        <w:rPr>
          <w:u w:val="single"/>
        </w:rPr>
      </w:pPr>
      <w:r>
        <w:rPr>
          <w:u w:val="single"/>
        </w:rPr>
        <w:t>On behalf of the Florida Industrial Power Users Group (FIPUG)</w:t>
      </w:r>
    </w:p>
    <w:p w:rsidR="009B2166" w:rsidRDefault="009B2166" w:rsidP="009B2166">
      <w:pPr>
        <w:jc w:val="both"/>
      </w:pPr>
    </w:p>
    <w:p w:rsidR="009B2166" w:rsidRDefault="009B2166" w:rsidP="009B2166">
      <w:pPr>
        <w:ind w:left="1440"/>
        <w:jc w:val="both"/>
      </w:pPr>
      <w:r>
        <w:t>ROBERT SCHEFFEL WRIGHT and JOHN T. LAVIA, III, ESQUIRES, Gardner Bist, Bowden, Dee, LaVia, Wright, Perry, and Harper, PA, 1300 Thomaswood Drive, Tallahassee, Florida 32308</w:t>
      </w:r>
    </w:p>
    <w:p w:rsidR="009B2166" w:rsidRPr="00856B15" w:rsidRDefault="009B2166" w:rsidP="009B2166">
      <w:pPr>
        <w:ind w:left="1440"/>
        <w:jc w:val="both"/>
        <w:rPr>
          <w:u w:val="single"/>
        </w:rPr>
      </w:pPr>
      <w:r w:rsidRPr="00856B15">
        <w:rPr>
          <w:u w:val="single"/>
        </w:rPr>
        <w:t>On behalf of Florida Retail Federation (FRF)</w:t>
      </w:r>
    </w:p>
    <w:p w:rsidR="009B2166" w:rsidRPr="00503582" w:rsidRDefault="009B2166" w:rsidP="009B2166">
      <w:pPr>
        <w:ind w:left="1440"/>
        <w:jc w:val="both"/>
      </w:pPr>
    </w:p>
    <w:p w:rsidR="009B2166" w:rsidRPr="00701945" w:rsidRDefault="009B2166" w:rsidP="009B2166">
      <w:pPr>
        <w:ind w:left="1440" w:hanging="1440"/>
        <w:jc w:val="both"/>
      </w:pPr>
      <w:r w:rsidRPr="00503582">
        <w:rPr>
          <w:rFonts w:cs="Arial"/>
          <w:spacing w:val="-3"/>
        </w:rPr>
        <w:tab/>
      </w:r>
      <w:r>
        <w:t>SUZANNE BROWNLESS and RYAN SANDY</w:t>
      </w:r>
      <w:r w:rsidRPr="00701945">
        <w:t>, ESQUIRE</w:t>
      </w:r>
      <w:r>
        <w:t>S</w:t>
      </w:r>
      <w:r w:rsidRPr="00701945">
        <w:t>, Florida Public Service Commission, 2540 Shumard Oak Boulevard, Tallahassee, Florida 32399-0850</w:t>
      </w:r>
    </w:p>
    <w:p w:rsidR="009B2166" w:rsidRPr="00701945" w:rsidRDefault="009B2166" w:rsidP="009B2166">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9B2166" w:rsidRDefault="009B2166" w:rsidP="009B2166">
      <w:pPr>
        <w:ind w:left="1440"/>
        <w:jc w:val="both"/>
      </w:pPr>
    </w:p>
    <w:p w:rsidR="009B2166" w:rsidRPr="00701945" w:rsidRDefault="009B2166" w:rsidP="009B2166">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9B2166" w:rsidRPr="00701945" w:rsidRDefault="009B2166" w:rsidP="009B2166">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9B2166" w:rsidRPr="00701945" w:rsidRDefault="009B2166" w:rsidP="009B2166">
      <w:pPr>
        <w:jc w:val="center"/>
        <w:rPr>
          <w:b/>
          <w:bCs/>
          <w:u w:val="single"/>
        </w:rPr>
      </w:pPr>
    </w:p>
    <w:p w:rsidR="009B2166" w:rsidRDefault="009B2166">
      <w:r>
        <w:br w:type="page"/>
      </w:r>
    </w:p>
    <w:p w:rsidR="009B2166" w:rsidRPr="00D033EB" w:rsidRDefault="009B2166" w:rsidP="009B2166">
      <w:pPr>
        <w:ind w:left="1440"/>
        <w:jc w:val="both"/>
      </w:pPr>
      <w:r w:rsidRPr="00D033EB">
        <w:lastRenderedPageBreak/>
        <w:t>K</w:t>
      </w:r>
      <w:r>
        <w:t>EITH C. HETRICK</w:t>
      </w:r>
      <w:r w:rsidRPr="00D033EB">
        <w:t>, ESQUIRE, General Counsel, Florida Public Service Commission, 2540 Shumard Oak Boulevard, Tallahassee, Florida 32399-0850</w:t>
      </w:r>
    </w:p>
    <w:p w:rsidR="009B2166" w:rsidRPr="00D033EB" w:rsidRDefault="009B2166" w:rsidP="009B2166">
      <w:pPr>
        <w:ind w:left="720" w:firstLine="720"/>
        <w:jc w:val="both"/>
      </w:pPr>
      <w:r w:rsidRPr="00D033EB">
        <w:rPr>
          <w:u w:val="single"/>
        </w:rPr>
        <w:t>Florida Public Service Commission General Counsel</w:t>
      </w:r>
    </w:p>
    <w:p w:rsidR="009B2166" w:rsidRDefault="009B2166" w:rsidP="009B2166">
      <w:pPr>
        <w:jc w:val="both"/>
      </w:pPr>
    </w:p>
    <w:p w:rsidR="009B2166" w:rsidRPr="00701945" w:rsidRDefault="009B2166" w:rsidP="009B2166">
      <w:pPr>
        <w:jc w:val="both"/>
      </w:pPr>
    </w:p>
    <w:p w:rsidR="009B2166" w:rsidRPr="00A32DC5" w:rsidRDefault="009B2166" w:rsidP="009B2166">
      <w:pPr>
        <w:jc w:val="both"/>
        <w:rPr>
          <w:b/>
        </w:rPr>
      </w:pPr>
      <w:r w:rsidRPr="00A32DC5">
        <w:rPr>
          <w:b/>
        </w:rPr>
        <w:t>I.</w:t>
      </w:r>
      <w:r w:rsidRPr="00A32DC5">
        <w:rPr>
          <w:b/>
        </w:rPr>
        <w:tab/>
      </w:r>
      <w:r w:rsidRPr="00A32DC5">
        <w:rPr>
          <w:b/>
          <w:u w:val="single"/>
        </w:rPr>
        <w:t>CASE BACKGROUND</w:t>
      </w:r>
    </w:p>
    <w:p w:rsidR="009B2166" w:rsidRPr="00701945" w:rsidRDefault="009B2166" w:rsidP="009B2166">
      <w:pPr>
        <w:jc w:val="both"/>
      </w:pPr>
    </w:p>
    <w:p w:rsidR="009B2166" w:rsidRDefault="009B2166" w:rsidP="009B2166">
      <w:pPr>
        <w:jc w:val="both"/>
      </w:pPr>
      <w:r>
        <w:tab/>
        <w:t>A</w:t>
      </w:r>
      <w:r w:rsidRPr="00440FD7">
        <w:rPr>
          <w:rFonts w:ascii="TimesNewRomanPSMT" w:hAnsi="TimesNewRomanPSMT" w:cs="TimesNewRomanPSMT"/>
        </w:rPr>
        <w:t>n administrative hearing will be held by the Florida Public Service</w:t>
      </w:r>
      <w:r>
        <w:rPr>
          <w:rFonts w:ascii="TimesNewRomanPSMT" w:hAnsi="TimesNewRomanPSMT" w:cs="TimesNewRomanPSMT"/>
        </w:rPr>
        <w:t xml:space="preserve"> </w:t>
      </w:r>
      <w:r w:rsidRPr="00440FD7">
        <w:rPr>
          <w:rFonts w:ascii="TimesNewRomanPSMT" w:hAnsi="TimesNewRomanPSMT" w:cs="TimesNewRomanPSMT"/>
        </w:rPr>
        <w:t xml:space="preserve">Commission (Commission) on </w:t>
      </w:r>
      <w:r>
        <w:rPr>
          <w:rFonts w:ascii="TimesNewRomanPSMT" w:hAnsi="TimesNewRomanPSMT" w:cs="TimesNewRomanPSMT"/>
        </w:rPr>
        <w:t>March 26-27, 2024</w:t>
      </w:r>
      <w:r w:rsidRPr="00440FD7">
        <w:rPr>
          <w:rFonts w:ascii="TimesNewRomanPSMT" w:hAnsi="TimesNewRomanPSMT" w:cs="TimesNewRomanPSMT"/>
        </w:rPr>
        <w:t>.</w:t>
      </w:r>
      <w:r>
        <w:rPr>
          <w:rFonts w:ascii="TimesNewRomanPSMT" w:hAnsi="TimesNewRomanPSMT" w:cs="TimesNewRomanPSMT"/>
        </w:rPr>
        <w:t xml:space="preserve">  </w:t>
      </w:r>
      <w:r w:rsidRPr="000F41B6">
        <w:t xml:space="preserve">The issues to be determined in  this proceeding were deferred from the 2023 Fuel Clause docket </w:t>
      </w:r>
      <w:r>
        <w:t xml:space="preserve">and </w:t>
      </w:r>
      <w:r w:rsidRPr="000F41B6">
        <w:t xml:space="preserve">are associated with nuclear power plant outages that occurred at </w:t>
      </w:r>
      <w:r>
        <w:t xml:space="preserve">Florida Power &amp; Light Company’s </w:t>
      </w:r>
      <w:r w:rsidRPr="000F41B6">
        <w:t>St. Lucie Units 1 and 2 and Turkey Point Units 3 and 4 between 2020 and 2022</w:t>
      </w:r>
      <w:r>
        <w:t xml:space="preserve">.  </w:t>
      </w:r>
    </w:p>
    <w:p w:rsidR="009B2166" w:rsidRPr="000F41B6" w:rsidRDefault="009B2166" w:rsidP="009B2166">
      <w:pPr>
        <w:jc w:val="both"/>
      </w:pPr>
    </w:p>
    <w:p w:rsidR="009B2166" w:rsidRDefault="009B2166" w:rsidP="00D915DD">
      <w:pPr>
        <w:ind w:firstLine="720"/>
        <w:jc w:val="both"/>
      </w:pPr>
      <w:r>
        <w:t xml:space="preserve">At this time there are only four parties to the Fuel Clause docket that have standing to participate in this proceeding:  FPL, Office of Public Counsel (OPC), Florida Industrial Power Users Group </w:t>
      </w:r>
      <w:r w:rsidR="00D915DD">
        <w:t xml:space="preserve">(FIPUG) </w:t>
      </w:r>
      <w:r>
        <w:t>and Florida Retail Federation</w:t>
      </w:r>
      <w:r w:rsidR="00D915DD">
        <w:t xml:space="preserve"> (FRF)</w:t>
      </w:r>
      <w:r>
        <w:t xml:space="preserve">.  The other parties to the docket that are without standing to participate in this proceeding are the other investor-owned electric utilities (TECO, DEF, FPUC), Nucor, and PCS Phosphate. </w:t>
      </w:r>
    </w:p>
    <w:p w:rsidR="009B2166" w:rsidRDefault="009B2166" w:rsidP="00D915DD">
      <w:pPr>
        <w:ind w:firstLine="360"/>
        <w:jc w:val="both"/>
      </w:pPr>
    </w:p>
    <w:p w:rsidR="009B2166" w:rsidRDefault="009B2166" w:rsidP="00D915DD">
      <w:pPr>
        <w:ind w:firstLine="720"/>
        <w:jc w:val="both"/>
      </w:pPr>
      <w:r>
        <w:t xml:space="preserve">FRF filed a Prehearing Statement on March 11, 2024.  FPL, OPC, and FIPUG filed Prehearing Statements on March 12, 2024.  FPL and OPC have agreed to stipulations on all the issues raised in this proceeding.  FRF and FIPUG have stated that they take no position on the issues raised in this proceeding and have requested to be excused from the March 26 final hearing. </w:t>
      </w:r>
    </w:p>
    <w:p w:rsidR="009B2166" w:rsidRDefault="009B2166" w:rsidP="00D915DD">
      <w:pPr>
        <w:ind w:firstLine="360"/>
        <w:jc w:val="both"/>
      </w:pPr>
    </w:p>
    <w:p w:rsidR="009B2166" w:rsidRDefault="009B2166" w:rsidP="00D915DD">
      <w:pPr>
        <w:ind w:firstLine="720"/>
        <w:jc w:val="both"/>
      </w:pPr>
      <w:r>
        <w:t>Given these facts, on March 8, 2024, FPL filed an Unopposed Motion to Stay Rebuttal Testimony Deadline (Motion).   In its Motion, FPL requested that the filing date for its rebuttal testimony, currently March 12, be stayed and that these stipulations be voted upon by the full Commission at the March 26 hearing.  Should the Commission vote not to accept the stipulations, FPL requested that a new trial schedule be set, e.g., dates for filing rebuttal testimony, prehearing statements, hearing, etc.  FPL’s Motion was granted by Order No. PSC-2024-0062-PCO-EI, issued March 11, 2024.</w:t>
      </w:r>
    </w:p>
    <w:p w:rsidR="009B2166" w:rsidRDefault="009B2166" w:rsidP="009B2166">
      <w:pPr>
        <w:jc w:val="both"/>
      </w:pPr>
    </w:p>
    <w:p w:rsidR="009B2166" w:rsidRDefault="009B2166" w:rsidP="009B2166">
      <w:pPr>
        <w:jc w:val="both"/>
      </w:pPr>
    </w:p>
    <w:p w:rsidR="009B2166" w:rsidRPr="00A32DC5" w:rsidRDefault="009B2166" w:rsidP="009B2166">
      <w:pPr>
        <w:jc w:val="both"/>
        <w:rPr>
          <w:b/>
        </w:rPr>
      </w:pPr>
      <w:r w:rsidRPr="00A32DC5">
        <w:rPr>
          <w:b/>
        </w:rPr>
        <w:t>II.</w:t>
      </w:r>
      <w:r w:rsidRPr="00A32DC5">
        <w:rPr>
          <w:b/>
        </w:rPr>
        <w:tab/>
      </w:r>
      <w:r w:rsidRPr="00A32DC5">
        <w:rPr>
          <w:b/>
          <w:u w:val="single"/>
        </w:rPr>
        <w:t>CONDUCT OF PROCEEDINGS</w:t>
      </w:r>
    </w:p>
    <w:p w:rsidR="009B2166" w:rsidRPr="00701945" w:rsidRDefault="009B2166" w:rsidP="009B2166">
      <w:pPr>
        <w:jc w:val="both"/>
      </w:pPr>
    </w:p>
    <w:p w:rsidR="009B2166" w:rsidRPr="00701945" w:rsidRDefault="009B2166" w:rsidP="009B2166">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9B2166" w:rsidRDefault="009B2166" w:rsidP="009B2166">
      <w:pPr>
        <w:jc w:val="both"/>
      </w:pPr>
    </w:p>
    <w:p w:rsidR="009B2166" w:rsidRPr="00701945" w:rsidRDefault="009B2166" w:rsidP="009B2166">
      <w:pPr>
        <w:jc w:val="both"/>
      </w:pPr>
    </w:p>
    <w:p w:rsidR="009B2166" w:rsidRPr="00A32DC5" w:rsidRDefault="009B2166" w:rsidP="009B2166">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9B2166" w:rsidRPr="00701945" w:rsidRDefault="009B2166" w:rsidP="009B2166">
      <w:pPr>
        <w:jc w:val="both"/>
      </w:pPr>
    </w:p>
    <w:p w:rsidR="00D915DD" w:rsidRDefault="009B2166" w:rsidP="00D915DD">
      <w:pPr>
        <w:jc w:val="both"/>
      </w:pPr>
      <w:r w:rsidRPr="00701945">
        <w:tab/>
      </w:r>
      <w:r w:rsidR="00D915DD" w:rsidRPr="00701945">
        <w:t xml:space="preserve">This Commission is vested with jurisdiction over the subject matter by the provisions of Chapter </w:t>
      </w:r>
      <w:r w:rsidR="00D915DD">
        <w:t>366</w:t>
      </w:r>
      <w:r w:rsidR="00D915DD" w:rsidRPr="00701945">
        <w:t xml:space="preserve">, </w:t>
      </w:r>
      <w:r w:rsidR="00D915DD">
        <w:t>Florida Statutes (F.S</w:t>
      </w:r>
      <w:r w:rsidR="00D915DD" w:rsidRPr="00701945">
        <w:t>.</w:t>
      </w:r>
      <w:r w:rsidR="00D915DD">
        <w:t>).</w:t>
      </w:r>
      <w:r w:rsidR="00D915DD" w:rsidRPr="00701945">
        <w:t xml:space="preserve">  This hearing will be governed by said Chapter</w:t>
      </w:r>
      <w:r w:rsidR="00D915DD">
        <w:t xml:space="preserve">, Chapter </w:t>
      </w:r>
      <w:r w:rsidR="00D915DD">
        <w:lastRenderedPageBreak/>
        <w:t xml:space="preserve">120, F.S., </w:t>
      </w:r>
      <w:r w:rsidR="00D915DD" w:rsidRPr="00701945">
        <w:t>and Chapters</w:t>
      </w:r>
      <w:r w:rsidR="00D915DD">
        <w:t xml:space="preserve"> 25-6</w:t>
      </w:r>
      <w:r w:rsidR="00D915DD" w:rsidRPr="00701945">
        <w:t xml:space="preserve">, 25-22, and 28-106, </w:t>
      </w:r>
      <w:r w:rsidR="00D915DD">
        <w:t>F.A.C., as well as any other applicable provisions of law</w:t>
      </w:r>
      <w:r w:rsidR="00D915DD" w:rsidRPr="00701945">
        <w:t>.</w:t>
      </w:r>
    </w:p>
    <w:p w:rsidR="009B2166" w:rsidRDefault="009B2166" w:rsidP="009B2166">
      <w:pPr>
        <w:jc w:val="both"/>
      </w:pPr>
    </w:p>
    <w:p w:rsidR="009B2166" w:rsidRPr="00701945" w:rsidRDefault="009B2166" w:rsidP="009B2166">
      <w:pPr>
        <w:jc w:val="both"/>
      </w:pPr>
    </w:p>
    <w:p w:rsidR="009B2166" w:rsidRPr="00237584" w:rsidRDefault="009B2166" w:rsidP="009B2166">
      <w:pPr>
        <w:jc w:val="both"/>
        <w:rPr>
          <w:b/>
        </w:rPr>
      </w:pPr>
      <w:r w:rsidRPr="00237584">
        <w:rPr>
          <w:b/>
        </w:rPr>
        <w:t>IV.</w:t>
      </w:r>
      <w:r w:rsidRPr="00237584">
        <w:rPr>
          <w:b/>
        </w:rPr>
        <w:tab/>
      </w:r>
      <w:r w:rsidRPr="00237584">
        <w:rPr>
          <w:b/>
          <w:u w:val="single"/>
        </w:rPr>
        <w:t>PROCEDURE FOR HANDLING CONFIDENTIAL INFORMATION</w:t>
      </w:r>
    </w:p>
    <w:p w:rsidR="009B2166" w:rsidRPr="00237584" w:rsidRDefault="009B2166" w:rsidP="009B2166">
      <w:pPr>
        <w:jc w:val="both"/>
        <w:rPr>
          <w:b/>
        </w:rPr>
      </w:pPr>
    </w:p>
    <w:p w:rsidR="0065152D" w:rsidRDefault="009B2166" w:rsidP="0065152D">
      <w:pPr>
        <w:jc w:val="both"/>
      </w:pPr>
      <w:r w:rsidRPr="00701945">
        <w:tab/>
      </w:r>
      <w:r w:rsidR="0065152D" w:rsidRPr="006D7478">
        <w:t>Infor</w:t>
      </w:r>
      <w:r w:rsidR="0065152D">
        <w:t>mation for which proprietary confidential business information status is requested</w:t>
      </w:r>
      <w:r w:rsidR="0065152D" w:rsidRPr="00A72918">
        <w:t xml:space="preserve"> pursuant to</w:t>
      </w:r>
      <w:r w:rsidR="0065152D">
        <w:t xml:space="preserve"> Section 366.093, F.S.</w:t>
      </w:r>
      <w:r w:rsidR="0065152D" w:rsidRPr="00A72918">
        <w:t xml:space="preserve">, and Rule 25-22.006, </w:t>
      </w:r>
      <w:r w:rsidR="0065152D">
        <w:t>F.A.C.</w:t>
      </w:r>
      <w:r w:rsidR="0065152D" w:rsidRPr="00A72918">
        <w:t>,</w:t>
      </w:r>
      <w:r w:rsidR="0065152D">
        <w:t xml:space="preserve"> shall be treated by the Commission as confidential.  The information shall be exempt from Section 119.07(1), F.S., pending a formal ruling on such request by the Commission or pending return of the information to the person providing the information.  </w:t>
      </w:r>
      <w:r w:rsidR="0065152D" w:rsidRPr="005555EC">
        <w:t xml:space="preserve">If no determination of confidentiality has been made and the information has not been made a part </w:t>
      </w:r>
      <w:r w:rsidR="0065152D">
        <w:t>of the evidentiary record in this</w:t>
      </w:r>
      <w:r w:rsidR="0065152D" w:rsidRPr="005555EC">
        <w:t xml:space="preserve"> proceeding, it shall be returned to the person providing the information.  If a determination of confidentiality has been made and the information was no</w:t>
      </w:r>
      <w:r w:rsidR="0065152D">
        <w:t>t entered into the record of this</w:t>
      </w:r>
      <w:r w:rsidR="0065152D" w:rsidRPr="005555EC">
        <w:t xml:space="preserve"> proceeding, it shall be returned to the person providing the information with</w:t>
      </w:r>
      <w:r w:rsidR="0065152D">
        <w:t xml:space="preserve">in the time period set forth in </w:t>
      </w:r>
      <w:r w:rsidR="0065152D" w:rsidRPr="005555EC">
        <w:t>Section</w:t>
      </w:r>
      <w:r w:rsidR="0065152D">
        <w:t xml:space="preserve"> 366.093, F.S.  T</w:t>
      </w:r>
      <w:r w:rsidR="0065152D" w:rsidRPr="00B2317F">
        <w:t>he Commission may determine that continued possession of the information is necessary for the Commission to conduct its business.</w:t>
      </w:r>
    </w:p>
    <w:p w:rsidR="0065152D" w:rsidRDefault="0065152D" w:rsidP="0065152D">
      <w:pPr>
        <w:jc w:val="both"/>
      </w:pPr>
    </w:p>
    <w:p w:rsidR="0065152D" w:rsidRDefault="0065152D" w:rsidP="006515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65152D" w:rsidRDefault="0065152D" w:rsidP="006515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5152D" w:rsidRDefault="0065152D" w:rsidP="0065152D">
      <w:pPr>
        <w:spacing w:line="2" w:lineRule="exact"/>
        <w:jc w:val="both"/>
      </w:pPr>
    </w:p>
    <w:p w:rsidR="0065152D" w:rsidRDefault="0065152D" w:rsidP="0065152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5152D" w:rsidRDefault="0065152D" w:rsidP="006515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5152D" w:rsidRDefault="0065152D" w:rsidP="0065152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5152D" w:rsidRDefault="0065152D" w:rsidP="006515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5152D" w:rsidRDefault="0065152D" w:rsidP="006515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9B2166" w:rsidRPr="00A32DC5" w:rsidRDefault="009B2166" w:rsidP="009B2166">
      <w:pPr>
        <w:jc w:val="both"/>
        <w:rPr>
          <w:b/>
        </w:rPr>
      </w:pPr>
      <w:r w:rsidRPr="00A32DC5">
        <w:rPr>
          <w:b/>
        </w:rPr>
        <w:lastRenderedPageBreak/>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9B2166" w:rsidRPr="00701945" w:rsidRDefault="009B2166" w:rsidP="009B2166">
      <w:pPr>
        <w:jc w:val="both"/>
      </w:pPr>
    </w:p>
    <w:p w:rsidR="009B2166" w:rsidRDefault="009B2166" w:rsidP="009B2166">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9B2166" w:rsidRDefault="009B2166" w:rsidP="009B2166">
      <w:pPr>
        <w:jc w:val="both"/>
      </w:pPr>
    </w:p>
    <w:p w:rsidR="009B2166" w:rsidRPr="00701945" w:rsidRDefault="009B2166" w:rsidP="009B2166">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9B2166" w:rsidRPr="00701945" w:rsidRDefault="009B2166" w:rsidP="009B2166">
      <w:pPr>
        <w:jc w:val="both"/>
      </w:pPr>
    </w:p>
    <w:p w:rsidR="009B2166" w:rsidRPr="00701945" w:rsidRDefault="009B2166" w:rsidP="009B2166">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9B2166" w:rsidRPr="00B75F84" w:rsidRDefault="009B2166" w:rsidP="009B2166">
      <w:pPr>
        <w:jc w:val="both"/>
        <w:rPr>
          <w:color w:val="000000"/>
        </w:rPr>
      </w:pPr>
    </w:p>
    <w:p w:rsidR="009B2166" w:rsidRPr="00B75F84" w:rsidRDefault="009B2166" w:rsidP="009B2166">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B2166" w:rsidRDefault="009B2166" w:rsidP="009B2166">
      <w:pPr>
        <w:jc w:val="both"/>
      </w:pPr>
    </w:p>
    <w:p w:rsidR="009B2166" w:rsidRPr="00701945" w:rsidRDefault="009B2166" w:rsidP="009B2166">
      <w:pPr>
        <w:jc w:val="both"/>
      </w:pPr>
    </w:p>
    <w:p w:rsidR="009B2166" w:rsidRPr="00A32DC5" w:rsidRDefault="009B2166" w:rsidP="009B2166">
      <w:pPr>
        <w:jc w:val="both"/>
        <w:rPr>
          <w:b/>
        </w:rPr>
      </w:pPr>
      <w:r w:rsidRPr="00A32DC5">
        <w:rPr>
          <w:b/>
        </w:rPr>
        <w:t>VI.</w:t>
      </w:r>
      <w:r w:rsidRPr="00A32DC5">
        <w:rPr>
          <w:b/>
        </w:rPr>
        <w:tab/>
      </w:r>
      <w:r w:rsidRPr="00A32DC5">
        <w:rPr>
          <w:b/>
          <w:u w:val="single"/>
        </w:rPr>
        <w:t>ORDER OF WITNESSES</w:t>
      </w:r>
    </w:p>
    <w:p w:rsidR="009B2166" w:rsidRDefault="009B2166" w:rsidP="009B2166">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5152D" w:rsidRPr="00701945" w:rsidTr="00A874EB">
        <w:trPr>
          <w:cantSplit/>
          <w:trHeight w:val="362"/>
          <w:tblHeader/>
        </w:trPr>
        <w:tc>
          <w:tcPr>
            <w:tcW w:w="3507" w:type="dxa"/>
            <w:tcBorders>
              <w:top w:val="nil"/>
              <w:left w:val="nil"/>
              <w:bottom w:val="nil"/>
              <w:right w:val="nil"/>
            </w:tcBorders>
          </w:tcPr>
          <w:p w:rsidR="0065152D" w:rsidRPr="00A36AAE" w:rsidRDefault="0065152D" w:rsidP="00A36AAE">
            <w:pPr>
              <w:rPr>
                <w:u w:val="single"/>
              </w:rPr>
            </w:pPr>
            <w:r w:rsidRPr="00A36AAE">
              <w:rPr>
                <w:u w:val="single"/>
              </w:rPr>
              <w:t>Witness</w:t>
            </w:r>
          </w:p>
        </w:tc>
        <w:tc>
          <w:tcPr>
            <w:tcW w:w="2511" w:type="dxa"/>
            <w:tcBorders>
              <w:top w:val="nil"/>
              <w:left w:val="nil"/>
              <w:bottom w:val="nil"/>
              <w:right w:val="nil"/>
            </w:tcBorders>
          </w:tcPr>
          <w:p w:rsidR="0065152D" w:rsidRPr="00701945" w:rsidRDefault="0065152D" w:rsidP="00A874EB">
            <w:pPr>
              <w:jc w:val="center"/>
            </w:pPr>
            <w:r w:rsidRPr="00701945">
              <w:rPr>
                <w:u w:val="single"/>
              </w:rPr>
              <w:t>Proffered By</w:t>
            </w:r>
          </w:p>
        </w:tc>
        <w:tc>
          <w:tcPr>
            <w:tcW w:w="3546" w:type="dxa"/>
            <w:tcBorders>
              <w:top w:val="nil"/>
              <w:left w:val="nil"/>
              <w:bottom w:val="nil"/>
              <w:right w:val="nil"/>
            </w:tcBorders>
          </w:tcPr>
          <w:p w:rsidR="0065152D" w:rsidRPr="00701945" w:rsidRDefault="0065152D" w:rsidP="00A874EB">
            <w:pPr>
              <w:jc w:val="both"/>
            </w:pPr>
            <w:r w:rsidRPr="00701945">
              <w:rPr>
                <w:u w:val="single"/>
              </w:rPr>
              <w:t>Issues #</w:t>
            </w:r>
          </w:p>
        </w:tc>
      </w:tr>
      <w:tr w:rsidR="0065152D" w:rsidRPr="00701945" w:rsidTr="00A874EB">
        <w:trPr>
          <w:cantSplit/>
          <w:trHeight w:val="362"/>
        </w:trPr>
        <w:tc>
          <w:tcPr>
            <w:tcW w:w="3507" w:type="dxa"/>
            <w:tcBorders>
              <w:top w:val="nil"/>
              <w:left w:val="nil"/>
              <w:bottom w:val="nil"/>
              <w:right w:val="nil"/>
            </w:tcBorders>
          </w:tcPr>
          <w:p w:rsidR="0065152D" w:rsidRPr="00AC105C" w:rsidRDefault="0065152D" w:rsidP="00A874EB">
            <w:pPr>
              <w:jc w:val="both"/>
              <w:rPr>
                <w:u w:val="single"/>
              </w:rPr>
            </w:pPr>
            <w:r w:rsidRPr="00AC105C">
              <w:tab/>
            </w:r>
            <w:r w:rsidRPr="00AC105C">
              <w:rPr>
                <w:u w:val="single"/>
              </w:rPr>
              <w:t>Direct</w:t>
            </w:r>
          </w:p>
        </w:tc>
        <w:tc>
          <w:tcPr>
            <w:tcW w:w="2511" w:type="dxa"/>
            <w:tcBorders>
              <w:top w:val="nil"/>
              <w:left w:val="nil"/>
              <w:bottom w:val="nil"/>
              <w:right w:val="nil"/>
            </w:tcBorders>
          </w:tcPr>
          <w:p w:rsidR="0065152D" w:rsidRPr="00701945" w:rsidRDefault="0065152D" w:rsidP="00A874EB">
            <w:pPr>
              <w:jc w:val="center"/>
            </w:pPr>
          </w:p>
        </w:tc>
        <w:tc>
          <w:tcPr>
            <w:tcW w:w="3546" w:type="dxa"/>
            <w:tcBorders>
              <w:top w:val="nil"/>
              <w:left w:val="nil"/>
              <w:bottom w:val="nil"/>
              <w:right w:val="nil"/>
            </w:tcBorders>
          </w:tcPr>
          <w:p w:rsidR="0065152D" w:rsidRPr="00701945" w:rsidRDefault="0065152D" w:rsidP="00A874EB"/>
        </w:tc>
      </w:tr>
      <w:tr w:rsidR="0065152D" w:rsidRPr="00701945" w:rsidTr="00A874EB">
        <w:trPr>
          <w:cantSplit/>
          <w:trHeight w:val="382"/>
        </w:trPr>
        <w:tc>
          <w:tcPr>
            <w:tcW w:w="3507" w:type="dxa"/>
            <w:tcBorders>
              <w:top w:val="nil"/>
              <w:left w:val="nil"/>
              <w:bottom w:val="nil"/>
              <w:right w:val="nil"/>
            </w:tcBorders>
          </w:tcPr>
          <w:p w:rsidR="0065152D" w:rsidRPr="00701945" w:rsidRDefault="0065152D" w:rsidP="00A874EB">
            <w:pPr>
              <w:jc w:val="both"/>
            </w:pPr>
            <w:r>
              <w:t>*Daniel DeBoer</w:t>
            </w:r>
          </w:p>
        </w:tc>
        <w:tc>
          <w:tcPr>
            <w:tcW w:w="2511" w:type="dxa"/>
            <w:tcBorders>
              <w:top w:val="nil"/>
              <w:left w:val="nil"/>
              <w:bottom w:val="nil"/>
              <w:right w:val="nil"/>
            </w:tcBorders>
          </w:tcPr>
          <w:p w:rsidR="0065152D" w:rsidRPr="00701945" w:rsidRDefault="0065152D" w:rsidP="00A874EB">
            <w:pPr>
              <w:jc w:val="center"/>
            </w:pPr>
            <w:r>
              <w:t>FPL</w:t>
            </w:r>
          </w:p>
        </w:tc>
        <w:tc>
          <w:tcPr>
            <w:tcW w:w="3546" w:type="dxa"/>
            <w:tcBorders>
              <w:top w:val="nil"/>
              <w:left w:val="nil"/>
              <w:bottom w:val="nil"/>
              <w:right w:val="nil"/>
            </w:tcBorders>
          </w:tcPr>
          <w:p w:rsidR="0065152D" w:rsidRPr="00701945" w:rsidRDefault="0065152D" w:rsidP="00A874EB">
            <w:r>
              <w:t>1-2</w:t>
            </w:r>
          </w:p>
        </w:tc>
      </w:tr>
      <w:tr w:rsidR="0065152D" w:rsidRPr="00701945" w:rsidTr="00A874EB">
        <w:trPr>
          <w:cantSplit/>
          <w:trHeight w:val="362"/>
        </w:trPr>
        <w:tc>
          <w:tcPr>
            <w:tcW w:w="3507" w:type="dxa"/>
            <w:tcBorders>
              <w:top w:val="nil"/>
              <w:left w:val="nil"/>
              <w:bottom w:val="nil"/>
              <w:right w:val="nil"/>
            </w:tcBorders>
          </w:tcPr>
          <w:p w:rsidR="0065152D" w:rsidRPr="00701945" w:rsidRDefault="0065152D" w:rsidP="00A874EB">
            <w:pPr>
              <w:jc w:val="both"/>
            </w:pPr>
            <w:r>
              <w:t>*Joel Gebbie</w:t>
            </w:r>
          </w:p>
        </w:tc>
        <w:tc>
          <w:tcPr>
            <w:tcW w:w="2511" w:type="dxa"/>
            <w:tcBorders>
              <w:top w:val="nil"/>
              <w:left w:val="nil"/>
              <w:bottom w:val="nil"/>
              <w:right w:val="nil"/>
            </w:tcBorders>
          </w:tcPr>
          <w:p w:rsidR="0065152D" w:rsidRPr="00701945" w:rsidRDefault="0065152D" w:rsidP="00A874EB">
            <w:pPr>
              <w:jc w:val="center"/>
            </w:pPr>
            <w:r>
              <w:t>FPL</w:t>
            </w:r>
          </w:p>
        </w:tc>
        <w:tc>
          <w:tcPr>
            <w:tcW w:w="3546" w:type="dxa"/>
            <w:tcBorders>
              <w:top w:val="nil"/>
              <w:left w:val="nil"/>
              <w:bottom w:val="nil"/>
              <w:right w:val="nil"/>
            </w:tcBorders>
          </w:tcPr>
          <w:p w:rsidR="0065152D" w:rsidRPr="00701945" w:rsidRDefault="0065152D" w:rsidP="00A874EB">
            <w:r>
              <w:t>1</w:t>
            </w:r>
          </w:p>
        </w:tc>
      </w:tr>
      <w:tr w:rsidR="0065152D" w:rsidRPr="00701945" w:rsidTr="00A874EB">
        <w:trPr>
          <w:cantSplit/>
          <w:trHeight w:val="362"/>
        </w:trPr>
        <w:tc>
          <w:tcPr>
            <w:tcW w:w="3507" w:type="dxa"/>
            <w:tcBorders>
              <w:top w:val="nil"/>
              <w:left w:val="nil"/>
              <w:bottom w:val="nil"/>
              <w:right w:val="nil"/>
            </w:tcBorders>
          </w:tcPr>
          <w:p w:rsidR="0065152D" w:rsidRPr="00701945" w:rsidRDefault="0065152D" w:rsidP="00A874EB">
            <w:pPr>
              <w:jc w:val="both"/>
            </w:pPr>
            <w:r>
              <w:t>*Richard A. Polich</w:t>
            </w:r>
          </w:p>
        </w:tc>
        <w:tc>
          <w:tcPr>
            <w:tcW w:w="2511" w:type="dxa"/>
            <w:tcBorders>
              <w:top w:val="nil"/>
              <w:left w:val="nil"/>
              <w:bottom w:val="nil"/>
              <w:right w:val="nil"/>
            </w:tcBorders>
          </w:tcPr>
          <w:p w:rsidR="0065152D" w:rsidRPr="00701945" w:rsidRDefault="0065152D" w:rsidP="00A874EB">
            <w:pPr>
              <w:jc w:val="center"/>
            </w:pPr>
            <w:r>
              <w:t>OPC</w:t>
            </w:r>
          </w:p>
        </w:tc>
        <w:tc>
          <w:tcPr>
            <w:tcW w:w="3546" w:type="dxa"/>
            <w:tcBorders>
              <w:top w:val="nil"/>
              <w:left w:val="nil"/>
              <w:bottom w:val="nil"/>
              <w:right w:val="nil"/>
            </w:tcBorders>
          </w:tcPr>
          <w:p w:rsidR="0065152D" w:rsidRPr="00701945" w:rsidRDefault="0065152D" w:rsidP="00A874EB">
            <w:r>
              <w:t>1-2</w:t>
            </w:r>
          </w:p>
        </w:tc>
      </w:tr>
      <w:tr w:rsidR="0065152D" w:rsidRPr="00701945" w:rsidTr="00A874EB">
        <w:trPr>
          <w:cantSplit/>
          <w:trHeight w:val="362"/>
        </w:trPr>
        <w:tc>
          <w:tcPr>
            <w:tcW w:w="3507" w:type="dxa"/>
            <w:tcBorders>
              <w:top w:val="nil"/>
              <w:left w:val="nil"/>
              <w:bottom w:val="nil"/>
              <w:right w:val="nil"/>
            </w:tcBorders>
          </w:tcPr>
          <w:p w:rsidR="0065152D" w:rsidRPr="00701945" w:rsidRDefault="0065152D" w:rsidP="00A874EB">
            <w:pPr>
              <w:jc w:val="both"/>
            </w:pPr>
            <w:r>
              <w:t>*Carl Vinson</w:t>
            </w:r>
          </w:p>
        </w:tc>
        <w:tc>
          <w:tcPr>
            <w:tcW w:w="2511" w:type="dxa"/>
            <w:tcBorders>
              <w:top w:val="nil"/>
              <w:left w:val="nil"/>
              <w:bottom w:val="nil"/>
              <w:right w:val="nil"/>
            </w:tcBorders>
          </w:tcPr>
          <w:p w:rsidR="0065152D" w:rsidRPr="00701945" w:rsidRDefault="0065152D" w:rsidP="00A874EB">
            <w:pPr>
              <w:jc w:val="center"/>
            </w:pPr>
            <w:r>
              <w:t>Staff</w:t>
            </w:r>
          </w:p>
        </w:tc>
        <w:tc>
          <w:tcPr>
            <w:tcW w:w="3546" w:type="dxa"/>
            <w:tcBorders>
              <w:top w:val="nil"/>
              <w:left w:val="nil"/>
              <w:bottom w:val="nil"/>
              <w:right w:val="nil"/>
            </w:tcBorders>
          </w:tcPr>
          <w:p w:rsidR="0065152D" w:rsidRPr="00701945" w:rsidRDefault="0065152D" w:rsidP="00A874EB">
            <w:r>
              <w:t>1-2</w:t>
            </w:r>
          </w:p>
        </w:tc>
      </w:tr>
      <w:tr w:rsidR="0065152D" w:rsidRPr="00701945" w:rsidTr="00A874EB">
        <w:trPr>
          <w:cantSplit/>
          <w:trHeight w:val="362"/>
        </w:trPr>
        <w:tc>
          <w:tcPr>
            <w:tcW w:w="3507" w:type="dxa"/>
            <w:tcBorders>
              <w:top w:val="nil"/>
              <w:left w:val="nil"/>
              <w:bottom w:val="nil"/>
              <w:right w:val="nil"/>
            </w:tcBorders>
          </w:tcPr>
          <w:p w:rsidR="0065152D" w:rsidRDefault="0065152D" w:rsidP="00A874EB">
            <w:pPr>
              <w:jc w:val="both"/>
            </w:pPr>
            <w:r>
              <w:t>*Tom Ballinger</w:t>
            </w:r>
          </w:p>
        </w:tc>
        <w:tc>
          <w:tcPr>
            <w:tcW w:w="2511" w:type="dxa"/>
            <w:tcBorders>
              <w:top w:val="nil"/>
              <w:left w:val="nil"/>
              <w:bottom w:val="nil"/>
              <w:right w:val="nil"/>
            </w:tcBorders>
          </w:tcPr>
          <w:p w:rsidR="0065152D" w:rsidRDefault="0065152D" w:rsidP="001110DB">
            <w:pPr>
              <w:jc w:val="center"/>
            </w:pPr>
            <w:r>
              <w:t>Staff</w:t>
            </w:r>
          </w:p>
        </w:tc>
        <w:tc>
          <w:tcPr>
            <w:tcW w:w="3546" w:type="dxa"/>
            <w:tcBorders>
              <w:top w:val="nil"/>
              <w:left w:val="nil"/>
              <w:bottom w:val="nil"/>
              <w:right w:val="nil"/>
            </w:tcBorders>
          </w:tcPr>
          <w:p w:rsidR="0065152D" w:rsidRDefault="0065152D" w:rsidP="00A874EB">
            <w:r>
              <w:t>1-2</w:t>
            </w:r>
          </w:p>
        </w:tc>
      </w:tr>
    </w:tbl>
    <w:p w:rsidR="009B2166" w:rsidRDefault="009B2166" w:rsidP="009B2166">
      <w:pPr>
        <w:jc w:val="both"/>
      </w:pPr>
    </w:p>
    <w:p w:rsidR="0065152D" w:rsidRDefault="0065152D" w:rsidP="009B2166">
      <w:pPr>
        <w:jc w:val="both"/>
      </w:pPr>
      <w:r>
        <w:t>*These witnesses have been excused from attending the March 26, 2024 final hearing.</w:t>
      </w:r>
    </w:p>
    <w:p w:rsidR="009B2166" w:rsidRDefault="009B2166" w:rsidP="009B2166">
      <w:pPr>
        <w:jc w:val="both"/>
      </w:pPr>
    </w:p>
    <w:p w:rsidR="0065152D" w:rsidRDefault="0065152D" w:rsidP="009B2166">
      <w:pPr>
        <w:jc w:val="both"/>
      </w:pPr>
    </w:p>
    <w:p w:rsidR="009B2166" w:rsidRPr="00A32DC5" w:rsidRDefault="009B2166" w:rsidP="009B2166">
      <w:pPr>
        <w:jc w:val="both"/>
        <w:rPr>
          <w:b/>
        </w:rPr>
      </w:pPr>
      <w:r w:rsidRPr="00A32DC5">
        <w:rPr>
          <w:b/>
        </w:rPr>
        <w:t>VII.</w:t>
      </w:r>
      <w:r w:rsidRPr="00A32DC5">
        <w:rPr>
          <w:b/>
        </w:rPr>
        <w:tab/>
      </w:r>
      <w:r w:rsidRPr="00A32DC5">
        <w:rPr>
          <w:b/>
          <w:u w:val="single"/>
        </w:rPr>
        <w:t>BASIC POSITIONS</w:t>
      </w:r>
    </w:p>
    <w:p w:rsidR="009B2166" w:rsidRPr="00701945" w:rsidRDefault="009B2166" w:rsidP="009B2166">
      <w:pPr>
        <w:jc w:val="both"/>
      </w:pPr>
    </w:p>
    <w:p w:rsidR="0065152D" w:rsidRDefault="0065152D" w:rsidP="0065152D">
      <w:pPr>
        <w:ind w:left="1440" w:hanging="1440"/>
        <w:jc w:val="both"/>
        <w:rPr>
          <w:b/>
          <w:bCs/>
        </w:rPr>
      </w:pPr>
      <w:r>
        <w:rPr>
          <w:b/>
          <w:bCs/>
        </w:rPr>
        <w:t>FPL:</w:t>
      </w:r>
      <w:r>
        <w:rPr>
          <w:b/>
          <w:bCs/>
        </w:rPr>
        <w:tab/>
      </w:r>
      <w:r w:rsidRPr="00752F3A">
        <w:rPr>
          <w:bCs/>
        </w:rPr>
        <w:t xml:space="preserve">The Commission should approve the stipulated positions reached by FPL and the Office of Public Counsel (OPC) as a reasonable resolution of the issues involved in this matter. </w:t>
      </w:r>
    </w:p>
    <w:p w:rsidR="0065152D" w:rsidRDefault="0065152D" w:rsidP="0065152D">
      <w:pPr>
        <w:ind w:left="1440" w:hanging="1440"/>
        <w:jc w:val="both"/>
        <w:rPr>
          <w:b/>
          <w:bCs/>
        </w:rPr>
      </w:pPr>
    </w:p>
    <w:p w:rsidR="0065152D" w:rsidRDefault="0065152D" w:rsidP="0065152D">
      <w:pPr>
        <w:ind w:left="1440" w:hanging="1440"/>
        <w:jc w:val="both"/>
        <w:rPr>
          <w:bCs/>
        </w:rPr>
      </w:pPr>
      <w:r>
        <w:rPr>
          <w:b/>
          <w:bCs/>
        </w:rPr>
        <w:t>OPC:</w:t>
      </w:r>
      <w:r>
        <w:rPr>
          <w:b/>
          <w:bCs/>
        </w:rPr>
        <w:tab/>
      </w:r>
      <w:r>
        <w:rPr>
          <w:bCs/>
        </w:rPr>
        <w:t xml:space="preserve">OPC and Florida Power &amp; Light Company (FPL) have agreed to stipulations to resolve all outstanding issues.  OPC represents that these stipulations are reasonable and prudent resolutions to the </w:t>
      </w:r>
      <w:r w:rsidR="005D6DA5">
        <w:rPr>
          <w:bCs/>
        </w:rPr>
        <w:t>issues</w:t>
      </w:r>
      <w:r>
        <w:rPr>
          <w:bCs/>
        </w:rPr>
        <w:t xml:space="preserve"> and are in the public interest.</w:t>
      </w:r>
    </w:p>
    <w:p w:rsidR="0065152D" w:rsidRPr="00752F3A" w:rsidRDefault="0065152D" w:rsidP="0065152D">
      <w:pPr>
        <w:ind w:left="1440" w:hanging="1440"/>
        <w:jc w:val="both"/>
        <w:rPr>
          <w:bCs/>
        </w:rPr>
      </w:pPr>
    </w:p>
    <w:p w:rsidR="0065152D" w:rsidRPr="00D537E2" w:rsidRDefault="0065152D" w:rsidP="0065152D">
      <w:pPr>
        <w:ind w:left="1440" w:hanging="1440"/>
        <w:jc w:val="both"/>
        <w:rPr>
          <w:bCs/>
        </w:rPr>
      </w:pPr>
      <w:r w:rsidRPr="00D537E2">
        <w:rPr>
          <w:b/>
          <w:bCs/>
        </w:rPr>
        <w:t>FRF:</w:t>
      </w:r>
      <w:r>
        <w:rPr>
          <w:b/>
          <w:bCs/>
        </w:rPr>
        <w:tab/>
      </w:r>
      <w:r>
        <w:rPr>
          <w:bCs/>
        </w:rPr>
        <w:t>The Commission’s task in the Fuel Docket, as in all ratemaking proceedings, is to ensure that the rates charged by Florida public utilities are fair, just, reasonable, non-discriminatory, and neither insufficient nor excessive.  The utilities bear the burden of proof that their proposed Fuel Charges satisfy the statutory criteria articulated above.  The FRF understands that FPL and OPC have reached a stipulation on the issues to be addressed in the hearing scheduled for March 26, 2024, and the FRF takes no position on the proposed stipulation.</w:t>
      </w:r>
    </w:p>
    <w:p w:rsidR="0065152D" w:rsidRDefault="0065152D" w:rsidP="0065152D">
      <w:pPr>
        <w:ind w:left="1440" w:hanging="1440"/>
        <w:jc w:val="both"/>
        <w:rPr>
          <w:b/>
          <w:bCs/>
        </w:rPr>
      </w:pPr>
    </w:p>
    <w:p w:rsidR="0065152D" w:rsidRDefault="0065152D" w:rsidP="0065152D">
      <w:pPr>
        <w:ind w:left="1440" w:hanging="1440"/>
        <w:jc w:val="both"/>
        <w:rPr>
          <w:bCs/>
        </w:rPr>
      </w:pPr>
      <w:r w:rsidRPr="008142ED">
        <w:rPr>
          <w:b/>
          <w:bCs/>
        </w:rPr>
        <w:t>FIPUG:</w:t>
      </w:r>
      <w:r>
        <w:rPr>
          <w:b/>
          <w:bCs/>
        </w:rPr>
        <w:tab/>
      </w:r>
      <w:r w:rsidRPr="008142ED">
        <w:rPr>
          <w:bCs/>
        </w:rPr>
        <w:t xml:space="preserve">Florida Power &amp; Light </w:t>
      </w:r>
      <w:r>
        <w:rPr>
          <w:bCs/>
        </w:rPr>
        <w:t xml:space="preserve">Company </w:t>
      </w:r>
      <w:r w:rsidRPr="008142ED">
        <w:rPr>
          <w:bCs/>
        </w:rPr>
        <w:t>(FPL)</w:t>
      </w:r>
      <w:r>
        <w:rPr>
          <w:b/>
          <w:bCs/>
        </w:rPr>
        <w:t xml:space="preserve"> </w:t>
      </w:r>
      <w:r>
        <w:rPr>
          <w:bCs/>
        </w:rPr>
        <w:t>and the Office of Public Counsel (OPC) have reached a stipulation which addresses the two issues in this case.  FIPUG takes no position on these two issues.  Thus, FIPUG’s position in this matter is that FIPUG takes no position.</w:t>
      </w:r>
    </w:p>
    <w:p w:rsidR="0065152D" w:rsidRPr="00D537E2" w:rsidRDefault="0065152D" w:rsidP="0065152D">
      <w:pPr>
        <w:ind w:left="1440" w:hanging="1440"/>
        <w:jc w:val="both"/>
        <w:rPr>
          <w:b/>
          <w:bCs/>
        </w:rPr>
      </w:pPr>
      <w:r>
        <w:rPr>
          <w:bCs/>
        </w:rPr>
        <w:t xml:space="preserve"> </w:t>
      </w:r>
      <w:r w:rsidRPr="00D537E2">
        <w:rPr>
          <w:b/>
          <w:bCs/>
        </w:rPr>
        <w:tab/>
      </w:r>
    </w:p>
    <w:p w:rsidR="0065152D" w:rsidRDefault="0065152D" w:rsidP="0065152D">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t>rom the preliminary positions stated herein.</w:t>
      </w:r>
    </w:p>
    <w:p w:rsidR="0065152D" w:rsidRDefault="0065152D" w:rsidP="0065152D">
      <w:pPr>
        <w:jc w:val="both"/>
        <w:rPr>
          <w:b/>
        </w:rPr>
      </w:pPr>
    </w:p>
    <w:p w:rsidR="0065152D" w:rsidRDefault="0065152D" w:rsidP="009B2166">
      <w:pPr>
        <w:jc w:val="both"/>
        <w:rPr>
          <w:b/>
        </w:rPr>
      </w:pPr>
    </w:p>
    <w:p w:rsidR="009B2166" w:rsidRPr="00A32DC5" w:rsidRDefault="009B2166" w:rsidP="009B2166">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9B2166" w:rsidRDefault="009B2166" w:rsidP="009B2166">
      <w:pPr>
        <w:jc w:val="both"/>
      </w:pPr>
    </w:p>
    <w:p w:rsidR="0065152D" w:rsidRDefault="0065152D" w:rsidP="0065152D">
      <w:pPr>
        <w:ind w:left="1440" w:hanging="1440"/>
        <w:jc w:val="both"/>
        <w:rPr>
          <w:b/>
        </w:rPr>
      </w:pPr>
      <w:r w:rsidRPr="000558E0">
        <w:rPr>
          <w:b/>
          <w:u w:val="single"/>
        </w:rPr>
        <w:t>ISSSUE 1</w:t>
      </w:r>
      <w:r>
        <w:rPr>
          <w:b/>
        </w:rPr>
        <w:t>:</w:t>
      </w:r>
      <w:r>
        <w:rPr>
          <w:b/>
        </w:rPr>
        <w:tab/>
        <w:t>What adjustment should be made with respect to replacement power costs associated with any unplanned outages that occurred at Turkey Point or St. Lucie during the calendar years 2020, 2021, and 2022?</w:t>
      </w:r>
    </w:p>
    <w:p w:rsidR="0065152D" w:rsidRDefault="0065152D" w:rsidP="0065152D">
      <w:pPr>
        <w:ind w:left="1440" w:hanging="1440"/>
        <w:jc w:val="both"/>
        <w:rPr>
          <w:b/>
        </w:rPr>
      </w:pPr>
    </w:p>
    <w:p w:rsidR="0065152D" w:rsidRPr="000558E0" w:rsidRDefault="0065152D" w:rsidP="0065152D">
      <w:pPr>
        <w:ind w:left="1440" w:hanging="1440"/>
        <w:jc w:val="both"/>
      </w:pPr>
      <w:r>
        <w:rPr>
          <w:b/>
        </w:rPr>
        <w:t>FPL:</w:t>
      </w:r>
      <w:r>
        <w:rPr>
          <w:b/>
        </w:rPr>
        <w:tab/>
      </w:r>
      <w:r>
        <w:t xml:space="preserve">See Stipulated Issues (Section 5). </w:t>
      </w:r>
    </w:p>
    <w:p w:rsidR="0065152D" w:rsidRDefault="0065152D" w:rsidP="0065152D">
      <w:pPr>
        <w:ind w:left="1440" w:hanging="1440"/>
        <w:jc w:val="both"/>
        <w:rPr>
          <w:b/>
        </w:rPr>
      </w:pPr>
    </w:p>
    <w:p w:rsidR="0065152D" w:rsidRDefault="0065152D" w:rsidP="0065152D">
      <w:pPr>
        <w:ind w:left="1440" w:hanging="1440"/>
        <w:jc w:val="both"/>
      </w:pPr>
      <w:r>
        <w:rPr>
          <w:b/>
        </w:rPr>
        <w:t>OPC:</w:t>
      </w:r>
      <w:r>
        <w:rPr>
          <w:b/>
        </w:rPr>
        <w:tab/>
      </w:r>
      <w:r w:rsidRPr="00187CB4">
        <w:rPr>
          <w:u w:val="single"/>
        </w:rPr>
        <w:t>Stipulation:</w:t>
      </w:r>
      <w:r>
        <w:tab/>
        <w:t>FPL shall credit customers $5 million, inclusive of interest, through the fuel clause.  The credit shall be included in the calculation of FPL’s fuel factors the next time the fuel factors are reset.  The prudence of, and replacement power cost calculations associated with, all forced or unplanned outages or down power events at the Turkey Point and St. Lucie nuclear facilities which occurred during the calendar years 2020, 2021 and 2022 are hereby fully resolved and shall not be subject to further challenge or litigation in the future.</w:t>
      </w:r>
    </w:p>
    <w:p w:rsidR="0065152D" w:rsidRDefault="0065152D" w:rsidP="0065152D">
      <w:pPr>
        <w:ind w:left="1440" w:hanging="1440"/>
        <w:jc w:val="both"/>
      </w:pPr>
      <w:r>
        <w:rPr>
          <w:b/>
        </w:rPr>
        <w:lastRenderedPageBreak/>
        <w:t>FRF:</w:t>
      </w:r>
      <w:r>
        <w:rPr>
          <w:b/>
        </w:rPr>
        <w:tab/>
      </w:r>
      <w:r>
        <w:t>No position.</w:t>
      </w:r>
    </w:p>
    <w:p w:rsidR="0065152D" w:rsidRDefault="0065152D" w:rsidP="0065152D">
      <w:pPr>
        <w:ind w:left="1440" w:hanging="1440"/>
        <w:jc w:val="both"/>
      </w:pPr>
    </w:p>
    <w:p w:rsidR="0065152D" w:rsidRDefault="0065152D" w:rsidP="0065152D">
      <w:pPr>
        <w:ind w:left="1440" w:hanging="1440"/>
        <w:jc w:val="both"/>
      </w:pPr>
      <w:r>
        <w:rPr>
          <w:b/>
        </w:rPr>
        <w:t>FIPUG:</w:t>
      </w:r>
      <w:r>
        <w:rPr>
          <w:b/>
        </w:rPr>
        <w:tab/>
      </w:r>
      <w:r>
        <w:t>No position.</w:t>
      </w:r>
    </w:p>
    <w:p w:rsidR="0065152D" w:rsidRPr="008142ED" w:rsidRDefault="0065152D" w:rsidP="0065152D">
      <w:pPr>
        <w:ind w:left="1440" w:hanging="1440"/>
        <w:jc w:val="both"/>
      </w:pPr>
    </w:p>
    <w:p w:rsidR="0065152D" w:rsidRDefault="0065152D" w:rsidP="0065152D">
      <w:pPr>
        <w:ind w:left="1440" w:hanging="1440"/>
        <w:jc w:val="both"/>
      </w:pPr>
      <w:r>
        <w:rPr>
          <w:b/>
        </w:rPr>
        <w:t>STAFF:</w:t>
      </w:r>
      <w:r>
        <w:rPr>
          <w:b/>
        </w:rPr>
        <w:tab/>
      </w:r>
      <w:r>
        <w:t>No position at this time.</w:t>
      </w:r>
    </w:p>
    <w:p w:rsidR="0065152D" w:rsidRDefault="0065152D" w:rsidP="0065152D">
      <w:pPr>
        <w:ind w:left="1440" w:hanging="1440"/>
        <w:jc w:val="both"/>
      </w:pPr>
    </w:p>
    <w:p w:rsidR="0065152D" w:rsidRDefault="0065152D" w:rsidP="0065152D">
      <w:pPr>
        <w:ind w:left="1440" w:hanging="1440"/>
        <w:jc w:val="both"/>
        <w:rPr>
          <w:b/>
        </w:rPr>
      </w:pPr>
      <w:r w:rsidRPr="000558E0">
        <w:rPr>
          <w:b/>
          <w:u w:val="single"/>
        </w:rPr>
        <w:t>ISSUE 2</w:t>
      </w:r>
      <w:r>
        <w:rPr>
          <w:b/>
        </w:rPr>
        <w:t>:</w:t>
      </w:r>
      <w:r>
        <w:rPr>
          <w:b/>
        </w:rPr>
        <w:tab/>
        <w:t>Should FPL be subject to a follow up nuclear operations and management audit covering the 2024 to 2029 time period?</w:t>
      </w:r>
    </w:p>
    <w:p w:rsidR="0065152D" w:rsidRDefault="0065152D" w:rsidP="0065152D">
      <w:pPr>
        <w:ind w:left="1440" w:hanging="1440"/>
        <w:jc w:val="both"/>
        <w:rPr>
          <w:b/>
        </w:rPr>
      </w:pPr>
    </w:p>
    <w:p w:rsidR="0065152D" w:rsidRPr="000558E0" w:rsidRDefault="0065152D" w:rsidP="0065152D">
      <w:pPr>
        <w:ind w:left="1440" w:hanging="1440"/>
        <w:jc w:val="both"/>
      </w:pPr>
      <w:r>
        <w:rPr>
          <w:b/>
        </w:rPr>
        <w:t>FPL:</w:t>
      </w:r>
      <w:r>
        <w:rPr>
          <w:b/>
        </w:rPr>
        <w:tab/>
      </w:r>
      <w:r>
        <w:t xml:space="preserve">See Stipulated Issues (Section 5). </w:t>
      </w:r>
    </w:p>
    <w:p w:rsidR="0065152D" w:rsidRDefault="0065152D" w:rsidP="0065152D">
      <w:pPr>
        <w:ind w:left="1440" w:hanging="1440"/>
        <w:jc w:val="both"/>
        <w:rPr>
          <w:b/>
        </w:rPr>
      </w:pPr>
    </w:p>
    <w:p w:rsidR="0065152D" w:rsidRPr="00187CB4" w:rsidRDefault="0065152D" w:rsidP="0065152D">
      <w:pPr>
        <w:ind w:left="1440" w:hanging="1440"/>
        <w:jc w:val="both"/>
      </w:pPr>
      <w:r>
        <w:rPr>
          <w:b/>
        </w:rPr>
        <w:t>OPC:</w:t>
      </w:r>
      <w:r>
        <w:rPr>
          <w:b/>
        </w:rPr>
        <w:tab/>
      </w:r>
      <w:r>
        <w:rPr>
          <w:u w:val="single"/>
        </w:rPr>
        <w:t>Stipulation:</w:t>
      </w:r>
      <w:r>
        <w:t xml:space="preserve">  Yes, a follow up audit may be conducted no earlier than 2030.</w:t>
      </w:r>
    </w:p>
    <w:p w:rsidR="0065152D" w:rsidRDefault="0065152D" w:rsidP="0065152D">
      <w:pPr>
        <w:ind w:left="1440" w:hanging="1440"/>
        <w:jc w:val="both"/>
        <w:rPr>
          <w:b/>
        </w:rPr>
      </w:pPr>
    </w:p>
    <w:p w:rsidR="0065152D" w:rsidRDefault="0065152D" w:rsidP="0065152D">
      <w:pPr>
        <w:ind w:left="1440" w:hanging="1440"/>
        <w:jc w:val="both"/>
      </w:pPr>
      <w:r>
        <w:rPr>
          <w:b/>
        </w:rPr>
        <w:t>FRF:</w:t>
      </w:r>
      <w:r>
        <w:rPr>
          <w:b/>
        </w:rPr>
        <w:tab/>
      </w:r>
      <w:r>
        <w:t>No position.</w:t>
      </w:r>
    </w:p>
    <w:p w:rsidR="0065152D" w:rsidRDefault="0065152D" w:rsidP="0065152D">
      <w:pPr>
        <w:ind w:left="1440" w:hanging="1440"/>
        <w:jc w:val="both"/>
      </w:pPr>
    </w:p>
    <w:p w:rsidR="0065152D" w:rsidRPr="002664A8" w:rsidRDefault="0065152D" w:rsidP="0065152D">
      <w:pPr>
        <w:ind w:left="1440" w:hanging="1440"/>
        <w:jc w:val="both"/>
      </w:pPr>
      <w:r>
        <w:rPr>
          <w:b/>
        </w:rPr>
        <w:t>FIPUG:</w:t>
      </w:r>
      <w:r>
        <w:rPr>
          <w:b/>
        </w:rPr>
        <w:tab/>
      </w:r>
      <w:r w:rsidRPr="002664A8">
        <w:t>No position.</w:t>
      </w:r>
    </w:p>
    <w:p w:rsidR="0065152D" w:rsidRPr="002664A8" w:rsidRDefault="0065152D" w:rsidP="0065152D">
      <w:pPr>
        <w:ind w:left="1440" w:hanging="1440"/>
        <w:jc w:val="both"/>
        <w:rPr>
          <w:b/>
        </w:rPr>
      </w:pPr>
    </w:p>
    <w:p w:rsidR="0065152D" w:rsidRDefault="0065152D" w:rsidP="0065152D">
      <w:pPr>
        <w:ind w:left="1440" w:hanging="1440"/>
        <w:jc w:val="both"/>
      </w:pPr>
      <w:r>
        <w:rPr>
          <w:b/>
        </w:rPr>
        <w:t>STAFF:</w:t>
      </w:r>
      <w:r>
        <w:rPr>
          <w:b/>
        </w:rPr>
        <w:tab/>
      </w:r>
      <w:r>
        <w:t>No position at this time.</w:t>
      </w:r>
    </w:p>
    <w:p w:rsidR="009B2166" w:rsidRDefault="009B2166" w:rsidP="009B2166">
      <w:pPr>
        <w:jc w:val="both"/>
      </w:pPr>
    </w:p>
    <w:p w:rsidR="0065152D" w:rsidRPr="00701945" w:rsidRDefault="0065152D" w:rsidP="009B2166">
      <w:pPr>
        <w:jc w:val="both"/>
      </w:pPr>
    </w:p>
    <w:p w:rsidR="009B2166" w:rsidRPr="00A32DC5" w:rsidRDefault="009B2166" w:rsidP="009B2166">
      <w:pPr>
        <w:jc w:val="both"/>
        <w:rPr>
          <w:b/>
        </w:rPr>
      </w:pPr>
      <w:r w:rsidRPr="00A32DC5">
        <w:rPr>
          <w:b/>
        </w:rPr>
        <w:t>IX.</w:t>
      </w:r>
      <w:r w:rsidRPr="00A32DC5">
        <w:rPr>
          <w:b/>
        </w:rPr>
        <w:tab/>
      </w:r>
      <w:r w:rsidRPr="00A32DC5">
        <w:rPr>
          <w:b/>
          <w:u w:val="single"/>
        </w:rPr>
        <w:t>EXHIBIT LIST</w:t>
      </w:r>
    </w:p>
    <w:p w:rsidR="009B2166" w:rsidRPr="00701945" w:rsidRDefault="009B2166" w:rsidP="009B2166">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B2166" w:rsidRPr="00701945" w:rsidTr="00A874EB">
        <w:trPr>
          <w:cantSplit/>
          <w:trHeight w:val="373"/>
          <w:tblHeader/>
        </w:trPr>
        <w:tc>
          <w:tcPr>
            <w:tcW w:w="3198" w:type="dxa"/>
            <w:tcBorders>
              <w:top w:val="nil"/>
              <w:left w:val="nil"/>
              <w:bottom w:val="nil"/>
              <w:right w:val="nil"/>
            </w:tcBorders>
          </w:tcPr>
          <w:p w:rsidR="009B2166" w:rsidRPr="00701945" w:rsidRDefault="009B2166" w:rsidP="00A874EB">
            <w:pPr>
              <w:jc w:val="both"/>
            </w:pPr>
            <w:r w:rsidRPr="00701945">
              <w:rPr>
                <w:u w:val="single"/>
              </w:rPr>
              <w:t>Witness</w:t>
            </w:r>
          </w:p>
        </w:tc>
        <w:tc>
          <w:tcPr>
            <w:tcW w:w="1680" w:type="dxa"/>
            <w:tcBorders>
              <w:top w:val="nil"/>
              <w:left w:val="nil"/>
              <w:bottom w:val="nil"/>
              <w:right w:val="nil"/>
            </w:tcBorders>
          </w:tcPr>
          <w:p w:rsidR="009B2166" w:rsidRPr="00701945" w:rsidRDefault="009B2166" w:rsidP="00A874EB">
            <w:pPr>
              <w:jc w:val="center"/>
            </w:pPr>
            <w:r w:rsidRPr="00701945">
              <w:rPr>
                <w:u w:val="single"/>
              </w:rPr>
              <w:t>Proffered By</w:t>
            </w:r>
          </w:p>
        </w:tc>
        <w:tc>
          <w:tcPr>
            <w:tcW w:w="1482" w:type="dxa"/>
            <w:tcBorders>
              <w:top w:val="nil"/>
              <w:left w:val="nil"/>
              <w:bottom w:val="nil"/>
              <w:right w:val="nil"/>
            </w:tcBorders>
          </w:tcPr>
          <w:p w:rsidR="009B2166" w:rsidRPr="004515FB" w:rsidRDefault="009B2166" w:rsidP="00A874EB">
            <w:pPr>
              <w:jc w:val="center"/>
            </w:pPr>
          </w:p>
        </w:tc>
        <w:tc>
          <w:tcPr>
            <w:tcW w:w="3205" w:type="dxa"/>
            <w:tcBorders>
              <w:top w:val="nil"/>
              <w:left w:val="nil"/>
              <w:bottom w:val="nil"/>
              <w:right w:val="nil"/>
            </w:tcBorders>
          </w:tcPr>
          <w:p w:rsidR="009B2166" w:rsidRPr="00701945" w:rsidRDefault="009B2166" w:rsidP="00A874EB">
            <w:pPr>
              <w:jc w:val="both"/>
            </w:pPr>
            <w:r w:rsidRPr="00701945">
              <w:rPr>
                <w:u w:val="single"/>
              </w:rPr>
              <w:t>Description</w:t>
            </w:r>
          </w:p>
        </w:tc>
      </w:tr>
      <w:tr w:rsidR="009B2166" w:rsidRPr="00701945" w:rsidTr="00A874EB">
        <w:trPr>
          <w:cantSplit/>
          <w:trHeight w:val="353"/>
        </w:trPr>
        <w:tc>
          <w:tcPr>
            <w:tcW w:w="3198" w:type="dxa"/>
            <w:tcBorders>
              <w:top w:val="nil"/>
              <w:left w:val="nil"/>
              <w:bottom w:val="nil"/>
              <w:right w:val="nil"/>
            </w:tcBorders>
          </w:tcPr>
          <w:p w:rsidR="009B2166" w:rsidRPr="00701945" w:rsidRDefault="009B2166" w:rsidP="00A874EB">
            <w:pPr>
              <w:jc w:val="both"/>
            </w:pPr>
            <w:r w:rsidRPr="00701945">
              <w:tab/>
            </w:r>
            <w:r w:rsidRPr="00701945">
              <w:rPr>
                <w:u w:val="single"/>
              </w:rPr>
              <w:t>Direct</w:t>
            </w:r>
          </w:p>
        </w:tc>
        <w:tc>
          <w:tcPr>
            <w:tcW w:w="1680" w:type="dxa"/>
            <w:tcBorders>
              <w:top w:val="nil"/>
              <w:left w:val="nil"/>
              <w:bottom w:val="nil"/>
              <w:right w:val="nil"/>
            </w:tcBorders>
          </w:tcPr>
          <w:p w:rsidR="009B2166" w:rsidRPr="00701945" w:rsidRDefault="009B2166" w:rsidP="00A874EB">
            <w:pPr>
              <w:jc w:val="center"/>
            </w:pPr>
          </w:p>
        </w:tc>
        <w:tc>
          <w:tcPr>
            <w:tcW w:w="1482" w:type="dxa"/>
            <w:tcBorders>
              <w:top w:val="nil"/>
              <w:left w:val="nil"/>
              <w:bottom w:val="nil"/>
              <w:right w:val="nil"/>
            </w:tcBorders>
          </w:tcPr>
          <w:p w:rsidR="009B2166" w:rsidRPr="004515FB" w:rsidRDefault="009B2166" w:rsidP="00A874EB">
            <w:pPr>
              <w:jc w:val="center"/>
            </w:pPr>
          </w:p>
        </w:tc>
        <w:tc>
          <w:tcPr>
            <w:tcW w:w="3205" w:type="dxa"/>
            <w:tcBorders>
              <w:top w:val="nil"/>
              <w:left w:val="nil"/>
              <w:bottom w:val="nil"/>
              <w:right w:val="nil"/>
            </w:tcBorders>
          </w:tcPr>
          <w:p w:rsidR="009B2166" w:rsidRPr="00701945" w:rsidRDefault="009B2166" w:rsidP="00A874EB"/>
        </w:tc>
      </w:tr>
      <w:tr w:rsidR="0065152D" w:rsidRPr="00701945" w:rsidTr="00A874EB">
        <w:trPr>
          <w:cantSplit/>
          <w:trHeight w:val="373"/>
        </w:trPr>
        <w:tc>
          <w:tcPr>
            <w:tcW w:w="3198" w:type="dxa"/>
            <w:tcBorders>
              <w:top w:val="nil"/>
              <w:left w:val="nil"/>
              <w:bottom w:val="nil"/>
              <w:right w:val="nil"/>
            </w:tcBorders>
          </w:tcPr>
          <w:p w:rsidR="0065152D" w:rsidRPr="00701945" w:rsidRDefault="0065152D" w:rsidP="0065152D">
            <w:pPr>
              <w:jc w:val="both"/>
            </w:pPr>
            <w:r>
              <w:t>Daniel DeBoer</w:t>
            </w:r>
          </w:p>
        </w:tc>
        <w:tc>
          <w:tcPr>
            <w:tcW w:w="1680" w:type="dxa"/>
            <w:tcBorders>
              <w:top w:val="nil"/>
              <w:left w:val="nil"/>
              <w:bottom w:val="nil"/>
              <w:right w:val="nil"/>
            </w:tcBorders>
          </w:tcPr>
          <w:p w:rsidR="0065152D" w:rsidRPr="00701945" w:rsidRDefault="0065152D" w:rsidP="0065152D">
            <w:pPr>
              <w:jc w:val="both"/>
            </w:pPr>
            <w:r>
              <w:t>FPL</w:t>
            </w:r>
          </w:p>
        </w:tc>
        <w:tc>
          <w:tcPr>
            <w:tcW w:w="1482" w:type="dxa"/>
            <w:tcBorders>
              <w:top w:val="nil"/>
              <w:left w:val="nil"/>
              <w:bottom w:val="nil"/>
              <w:right w:val="nil"/>
            </w:tcBorders>
          </w:tcPr>
          <w:p w:rsidR="0065152D" w:rsidRPr="004515FB" w:rsidRDefault="0065152D" w:rsidP="0065152D">
            <w:pPr>
              <w:jc w:val="both"/>
            </w:pPr>
            <w:r>
              <w:t>(DD-1)</w:t>
            </w:r>
          </w:p>
        </w:tc>
        <w:tc>
          <w:tcPr>
            <w:tcW w:w="3205" w:type="dxa"/>
            <w:tcBorders>
              <w:top w:val="nil"/>
              <w:left w:val="nil"/>
              <w:bottom w:val="nil"/>
              <w:right w:val="nil"/>
            </w:tcBorders>
          </w:tcPr>
          <w:p w:rsidR="0065152D" w:rsidRPr="00701945" w:rsidRDefault="0065152D" w:rsidP="0065152D">
            <w:r>
              <w:t>Reactor Trip and Trip Bypass Breaker Inspection Maintenance</w:t>
            </w:r>
          </w:p>
        </w:tc>
      </w:tr>
      <w:tr w:rsidR="0065152D" w:rsidRPr="00701945" w:rsidTr="00A874EB">
        <w:trPr>
          <w:cantSplit/>
          <w:trHeight w:val="353"/>
        </w:trPr>
        <w:tc>
          <w:tcPr>
            <w:tcW w:w="3198" w:type="dxa"/>
            <w:tcBorders>
              <w:top w:val="nil"/>
              <w:left w:val="nil"/>
              <w:bottom w:val="nil"/>
              <w:right w:val="nil"/>
            </w:tcBorders>
          </w:tcPr>
          <w:p w:rsidR="0065152D" w:rsidRDefault="0065152D" w:rsidP="0065152D">
            <w:pPr>
              <w:jc w:val="both"/>
            </w:pPr>
            <w:r>
              <w:t>Richard Polich</w:t>
            </w:r>
          </w:p>
        </w:tc>
        <w:tc>
          <w:tcPr>
            <w:tcW w:w="1680" w:type="dxa"/>
            <w:tcBorders>
              <w:top w:val="nil"/>
              <w:left w:val="nil"/>
              <w:bottom w:val="nil"/>
              <w:right w:val="nil"/>
            </w:tcBorders>
          </w:tcPr>
          <w:p w:rsidR="0065152D" w:rsidRDefault="0065152D" w:rsidP="0065152D">
            <w:pPr>
              <w:jc w:val="both"/>
            </w:pPr>
            <w:r>
              <w:t>OPC</w:t>
            </w:r>
          </w:p>
        </w:tc>
        <w:tc>
          <w:tcPr>
            <w:tcW w:w="1482" w:type="dxa"/>
            <w:tcBorders>
              <w:top w:val="nil"/>
              <w:left w:val="nil"/>
              <w:bottom w:val="nil"/>
              <w:right w:val="nil"/>
            </w:tcBorders>
          </w:tcPr>
          <w:p w:rsidR="0065152D" w:rsidRDefault="0065152D" w:rsidP="0065152D">
            <w:pPr>
              <w:jc w:val="both"/>
            </w:pPr>
            <w:r>
              <w:t>(RAP-1)</w:t>
            </w:r>
          </w:p>
        </w:tc>
        <w:tc>
          <w:tcPr>
            <w:tcW w:w="3205" w:type="dxa"/>
            <w:tcBorders>
              <w:top w:val="nil"/>
              <w:left w:val="nil"/>
              <w:bottom w:val="nil"/>
              <w:right w:val="nil"/>
            </w:tcBorders>
          </w:tcPr>
          <w:p w:rsidR="0065152D" w:rsidRPr="00701945" w:rsidRDefault="0065152D" w:rsidP="0065152D">
            <w:pPr>
              <w:jc w:val="both"/>
            </w:pPr>
            <w:r>
              <w:t>Resume</w:t>
            </w:r>
          </w:p>
        </w:tc>
      </w:tr>
      <w:tr w:rsidR="0065152D" w:rsidRPr="00701945" w:rsidTr="00A874EB">
        <w:trPr>
          <w:cantSplit/>
          <w:trHeight w:val="353"/>
        </w:trPr>
        <w:tc>
          <w:tcPr>
            <w:tcW w:w="3198" w:type="dxa"/>
            <w:tcBorders>
              <w:top w:val="nil"/>
              <w:left w:val="nil"/>
              <w:bottom w:val="nil"/>
              <w:right w:val="nil"/>
            </w:tcBorders>
          </w:tcPr>
          <w:p w:rsidR="0065152D" w:rsidRDefault="0065152D" w:rsidP="0065152D">
            <w:pPr>
              <w:jc w:val="both"/>
            </w:pPr>
          </w:p>
        </w:tc>
        <w:tc>
          <w:tcPr>
            <w:tcW w:w="1680" w:type="dxa"/>
            <w:tcBorders>
              <w:top w:val="nil"/>
              <w:left w:val="nil"/>
              <w:bottom w:val="nil"/>
              <w:right w:val="nil"/>
            </w:tcBorders>
          </w:tcPr>
          <w:p w:rsidR="0065152D" w:rsidRDefault="0065152D" w:rsidP="0065152D">
            <w:pPr>
              <w:jc w:val="both"/>
            </w:pPr>
          </w:p>
        </w:tc>
        <w:tc>
          <w:tcPr>
            <w:tcW w:w="1482" w:type="dxa"/>
            <w:tcBorders>
              <w:top w:val="nil"/>
              <w:left w:val="nil"/>
              <w:bottom w:val="nil"/>
              <w:right w:val="nil"/>
            </w:tcBorders>
          </w:tcPr>
          <w:p w:rsidR="0065152D" w:rsidRDefault="0065152D" w:rsidP="0065152D">
            <w:pPr>
              <w:jc w:val="both"/>
            </w:pPr>
            <w:r>
              <w:t>(RAP-2)</w:t>
            </w:r>
          </w:p>
        </w:tc>
        <w:tc>
          <w:tcPr>
            <w:tcW w:w="3205" w:type="dxa"/>
            <w:tcBorders>
              <w:top w:val="nil"/>
              <w:left w:val="nil"/>
              <w:bottom w:val="nil"/>
              <w:right w:val="nil"/>
            </w:tcBorders>
          </w:tcPr>
          <w:p w:rsidR="0065152D" w:rsidRPr="00701945" w:rsidRDefault="0065152D" w:rsidP="0065152D">
            <w:pPr>
              <w:jc w:val="both"/>
            </w:pPr>
            <w:r>
              <w:t>List of Polich testimony</w:t>
            </w:r>
          </w:p>
        </w:tc>
      </w:tr>
      <w:tr w:rsidR="0065152D" w:rsidRPr="00701945" w:rsidTr="00A874EB">
        <w:trPr>
          <w:cantSplit/>
          <w:trHeight w:val="373"/>
        </w:trPr>
        <w:tc>
          <w:tcPr>
            <w:tcW w:w="3198" w:type="dxa"/>
            <w:tcBorders>
              <w:top w:val="nil"/>
              <w:left w:val="nil"/>
              <w:bottom w:val="nil"/>
              <w:right w:val="nil"/>
            </w:tcBorders>
          </w:tcPr>
          <w:p w:rsidR="0065152D" w:rsidRDefault="0065152D" w:rsidP="0065152D">
            <w:pPr>
              <w:jc w:val="both"/>
            </w:pPr>
          </w:p>
        </w:tc>
        <w:tc>
          <w:tcPr>
            <w:tcW w:w="1680" w:type="dxa"/>
            <w:tcBorders>
              <w:top w:val="nil"/>
              <w:left w:val="nil"/>
              <w:bottom w:val="nil"/>
              <w:right w:val="nil"/>
            </w:tcBorders>
          </w:tcPr>
          <w:p w:rsidR="0065152D" w:rsidRDefault="0065152D" w:rsidP="0065152D">
            <w:pPr>
              <w:jc w:val="both"/>
            </w:pPr>
          </w:p>
        </w:tc>
        <w:tc>
          <w:tcPr>
            <w:tcW w:w="1482" w:type="dxa"/>
            <w:tcBorders>
              <w:top w:val="nil"/>
              <w:left w:val="nil"/>
              <w:bottom w:val="nil"/>
              <w:right w:val="nil"/>
            </w:tcBorders>
          </w:tcPr>
          <w:p w:rsidR="0065152D" w:rsidRDefault="0065152D" w:rsidP="0065152D">
            <w:pPr>
              <w:jc w:val="both"/>
            </w:pPr>
            <w:r>
              <w:t>(RAP-3)</w:t>
            </w:r>
          </w:p>
        </w:tc>
        <w:tc>
          <w:tcPr>
            <w:tcW w:w="3205" w:type="dxa"/>
            <w:tcBorders>
              <w:top w:val="nil"/>
              <w:left w:val="nil"/>
              <w:bottom w:val="nil"/>
              <w:right w:val="nil"/>
            </w:tcBorders>
          </w:tcPr>
          <w:p w:rsidR="0065152D" w:rsidRPr="00701945" w:rsidRDefault="0065152D" w:rsidP="0065152D">
            <w:pPr>
              <w:jc w:val="both"/>
            </w:pPr>
            <w:r>
              <w:t>20220001-EI Polich testimony</w:t>
            </w:r>
          </w:p>
        </w:tc>
      </w:tr>
      <w:tr w:rsidR="0065152D" w:rsidRPr="00701945" w:rsidTr="00A874EB">
        <w:trPr>
          <w:cantSplit/>
          <w:trHeight w:val="353"/>
        </w:trPr>
        <w:tc>
          <w:tcPr>
            <w:tcW w:w="3198" w:type="dxa"/>
            <w:tcBorders>
              <w:top w:val="nil"/>
              <w:left w:val="nil"/>
              <w:bottom w:val="nil"/>
              <w:right w:val="nil"/>
            </w:tcBorders>
          </w:tcPr>
          <w:p w:rsidR="0065152D" w:rsidRDefault="0065152D" w:rsidP="0065152D">
            <w:pPr>
              <w:jc w:val="both"/>
            </w:pPr>
          </w:p>
        </w:tc>
        <w:tc>
          <w:tcPr>
            <w:tcW w:w="1680" w:type="dxa"/>
            <w:tcBorders>
              <w:top w:val="nil"/>
              <w:left w:val="nil"/>
              <w:bottom w:val="nil"/>
              <w:right w:val="nil"/>
            </w:tcBorders>
          </w:tcPr>
          <w:p w:rsidR="0065152D" w:rsidRDefault="0065152D" w:rsidP="0065152D">
            <w:pPr>
              <w:jc w:val="both"/>
            </w:pPr>
          </w:p>
        </w:tc>
        <w:tc>
          <w:tcPr>
            <w:tcW w:w="1482" w:type="dxa"/>
            <w:tcBorders>
              <w:top w:val="nil"/>
              <w:left w:val="nil"/>
              <w:bottom w:val="nil"/>
              <w:right w:val="nil"/>
            </w:tcBorders>
          </w:tcPr>
          <w:p w:rsidR="0065152D" w:rsidRDefault="0065152D" w:rsidP="0065152D">
            <w:pPr>
              <w:jc w:val="both"/>
            </w:pPr>
            <w:r>
              <w:t>(RAP-4)</w:t>
            </w:r>
          </w:p>
        </w:tc>
        <w:tc>
          <w:tcPr>
            <w:tcW w:w="3205" w:type="dxa"/>
            <w:tcBorders>
              <w:top w:val="nil"/>
              <w:left w:val="nil"/>
              <w:bottom w:val="nil"/>
              <w:right w:val="nil"/>
            </w:tcBorders>
          </w:tcPr>
          <w:p w:rsidR="0065152D" w:rsidRPr="00701945" w:rsidRDefault="0065152D" w:rsidP="0065152D">
            <w:pPr>
              <w:jc w:val="both"/>
            </w:pPr>
            <w:r>
              <w:t>PSC Audit Report</w:t>
            </w:r>
          </w:p>
        </w:tc>
      </w:tr>
      <w:tr w:rsidR="0065152D" w:rsidRPr="00701945" w:rsidTr="00A874EB">
        <w:trPr>
          <w:cantSplit/>
          <w:trHeight w:val="373"/>
        </w:trPr>
        <w:tc>
          <w:tcPr>
            <w:tcW w:w="3198" w:type="dxa"/>
            <w:tcBorders>
              <w:top w:val="nil"/>
              <w:left w:val="nil"/>
              <w:bottom w:val="nil"/>
              <w:right w:val="nil"/>
            </w:tcBorders>
          </w:tcPr>
          <w:p w:rsidR="0065152D" w:rsidRDefault="0065152D" w:rsidP="0065152D">
            <w:pPr>
              <w:jc w:val="both"/>
            </w:pPr>
          </w:p>
        </w:tc>
        <w:tc>
          <w:tcPr>
            <w:tcW w:w="1680" w:type="dxa"/>
            <w:tcBorders>
              <w:top w:val="nil"/>
              <w:left w:val="nil"/>
              <w:bottom w:val="nil"/>
              <w:right w:val="nil"/>
            </w:tcBorders>
          </w:tcPr>
          <w:p w:rsidR="0065152D" w:rsidRDefault="0065152D" w:rsidP="0065152D">
            <w:pPr>
              <w:jc w:val="both"/>
            </w:pPr>
          </w:p>
        </w:tc>
        <w:tc>
          <w:tcPr>
            <w:tcW w:w="1482" w:type="dxa"/>
            <w:tcBorders>
              <w:top w:val="nil"/>
              <w:left w:val="nil"/>
              <w:bottom w:val="nil"/>
              <w:right w:val="nil"/>
            </w:tcBorders>
          </w:tcPr>
          <w:p w:rsidR="0065152D" w:rsidRDefault="0065152D" w:rsidP="0065152D">
            <w:pPr>
              <w:jc w:val="both"/>
            </w:pPr>
            <w:r>
              <w:t>(RAP-5)</w:t>
            </w:r>
          </w:p>
        </w:tc>
        <w:tc>
          <w:tcPr>
            <w:tcW w:w="3205" w:type="dxa"/>
            <w:tcBorders>
              <w:top w:val="nil"/>
              <w:left w:val="nil"/>
              <w:bottom w:val="nil"/>
              <w:right w:val="nil"/>
            </w:tcBorders>
          </w:tcPr>
          <w:p w:rsidR="0065152D" w:rsidRPr="00701945" w:rsidRDefault="0065152D" w:rsidP="0065152D">
            <w:r>
              <w:t>NRC Inspection Report 12/09/2020</w:t>
            </w:r>
          </w:p>
        </w:tc>
      </w:tr>
      <w:tr w:rsidR="0065152D" w:rsidRPr="00701945" w:rsidTr="00A874EB">
        <w:trPr>
          <w:cantSplit/>
          <w:trHeight w:val="353"/>
        </w:trPr>
        <w:tc>
          <w:tcPr>
            <w:tcW w:w="3198" w:type="dxa"/>
            <w:tcBorders>
              <w:top w:val="nil"/>
              <w:left w:val="nil"/>
              <w:bottom w:val="nil"/>
              <w:right w:val="nil"/>
            </w:tcBorders>
          </w:tcPr>
          <w:p w:rsidR="0065152D" w:rsidRPr="00701945" w:rsidRDefault="0065152D" w:rsidP="0065152D">
            <w:pPr>
              <w:jc w:val="both"/>
            </w:pPr>
            <w:r>
              <w:t>Carl Vinson</w:t>
            </w:r>
          </w:p>
        </w:tc>
        <w:tc>
          <w:tcPr>
            <w:tcW w:w="1680" w:type="dxa"/>
            <w:tcBorders>
              <w:top w:val="nil"/>
              <w:left w:val="nil"/>
              <w:bottom w:val="nil"/>
              <w:right w:val="nil"/>
            </w:tcBorders>
          </w:tcPr>
          <w:p w:rsidR="0065152D" w:rsidRDefault="0065152D" w:rsidP="0065152D">
            <w:pPr>
              <w:jc w:val="both"/>
            </w:pPr>
            <w:r>
              <w:t>Staff</w:t>
            </w:r>
          </w:p>
        </w:tc>
        <w:tc>
          <w:tcPr>
            <w:tcW w:w="1482" w:type="dxa"/>
            <w:tcBorders>
              <w:top w:val="nil"/>
              <w:left w:val="nil"/>
              <w:bottom w:val="nil"/>
              <w:right w:val="nil"/>
            </w:tcBorders>
          </w:tcPr>
          <w:p w:rsidR="0065152D" w:rsidRPr="004515FB" w:rsidRDefault="0065152D" w:rsidP="0065152D">
            <w:pPr>
              <w:jc w:val="both"/>
            </w:pPr>
            <w:r>
              <w:t>(CV-1)</w:t>
            </w:r>
          </w:p>
        </w:tc>
        <w:tc>
          <w:tcPr>
            <w:tcW w:w="3205" w:type="dxa"/>
            <w:tcBorders>
              <w:top w:val="nil"/>
              <w:left w:val="nil"/>
              <w:bottom w:val="nil"/>
              <w:right w:val="nil"/>
            </w:tcBorders>
          </w:tcPr>
          <w:p w:rsidR="0065152D" w:rsidRPr="00701945" w:rsidRDefault="0065152D" w:rsidP="0065152D">
            <w:pPr>
              <w:jc w:val="both"/>
            </w:pPr>
            <w:r>
              <w:t>PSC Audit Report</w:t>
            </w:r>
          </w:p>
        </w:tc>
      </w:tr>
      <w:tr w:rsidR="0065152D" w:rsidRPr="00701945" w:rsidTr="00A874EB">
        <w:trPr>
          <w:cantSplit/>
          <w:trHeight w:val="353"/>
        </w:trPr>
        <w:tc>
          <w:tcPr>
            <w:tcW w:w="3198" w:type="dxa"/>
            <w:tcBorders>
              <w:top w:val="nil"/>
              <w:left w:val="nil"/>
              <w:bottom w:val="nil"/>
              <w:right w:val="nil"/>
            </w:tcBorders>
          </w:tcPr>
          <w:p w:rsidR="0065152D" w:rsidRPr="00701945" w:rsidRDefault="0065152D" w:rsidP="0065152D">
            <w:pPr>
              <w:jc w:val="both"/>
            </w:pPr>
            <w:r>
              <w:t>Tom Ballinger</w:t>
            </w:r>
          </w:p>
        </w:tc>
        <w:tc>
          <w:tcPr>
            <w:tcW w:w="1680" w:type="dxa"/>
            <w:tcBorders>
              <w:top w:val="nil"/>
              <w:left w:val="nil"/>
              <w:bottom w:val="nil"/>
              <w:right w:val="nil"/>
            </w:tcBorders>
          </w:tcPr>
          <w:p w:rsidR="0065152D" w:rsidRDefault="0065152D" w:rsidP="0065152D">
            <w:pPr>
              <w:jc w:val="both"/>
            </w:pPr>
            <w:r>
              <w:t>Staff</w:t>
            </w:r>
          </w:p>
        </w:tc>
        <w:tc>
          <w:tcPr>
            <w:tcW w:w="1482" w:type="dxa"/>
            <w:tcBorders>
              <w:top w:val="nil"/>
              <w:left w:val="nil"/>
              <w:bottom w:val="nil"/>
              <w:right w:val="nil"/>
            </w:tcBorders>
          </w:tcPr>
          <w:p w:rsidR="0065152D" w:rsidRPr="004515FB" w:rsidRDefault="0065152D" w:rsidP="0065152D">
            <w:pPr>
              <w:jc w:val="both"/>
            </w:pPr>
            <w:r>
              <w:t>(TEB-1)</w:t>
            </w:r>
          </w:p>
        </w:tc>
        <w:tc>
          <w:tcPr>
            <w:tcW w:w="3205" w:type="dxa"/>
            <w:tcBorders>
              <w:top w:val="nil"/>
              <w:left w:val="nil"/>
              <w:bottom w:val="nil"/>
              <w:right w:val="nil"/>
            </w:tcBorders>
          </w:tcPr>
          <w:p w:rsidR="0065152D" w:rsidRPr="00701945" w:rsidRDefault="0065152D" w:rsidP="0065152D">
            <w:pPr>
              <w:jc w:val="both"/>
            </w:pPr>
            <w:r>
              <w:t>Summary of outages</w:t>
            </w:r>
          </w:p>
        </w:tc>
      </w:tr>
    </w:tbl>
    <w:p w:rsidR="009B2166" w:rsidRPr="00701945" w:rsidRDefault="009B2166" w:rsidP="009B2166">
      <w:pPr>
        <w:jc w:val="both"/>
      </w:pPr>
    </w:p>
    <w:p w:rsidR="009B2166" w:rsidRPr="00701945" w:rsidRDefault="009B2166" w:rsidP="009B2166">
      <w:pPr>
        <w:jc w:val="both"/>
      </w:pPr>
      <w:r w:rsidRPr="00701945">
        <w:lastRenderedPageBreak/>
        <w:tab/>
        <w:t>Parties and Staff reserve the right to identify additional exhibits for the purpose of cross-examination.</w:t>
      </w:r>
    </w:p>
    <w:p w:rsidR="009B2166" w:rsidRDefault="009B2166" w:rsidP="009B2166">
      <w:pPr>
        <w:jc w:val="both"/>
      </w:pPr>
    </w:p>
    <w:p w:rsidR="009B2166" w:rsidRPr="00701945" w:rsidRDefault="009B2166" w:rsidP="009B2166">
      <w:pPr>
        <w:jc w:val="both"/>
      </w:pPr>
    </w:p>
    <w:p w:rsidR="009B2166" w:rsidRPr="00A32DC5" w:rsidRDefault="009B2166" w:rsidP="009B2166">
      <w:pPr>
        <w:jc w:val="both"/>
        <w:rPr>
          <w:b/>
        </w:rPr>
      </w:pPr>
      <w:r w:rsidRPr="00A32DC5">
        <w:rPr>
          <w:b/>
        </w:rPr>
        <w:t>X.</w:t>
      </w:r>
      <w:r w:rsidRPr="00A32DC5">
        <w:rPr>
          <w:b/>
        </w:rPr>
        <w:tab/>
      </w:r>
      <w:r w:rsidRPr="00A32DC5">
        <w:rPr>
          <w:b/>
          <w:u w:val="single"/>
        </w:rPr>
        <w:t>PROPOSED STIPULATIONS</w:t>
      </w:r>
    </w:p>
    <w:p w:rsidR="009B2166" w:rsidRDefault="009B2166" w:rsidP="009B2166">
      <w:pPr>
        <w:jc w:val="both"/>
      </w:pPr>
    </w:p>
    <w:p w:rsidR="00F61E55" w:rsidRDefault="00F61E55" w:rsidP="00F61E55">
      <w:pPr>
        <w:jc w:val="both"/>
      </w:pPr>
    </w:p>
    <w:p w:rsidR="00F61E55" w:rsidRPr="0053511C" w:rsidRDefault="00F61E55" w:rsidP="00F61E55">
      <w:pPr>
        <w:ind w:left="1440" w:hanging="1440"/>
        <w:jc w:val="both"/>
      </w:pPr>
      <w:r w:rsidRPr="00197F13">
        <w:rPr>
          <w:b/>
          <w:bCs/>
          <w:u w:val="single"/>
        </w:rPr>
        <w:t>I</w:t>
      </w:r>
      <w:r w:rsidRPr="00197F13">
        <w:rPr>
          <w:b/>
          <w:u w:val="single"/>
        </w:rPr>
        <w:t>SSUE 1</w:t>
      </w:r>
      <w:r w:rsidRPr="00197F13">
        <w:rPr>
          <w:b/>
        </w:rPr>
        <w:t>:</w:t>
      </w:r>
      <w:r>
        <w:rPr>
          <w:b/>
        </w:rPr>
        <w:tab/>
      </w:r>
      <w:r w:rsidRPr="00197F13">
        <w:rPr>
          <w:b/>
        </w:rPr>
        <w:t>What adjustment should be made with respect to replacement power costs associated with any unplanned outages that occurred at Turkey Point or St. Lucie during the calendar years 2020, 2021, and 2022?</w:t>
      </w:r>
    </w:p>
    <w:p w:rsidR="00F61E55" w:rsidRPr="0053511C" w:rsidRDefault="00F61E55" w:rsidP="00F61E55">
      <w:pPr>
        <w:ind w:left="1440" w:hanging="1440"/>
        <w:jc w:val="both"/>
        <w:rPr>
          <w:b/>
          <w:u w:val="single"/>
        </w:rPr>
      </w:pPr>
      <w:r>
        <w:rPr>
          <w:b/>
          <w:u w:val="single"/>
        </w:rPr>
        <w:t>FPL:</w:t>
      </w:r>
    </w:p>
    <w:p w:rsidR="00F61E55" w:rsidRDefault="00F61E55" w:rsidP="00F61E55">
      <w:pPr>
        <w:ind w:left="1440" w:hanging="1440"/>
        <w:jc w:val="both"/>
      </w:pPr>
      <w:r w:rsidRPr="002C3CCD">
        <w:rPr>
          <w:u w:val="single"/>
        </w:rPr>
        <w:t>Stipulation:</w:t>
      </w:r>
      <w:r>
        <w:tab/>
        <w:t>FPL shall credit customers $5 million, inclusive of interest, through the fuel clause.  The credit shall be included in the calculation of FPL’s fuel factors the next time the fuel factors are reset.  The prudence of, and replacement power cost calculations associated with, all forced or unplanned outages or down power events at the Turkey Point and St. Lucie nuclear facilities which occurred during the calendar years 2020, 2021 and 2022 are hereby fully resolved and shall not be subject to further challenge or litigation in the future.</w:t>
      </w:r>
    </w:p>
    <w:p w:rsidR="00F61E55" w:rsidRDefault="00F61E55" w:rsidP="00F61E55">
      <w:pPr>
        <w:ind w:left="1440" w:hanging="1440"/>
        <w:jc w:val="both"/>
        <w:rPr>
          <w:b/>
          <w:u w:val="single"/>
        </w:rPr>
      </w:pPr>
      <w:r>
        <w:rPr>
          <w:b/>
          <w:u w:val="single"/>
        </w:rPr>
        <w:t>OPC:</w:t>
      </w:r>
    </w:p>
    <w:p w:rsidR="00F61E55" w:rsidRDefault="00F61E55" w:rsidP="00F61E55">
      <w:pPr>
        <w:ind w:left="1440" w:hanging="1440"/>
        <w:jc w:val="both"/>
      </w:pPr>
      <w:r w:rsidRPr="00187CB4">
        <w:rPr>
          <w:u w:val="single"/>
        </w:rPr>
        <w:t>Stipulation:</w:t>
      </w:r>
      <w:r>
        <w:tab/>
        <w:t>FPL shall credit customers $5 million, inclusive of interest, through the fuel clause.  The credit shall be included in the calculation of FPL’s fuel factors the next time the fuel factors are reset.  The prudence of, and replacement power cost calculations associated with, all forced or unplanned outages or down power events at the Turkey Point and St. Lucie nuclear facilities which occurred during the calendar years 2020, 2021 and 2022 are hereby fully resolved and shall not be subject to further challenge or litigation in the future.</w:t>
      </w:r>
    </w:p>
    <w:p w:rsidR="00F61E55" w:rsidRDefault="00F61E55" w:rsidP="00F61E55">
      <w:pPr>
        <w:ind w:left="1440" w:hanging="1440"/>
        <w:jc w:val="both"/>
        <w:rPr>
          <w:b/>
          <w:u w:val="single"/>
        </w:rPr>
      </w:pPr>
    </w:p>
    <w:p w:rsidR="00F61E55" w:rsidRDefault="00F61E55" w:rsidP="00F61E55">
      <w:pPr>
        <w:ind w:left="1440" w:hanging="1440"/>
        <w:jc w:val="both"/>
      </w:pPr>
      <w:r>
        <w:rPr>
          <w:b/>
          <w:u w:val="single"/>
        </w:rPr>
        <w:t>FRF:</w:t>
      </w:r>
      <w:r>
        <w:tab/>
        <w:t>The FRF understands that FPL and the Office of Public Counsel have agreed to a stipulation on the above issues.  The FRF takes no position on the stipulation.  If the stipulation is not approved, the FRF will take positions on any remaining issues as instructed by the Commission.</w:t>
      </w:r>
    </w:p>
    <w:p w:rsidR="00F61E55" w:rsidRDefault="00F61E55" w:rsidP="00F61E55">
      <w:pPr>
        <w:ind w:left="1440" w:hanging="1440"/>
        <w:jc w:val="both"/>
      </w:pPr>
      <w:r>
        <w:t xml:space="preserve"> </w:t>
      </w:r>
    </w:p>
    <w:p w:rsidR="00F61E55" w:rsidRDefault="00F61E55" w:rsidP="00F61E55">
      <w:pPr>
        <w:ind w:left="1440" w:hanging="1440"/>
        <w:jc w:val="both"/>
      </w:pPr>
      <w:r>
        <w:rPr>
          <w:b/>
          <w:u w:val="single"/>
        </w:rPr>
        <w:t>FIPUG:</w:t>
      </w:r>
      <w:r>
        <w:tab/>
        <w:t>FIPUG has not stipulated to any matters in this matter, but understands that FPL and OPC have reached a stipulation on the two issues above.  FIPUG takes no position at this time on these two issues.  Should the Commission not approve this “Type 2” stipulation between FPL and OPC, FIPUG reserves the right to subsequently take a position on the two issues.</w:t>
      </w:r>
    </w:p>
    <w:p w:rsidR="00F61E55" w:rsidRPr="0053511C" w:rsidRDefault="00F61E55" w:rsidP="00F61E55">
      <w:pPr>
        <w:ind w:left="1440" w:hanging="1440"/>
        <w:jc w:val="both"/>
      </w:pPr>
    </w:p>
    <w:p w:rsidR="00F61E55" w:rsidRPr="002C3CCD" w:rsidRDefault="00F61E55" w:rsidP="00F61E55">
      <w:pPr>
        <w:ind w:left="1440" w:hanging="1440"/>
        <w:jc w:val="both"/>
        <w:rPr>
          <w:b/>
        </w:rPr>
      </w:pPr>
      <w:r w:rsidRPr="00197F13">
        <w:rPr>
          <w:b/>
          <w:u w:val="single"/>
        </w:rPr>
        <w:t>ISSUE 2</w:t>
      </w:r>
      <w:r w:rsidRPr="00197F13">
        <w:rPr>
          <w:b/>
        </w:rPr>
        <w:t>:</w:t>
      </w:r>
      <w:r>
        <w:tab/>
      </w:r>
      <w:r w:rsidRPr="002C3CCD">
        <w:rPr>
          <w:b/>
        </w:rPr>
        <w:t>Should FPL be subject to a follow up nuclear operations and management audit covering the 2024 to 2029 time period?</w:t>
      </w:r>
    </w:p>
    <w:p w:rsidR="00F61E55" w:rsidRDefault="00F61E55" w:rsidP="00F61E55">
      <w:pPr>
        <w:ind w:left="1440" w:hanging="1440"/>
        <w:jc w:val="both"/>
      </w:pPr>
    </w:p>
    <w:p w:rsidR="00F61E55" w:rsidRPr="00F01440" w:rsidRDefault="00F61E55" w:rsidP="00F61E55">
      <w:pPr>
        <w:ind w:left="1440" w:hanging="1440"/>
        <w:jc w:val="both"/>
      </w:pPr>
      <w:r>
        <w:rPr>
          <w:b/>
          <w:u w:val="single"/>
        </w:rPr>
        <w:t>FPL:</w:t>
      </w:r>
      <w:r>
        <w:tab/>
      </w:r>
    </w:p>
    <w:p w:rsidR="00F61E55" w:rsidRDefault="00F61E55" w:rsidP="00F61E55">
      <w:pPr>
        <w:ind w:left="720" w:hanging="720"/>
        <w:jc w:val="both"/>
        <w:rPr>
          <w:bCs/>
        </w:rPr>
      </w:pPr>
      <w:r w:rsidRPr="002C3CCD">
        <w:rPr>
          <w:u w:val="single"/>
        </w:rPr>
        <w:t>Stipulation</w:t>
      </w:r>
      <w:r>
        <w:rPr>
          <w:b/>
        </w:rPr>
        <w:t>:</w:t>
      </w:r>
      <w:r>
        <w:rPr>
          <w:b/>
        </w:rPr>
        <w:tab/>
      </w:r>
      <w:r>
        <w:t>Yes, a follow up audit may be conducted no earlier than 2030.</w:t>
      </w:r>
    </w:p>
    <w:p w:rsidR="00F61E55" w:rsidRDefault="00F61E55" w:rsidP="00F61E55">
      <w:pPr>
        <w:ind w:left="1440" w:hanging="1440"/>
        <w:jc w:val="both"/>
      </w:pPr>
    </w:p>
    <w:p w:rsidR="00A36AAE" w:rsidRDefault="00A36AAE">
      <w:pPr>
        <w:rPr>
          <w:b/>
          <w:u w:val="single"/>
        </w:rPr>
      </w:pPr>
      <w:r>
        <w:rPr>
          <w:b/>
          <w:u w:val="single"/>
        </w:rPr>
        <w:br w:type="page"/>
      </w:r>
    </w:p>
    <w:p w:rsidR="00F61E55" w:rsidRPr="00F01440" w:rsidRDefault="00F61E55" w:rsidP="00F61E55">
      <w:r w:rsidRPr="00F01440">
        <w:rPr>
          <w:b/>
          <w:u w:val="single"/>
        </w:rPr>
        <w:lastRenderedPageBreak/>
        <w:t>OPC:</w:t>
      </w:r>
      <w:r>
        <w:tab/>
      </w:r>
      <w:r>
        <w:tab/>
      </w:r>
    </w:p>
    <w:p w:rsidR="00F61E55" w:rsidRDefault="00F61E55" w:rsidP="00F61E55">
      <w:pPr>
        <w:ind w:left="720" w:hanging="720"/>
        <w:jc w:val="both"/>
        <w:rPr>
          <w:bCs/>
        </w:rPr>
      </w:pPr>
      <w:r w:rsidRPr="002C3CCD">
        <w:rPr>
          <w:u w:val="single"/>
        </w:rPr>
        <w:t>Stipulation</w:t>
      </w:r>
      <w:r>
        <w:rPr>
          <w:b/>
        </w:rPr>
        <w:t>:</w:t>
      </w:r>
      <w:r>
        <w:rPr>
          <w:b/>
        </w:rPr>
        <w:tab/>
      </w:r>
      <w:r>
        <w:t>Yes, a follow up audit may be conducted no earlier than 2030.</w:t>
      </w:r>
    </w:p>
    <w:p w:rsidR="00F61E55" w:rsidRDefault="00F61E55" w:rsidP="00F61E55">
      <w:pPr>
        <w:ind w:left="1440" w:hanging="1440"/>
        <w:jc w:val="both"/>
      </w:pPr>
    </w:p>
    <w:p w:rsidR="00F61E55" w:rsidRDefault="00F61E55" w:rsidP="00F61E55">
      <w:pPr>
        <w:ind w:left="1440" w:hanging="1440"/>
        <w:jc w:val="both"/>
      </w:pPr>
      <w:r>
        <w:rPr>
          <w:b/>
          <w:u w:val="single"/>
        </w:rPr>
        <w:t>FRF:</w:t>
      </w:r>
      <w:r>
        <w:tab/>
        <w:t>The FRF understands that FPL and the Office of Public Counsel have agreed to a stipulation on the above issues.  The FRF takes no position on the stipulation.  If the stipulation is not approved, the FRF will take positions on any remaining issues as instructed by the Commission.</w:t>
      </w:r>
    </w:p>
    <w:p w:rsidR="00F61E55" w:rsidRPr="00F01440" w:rsidRDefault="00F61E55" w:rsidP="00F61E55"/>
    <w:p w:rsidR="00F61E55" w:rsidRPr="00F01440" w:rsidRDefault="00F61E55" w:rsidP="00F61E55">
      <w:pPr>
        <w:ind w:left="1440" w:hanging="1440"/>
      </w:pPr>
      <w:r w:rsidRPr="00F01440">
        <w:rPr>
          <w:b/>
          <w:u w:val="single"/>
        </w:rPr>
        <w:t>FIPUG:</w:t>
      </w:r>
      <w:r>
        <w:tab/>
        <w:t>FIPUG has not stipulated to any matters in this matter, but understands that FPL and OPC have reached a stipulation on the two issues above.  FIPUG takes no position at this time on these two issues.  Should the Commission not approve this “Type 2” stipulation between FPL and OPC, FIPUG reserves the right to subsequently take a position on the two issues.</w:t>
      </w:r>
    </w:p>
    <w:p w:rsidR="009B2166" w:rsidRDefault="009B2166" w:rsidP="009B2166">
      <w:pPr>
        <w:ind w:left="1440" w:hanging="1440"/>
        <w:jc w:val="both"/>
        <w:rPr>
          <w:bCs/>
        </w:rPr>
      </w:pPr>
    </w:p>
    <w:p w:rsidR="009B2166" w:rsidRDefault="009B2166" w:rsidP="009B2166">
      <w:pPr>
        <w:ind w:left="1440" w:hanging="1440"/>
        <w:jc w:val="both"/>
        <w:rPr>
          <w:bCs/>
        </w:rPr>
      </w:pPr>
    </w:p>
    <w:p w:rsidR="009B2166" w:rsidRPr="00A32DC5" w:rsidRDefault="009B2166" w:rsidP="009B2166">
      <w:pPr>
        <w:jc w:val="both"/>
        <w:rPr>
          <w:b/>
        </w:rPr>
      </w:pPr>
      <w:r w:rsidRPr="00A32DC5">
        <w:rPr>
          <w:b/>
        </w:rPr>
        <w:t>XI.</w:t>
      </w:r>
      <w:r w:rsidRPr="00A32DC5">
        <w:rPr>
          <w:b/>
        </w:rPr>
        <w:tab/>
      </w:r>
      <w:r w:rsidRPr="00A32DC5">
        <w:rPr>
          <w:b/>
          <w:u w:val="single"/>
        </w:rPr>
        <w:t>PENDING MOTIONS</w:t>
      </w:r>
    </w:p>
    <w:p w:rsidR="009B2166" w:rsidRPr="00701945" w:rsidRDefault="009B2166" w:rsidP="009B2166">
      <w:pPr>
        <w:jc w:val="both"/>
      </w:pPr>
    </w:p>
    <w:p w:rsidR="009B2166" w:rsidRDefault="00F61E55" w:rsidP="009B2166">
      <w:pPr>
        <w:ind w:firstLine="720"/>
        <w:jc w:val="both"/>
      </w:pPr>
      <w:r>
        <w:t>There are no pending motions at this time.</w:t>
      </w:r>
    </w:p>
    <w:p w:rsidR="009B2166" w:rsidRDefault="009B2166" w:rsidP="009B2166">
      <w:pPr>
        <w:jc w:val="both"/>
      </w:pPr>
    </w:p>
    <w:p w:rsidR="009B2166" w:rsidRPr="00701945" w:rsidRDefault="009B2166" w:rsidP="009B2166">
      <w:pPr>
        <w:jc w:val="both"/>
      </w:pPr>
    </w:p>
    <w:p w:rsidR="009B2166" w:rsidRPr="00A32DC5" w:rsidRDefault="009B2166" w:rsidP="009B2166">
      <w:pPr>
        <w:jc w:val="both"/>
        <w:rPr>
          <w:b/>
        </w:rPr>
      </w:pPr>
      <w:r w:rsidRPr="00A32DC5">
        <w:rPr>
          <w:b/>
        </w:rPr>
        <w:t>XII.</w:t>
      </w:r>
      <w:r w:rsidRPr="00A32DC5">
        <w:rPr>
          <w:b/>
        </w:rPr>
        <w:tab/>
      </w:r>
      <w:r w:rsidRPr="00A32DC5">
        <w:rPr>
          <w:b/>
          <w:u w:val="single"/>
        </w:rPr>
        <w:t>PENDING CONFIDENTIALITY MATTERS</w:t>
      </w:r>
    </w:p>
    <w:p w:rsidR="009B2166" w:rsidRDefault="009B2166" w:rsidP="009B2166">
      <w:pPr>
        <w:jc w:val="both"/>
      </w:pPr>
    </w:p>
    <w:p w:rsidR="009B2166" w:rsidRDefault="00F61E55" w:rsidP="009B2166">
      <w:pPr>
        <w:jc w:val="both"/>
      </w:pPr>
      <w:r>
        <w:tab/>
        <w:t>There are no confidentiality orders pending at this time.</w:t>
      </w:r>
    </w:p>
    <w:p w:rsidR="00F61E55" w:rsidRDefault="00F61E55" w:rsidP="009B2166">
      <w:pPr>
        <w:jc w:val="both"/>
      </w:pPr>
    </w:p>
    <w:p w:rsidR="00F61E55" w:rsidRDefault="00F61E55" w:rsidP="009B2166">
      <w:pPr>
        <w:jc w:val="both"/>
      </w:pPr>
    </w:p>
    <w:p w:rsidR="009B2166" w:rsidRPr="00A32DC5" w:rsidRDefault="009B2166" w:rsidP="009B2166">
      <w:pPr>
        <w:jc w:val="both"/>
        <w:rPr>
          <w:b/>
        </w:rPr>
      </w:pPr>
      <w:r w:rsidRPr="00A32DC5">
        <w:rPr>
          <w:b/>
        </w:rPr>
        <w:t>XIII.</w:t>
      </w:r>
      <w:r w:rsidRPr="00A32DC5">
        <w:rPr>
          <w:b/>
        </w:rPr>
        <w:tab/>
      </w:r>
      <w:r w:rsidRPr="00A32DC5">
        <w:rPr>
          <w:b/>
          <w:u w:val="single"/>
        </w:rPr>
        <w:t>POST-HEARING PROCEDURES</w:t>
      </w:r>
    </w:p>
    <w:p w:rsidR="00F61E55" w:rsidRDefault="00F61E55" w:rsidP="009B2166">
      <w:pPr>
        <w:jc w:val="both"/>
      </w:pPr>
    </w:p>
    <w:p w:rsidR="00F61E55" w:rsidRPr="00701945" w:rsidRDefault="00F61E55" w:rsidP="00F61E55">
      <w:pPr>
        <w:ind w:firstLine="720"/>
        <w:jc w:val="both"/>
      </w:pPr>
      <w:r>
        <w:t xml:space="preserve">Post-hearing procedures will depend upon whether the proposed stipulations are approved by the Commission or are not approved.  If approved, all issues will be resolved and no further action needs to be taken by the parties.  If the Commission does not approve the proposed stipulations, the hearing will be continued and a revised procedural order will be issued.    </w:t>
      </w:r>
    </w:p>
    <w:p w:rsidR="009B2166" w:rsidRPr="00701945" w:rsidRDefault="009B2166" w:rsidP="009B2166">
      <w:pPr>
        <w:jc w:val="both"/>
      </w:pPr>
      <w:r w:rsidRPr="00701945">
        <w:tab/>
      </w:r>
    </w:p>
    <w:p w:rsidR="009B2166" w:rsidRDefault="009B2166" w:rsidP="009B2166">
      <w:pPr>
        <w:jc w:val="both"/>
      </w:pPr>
      <w:r w:rsidRPr="00701945">
        <w:tab/>
      </w:r>
    </w:p>
    <w:p w:rsidR="009B2166" w:rsidRPr="00A32DC5" w:rsidRDefault="009B2166" w:rsidP="009B2166">
      <w:pPr>
        <w:jc w:val="both"/>
        <w:rPr>
          <w:b/>
        </w:rPr>
      </w:pPr>
      <w:r w:rsidRPr="00A32DC5">
        <w:rPr>
          <w:b/>
        </w:rPr>
        <w:t>XIV.</w:t>
      </w:r>
      <w:r w:rsidRPr="00A32DC5">
        <w:rPr>
          <w:b/>
        </w:rPr>
        <w:tab/>
      </w:r>
      <w:r w:rsidRPr="00A32DC5">
        <w:rPr>
          <w:b/>
          <w:u w:val="single"/>
        </w:rPr>
        <w:t>RULINGS</w:t>
      </w:r>
    </w:p>
    <w:p w:rsidR="009B2166" w:rsidRPr="00701945" w:rsidRDefault="009B2166" w:rsidP="009B2166">
      <w:pPr>
        <w:jc w:val="both"/>
      </w:pPr>
    </w:p>
    <w:p w:rsidR="00F61E55" w:rsidRDefault="009B2166" w:rsidP="009B2166">
      <w:pPr>
        <w:ind w:firstLine="720"/>
        <w:jc w:val="both"/>
      </w:pPr>
      <w:r w:rsidRPr="00701945">
        <w:t xml:space="preserve">Opening statements, if any, shall not exceed </w:t>
      </w:r>
      <w:r w:rsidR="00E814A3">
        <w:t>5</w:t>
      </w:r>
      <w:r w:rsidRPr="00701945">
        <w:t xml:space="preserve"> minutes per party</w:t>
      </w:r>
      <w:r w:rsidR="00F61E55">
        <w:t xml:space="preserve"> unless a party chooses to waive its opening statement.</w:t>
      </w:r>
      <w:r w:rsidR="00E814A3">
        <w:t xml:space="preserve">  FRF’s and FIPUG’s requests to be excused from the final hearing on March 26 are hereby granted. </w:t>
      </w:r>
    </w:p>
    <w:p w:rsidR="00F61E55" w:rsidRDefault="00F61E55" w:rsidP="009B2166">
      <w:pPr>
        <w:ind w:firstLine="720"/>
        <w:jc w:val="both"/>
      </w:pPr>
    </w:p>
    <w:p w:rsidR="00F61E55" w:rsidRDefault="00F61E55" w:rsidP="00F61E55">
      <w:pPr>
        <w:ind w:firstLine="720"/>
        <w:jc w:val="both"/>
      </w:pPr>
      <w:r>
        <w:t>Stipulations resolving all issues shall be voted upon by the full Commission at the March 26 hearing.  If approved, the testimony and exhibits as listed on the Comprehensive Exhibit List shall be admitted into the record.  Should the Commission vote not to accept the stipulations, the hearing shall be continued and a new trial schedule shall be set, e.g., dates for filing rebuttal testimony, prehearing statements, hearing, briefing, etc.</w:t>
      </w:r>
    </w:p>
    <w:p w:rsidR="00F61E55" w:rsidRDefault="00F61E55" w:rsidP="00F61E55">
      <w:pPr>
        <w:ind w:firstLine="720"/>
        <w:jc w:val="both"/>
      </w:pPr>
    </w:p>
    <w:p w:rsidR="00F61E55" w:rsidRPr="00701945" w:rsidRDefault="00F61E55" w:rsidP="00E814A3">
      <w:pPr>
        <w:jc w:val="both"/>
      </w:pPr>
      <w:r>
        <w:lastRenderedPageBreak/>
        <w:tab/>
      </w:r>
      <w:r w:rsidRPr="00701945">
        <w:t>It is therefore,</w:t>
      </w:r>
    </w:p>
    <w:p w:rsidR="00F61E55" w:rsidRPr="00701945" w:rsidRDefault="00F61E55" w:rsidP="00F61E55">
      <w:pPr>
        <w:jc w:val="both"/>
      </w:pPr>
    </w:p>
    <w:p w:rsidR="00F61E55" w:rsidRPr="00701945" w:rsidRDefault="00F61E55" w:rsidP="00F61E55">
      <w:pPr>
        <w:jc w:val="both"/>
      </w:pPr>
      <w:r w:rsidRPr="00701945">
        <w:tab/>
        <w:t xml:space="preserve">ORDERED by Commissioner </w:t>
      </w:r>
      <w:r>
        <w:t>Gabriella Passidomo</w:t>
      </w:r>
      <w:r w:rsidRPr="00701945">
        <w:t>, as Prehearing Officer, that this Prehearing Order shall govern the conduct of these proceedings as set forth above unless modified by the Commission.</w:t>
      </w:r>
    </w:p>
    <w:p w:rsidR="00F61E55" w:rsidRDefault="00F61E55" w:rsidP="00F61E55">
      <w:pPr>
        <w:pStyle w:val="CenterUnderline"/>
        <w:jc w:val="both"/>
        <w:rPr>
          <w:u w:val="none"/>
        </w:rPr>
      </w:pPr>
    </w:p>
    <w:p w:rsidR="00F61E55" w:rsidRDefault="00F61E55" w:rsidP="00F61E55">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C01A5C">
        <w:t>21st</w:t>
      </w:r>
      <w:r w:rsidR="00C01A5C">
        <w:rPr>
          <w:u w:val="none"/>
        </w:rPr>
        <w:t xml:space="preserve"> day of </w:t>
      </w:r>
      <w:r w:rsidR="00C01A5C">
        <w:t>March</w:t>
      </w:r>
      <w:r w:rsidR="00C01A5C">
        <w:rPr>
          <w:u w:val="none"/>
        </w:rPr>
        <w:t xml:space="preserve">, </w:t>
      </w:r>
      <w:r w:rsidR="00C01A5C">
        <w:t>2024</w:t>
      </w:r>
      <w:r w:rsidR="00C01A5C">
        <w:rPr>
          <w:u w:val="none"/>
        </w:rPr>
        <w:t>.</w:t>
      </w:r>
    </w:p>
    <w:p w:rsidR="00C01A5C" w:rsidRPr="00C01A5C" w:rsidRDefault="00C01A5C" w:rsidP="00F61E55">
      <w:pPr>
        <w:pStyle w:val="CenterUnderline"/>
        <w:keepNext/>
        <w:keepLines/>
        <w:jc w:val="both"/>
        <w:rPr>
          <w:u w:val="none"/>
        </w:rPr>
      </w:pPr>
    </w:p>
    <w:p w:rsidR="00F61E55" w:rsidRDefault="00F61E55" w:rsidP="00F61E55">
      <w:pPr>
        <w:pStyle w:val="CenterUnderline"/>
        <w:keepNext/>
        <w:keepLines/>
        <w:jc w:val="both"/>
        <w:rPr>
          <w:u w:val="none"/>
        </w:rPr>
      </w:pPr>
    </w:p>
    <w:p w:rsidR="00F61E55" w:rsidRDefault="00F61E55" w:rsidP="00F61E5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61E55" w:rsidTr="00F61E55">
        <w:tc>
          <w:tcPr>
            <w:tcW w:w="720" w:type="dxa"/>
            <w:shd w:val="clear" w:color="auto" w:fill="auto"/>
          </w:tcPr>
          <w:p w:rsidR="00F61E55" w:rsidRDefault="00F61E55" w:rsidP="00F61E5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61E55" w:rsidRDefault="00C01A5C" w:rsidP="00F61E55">
            <w:pPr>
              <w:pStyle w:val="CenterUnderline"/>
              <w:keepNext/>
              <w:keepLines/>
              <w:jc w:val="both"/>
              <w:rPr>
                <w:u w:val="none"/>
              </w:rPr>
            </w:pPr>
            <w:r>
              <w:rPr>
                <w:u w:val="none"/>
              </w:rPr>
              <w:t>/s/ Gabriella Passidomo</w:t>
            </w:r>
            <w:bookmarkStart w:id="7" w:name="_GoBack"/>
            <w:bookmarkEnd w:id="7"/>
          </w:p>
        </w:tc>
      </w:tr>
      <w:bookmarkEnd w:id="6"/>
      <w:tr w:rsidR="00F61E55" w:rsidTr="00F61E55">
        <w:tc>
          <w:tcPr>
            <w:tcW w:w="720" w:type="dxa"/>
            <w:shd w:val="clear" w:color="auto" w:fill="auto"/>
          </w:tcPr>
          <w:p w:rsidR="00F61E55" w:rsidRDefault="00F61E55" w:rsidP="00F61E55">
            <w:pPr>
              <w:pStyle w:val="CenterUnderline"/>
              <w:keepNext/>
              <w:keepLines/>
              <w:jc w:val="both"/>
              <w:rPr>
                <w:u w:val="none"/>
              </w:rPr>
            </w:pPr>
          </w:p>
        </w:tc>
        <w:tc>
          <w:tcPr>
            <w:tcW w:w="4320" w:type="dxa"/>
            <w:tcBorders>
              <w:top w:val="single" w:sz="4" w:space="0" w:color="auto"/>
            </w:tcBorders>
            <w:shd w:val="clear" w:color="auto" w:fill="auto"/>
          </w:tcPr>
          <w:p w:rsidR="00F61E55" w:rsidRDefault="00F61E55" w:rsidP="00F61E55">
            <w:pPr>
              <w:pStyle w:val="CenterUnderline"/>
              <w:keepNext/>
              <w:keepLines/>
              <w:jc w:val="both"/>
              <w:rPr>
                <w:u w:val="none"/>
              </w:rPr>
            </w:pPr>
            <w:r>
              <w:rPr>
                <w:u w:val="none"/>
              </w:rPr>
              <w:t>Gabriella Passidomo</w:t>
            </w:r>
          </w:p>
          <w:p w:rsidR="00F61E55" w:rsidRDefault="00F61E55" w:rsidP="00F61E55">
            <w:pPr>
              <w:pStyle w:val="CenterUnderline"/>
              <w:keepNext/>
              <w:keepLines/>
              <w:jc w:val="both"/>
              <w:rPr>
                <w:u w:val="none"/>
              </w:rPr>
            </w:pPr>
            <w:r>
              <w:rPr>
                <w:u w:val="none"/>
              </w:rPr>
              <w:t>Commissioner and Prehearing Officer</w:t>
            </w:r>
          </w:p>
        </w:tc>
      </w:tr>
    </w:tbl>
    <w:p w:rsidR="00F61E55" w:rsidRDefault="00F61E55" w:rsidP="00F61E55">
      <w:pPr>
        <w:pStyle w:val="OrderSigInfo"/>
        <w:keepNext/>
        <w:keepLines/>
      </w:pPr>
      <w:r>
        <w:t>Florida Public Service Commission</w:t>
      </w:r>
    </w:p>
    <w:p w:rsidR="00F61E55" w:rsidRDefault="00F61E55" w:rsidP="00F61E55">
      <w:pPr>
        <w:pStyle w:val="OrderSigInfo"/>
        <w:keepNext/>
        <w:keepLines/>
      </w:pPr>
      <w:r>
        <w:t>2540 Shumard Oak Boulevard</w:t>
      </w:r>
    </w:p>
    <w:p w:rsidR="00F61E55" w:rsidRDefault="00F61E55" w:rsidP="00F61E55">
      <w:pPr>
        <w:pStyle w:val="OrderSigInfo"/>
        <w:keepNext/>
        <w:keepLines/>
      </w:pPr>
      <w:r>
        <w:t>Tallahassee, Florida 32399</w:t>
      </w:r>
    </w:p>
    <w:p w:rsidR="00F61E55" w:rsidRDefault="00F61E55" w:rsidP="00F61E55">
      <w:pPr>
        <w:pStyle w:val="OrderSigInfo"/>
        <w:keepNext/>
        <w:keepLines/>
      </w:pPr>
      <w:r>
        <w:t>(850) 413</w:t>
      </w:r>
      <w:r>
        <w:noBreakHyphen/>
        <w:t>6770</w:t>
      </w:r>
    </w:p>
    <w:p w:rsidR="00F61E55" w:rsidRDefault="00F61E55" w:rsidP="00F61E55">
      <w:pPr>
        <w:pStyle w:val="OrderSigInfo"/>
        <w:keepNext/>
        <w:keepLines/>
      </w:pPr>
      <w:r>
        <w:t>www.floridapsc.com</w:t>
      </w:r>
    </w:p>
    <w:p w:rsidR="00F61E55" w:rsidRDefault="00F61E55" w:rsidP="00F61E55">
      <w:pPr>
        <w:pStyle w:val="OrderSigInfo"/>
        <w:keepNext/>
        <w:keepLines/>
      </w:pPr>
    </w:p>
    <w:p w:rsidR="00F61E55" w:rsidRDefault="00F61E55" w:rsidP="00F61E55">
      <w:pPr>
        <w:pStyle w:val="OrderSigInfo"/>
        <w:keepNext/>
        <w:keepLines/>
      </w:pPr>
      <w:r>
        <w:t>Copies furnished:  A copy of this document is provided to the parties of record at the time of issuance and, if applicable, interested persons.</w:t>
      </w:r>
    </w:p>
    <w:p w:rsidR="00F61E55" w:rsidRDefault="00F61E55" w:rsidP="00F61E55">
      <w:pPr>
        <w:pStyle w:val="OrderBody"/>
        <w:keepNext/>
        <w:keepLines/>
      </w:pPr>
      <w:r>
        <w:t>SBr</w:t>
      </w:r>
    </w:p>
    <w:p w:rsidR="00F61E55" w:rsidRDefault="00F61E55" w:rsidP="00F61E55">
      <w:pPr>
        <w:pStyle w:val="OrderBody"/>
        <w:keepNext/>
        <w:keepLines/>
      </w:pPr>
    </w:p>
    <w:p w:rsidR="00F61E55" w:rsidRDefault="00F61E55" w:rsidP="00F61E55">
      <w:pPr>
        <w:pStyle w:val="CenterUnderline"/>
      </w:pPr>
      <w:r>
        <w:t>NOTICE OF FURTHER PROCEEDINGS OR JUDICIAL REVIEW</w:t>
      </w:r>
    </w:p>
    <w:p w:rsidR="00F61E55" w:rsidRDefault="00F61E55" w:rsidP="00F61E55">
      <w:pPr>
        <w:pStyle w:val="CenterUnderline"/>
      </w:pPr>
    </w:p>
    <w:p w:rsidR="00F61E55" w:rsidRDefault="00F61E55" w:rsidP="00F61E5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1E55" w:rsidRDefault="00F61E55" w:rsidP="00F61E55">
      <w:pPr>
        <w:pStyle w:val="OrderBody"/>
      </w:pPr>
    </w:p>
    <w:p w:rsidR="00F61E55" w:rsidRDefault="00F61E55" w:rsidP="00F61E55">
      <w:pPr>
        <w:pStyle w:val="OrderBody"/>
      </w:pPr>
      <w:r>
        <w:tab/>
        <w:t>Mediation may be available on a case-by-case basis.  If mediation is conducted, it does not affect a substantially interested person's right to a hearing.</w:t>
      </w:r>
    </w:p>
    <w:p w:rsidR="00F61E55" w:rsidRDefault="00F61E55" w:rsidP="00F61E55">
      <w:pPr>
        <w:pStyle w:val="OrderBody"/>
      </w:pPr>
    </w:p>
    <w:p w:rsidR="00F61E55" w:rsidRDefault="00F61E55" w:rsidP="00F61E55">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F61E55" w:rsidRDefault="00F61E55" w:rsidP="00F61E55">
      <w:pPr>
        <w:pStyle w:val="OrderBody"/>
      </w:pPr>
    </w:p>
    <w:p w:rsidR="00F61E55" w:rsidRDefault="00F61E55" w:rsidP="00F61E55">
      <w:pPr>
        <w:pStyle w:val="OrderBody"/>
      </w:pPr>
    </w:p>
    <w:p w:rsidR="00F61E55" w:rsidRDefault="00F61E55" w:rsidP="00F61E55">
      <w:pPr>
        <w:pStyle w:val="OrderBody"/>
      </w:pPr>
    </w:p>
    <w:sectPr w:rsidR="00F61E5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66" w:rsidRDefault="009B2166">
      <w:r>
        <w:separator/>
      </w:r>
    </w:p>
  </w:endnote>
  <w:endnote w:type="continuationSeparator" w:id="0">
    <w:p w:rsidR="009B2166" w:rsidRDefault="009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66" w:rsidRDefault="009B2166">
      <w:r>
        <w:separator/>
      </w:r>
    </w:p>
  </w:footnote>
  <w:footnote w:type="continuationSeparator" w:id="0">
    <w:p w:rsidR="009B2166" w:rsidRDefault="009B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5 ">
      <w:r w:rsidR="00C01A5C">
        <w:t>PSC-2024-0075-PHO-EI</w:t>
      </w:r>
    </w:fldSimple>
  </w:p>
  <w:p w:rsidR="00FA6EFD" w:rsidRDefault="009B2166">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1A5C">
      <w:rPr>
        <w:rStyle w:val="PageNumber"/>
        <w:noProof/>
      </w:rPr>
      <w:t>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9B216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0DB"/>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3AC3"/>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6DA5"/>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152D"/>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5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2166"/>
    <w:rsid w:val="009D4C29"/>
    <w:rsid w:val="009E58E9"/>
    <w:rsid w:val="009E6803"/>
    <w:rsid w:val="009F5D7A"/>
    <w:rsid w:val="009F6AD2"/>
    <w:rsid w:val="009F7C1B"/>
    <w:rsid w:val="00A00B5B"/>
    <w:rsid w:val="00A00D8D"/>
    <w:rsid w:val="00A01BB6"/>
    <w:rsid w:val="00A108A7"/>
    <w:rsid w:val="00A228DA"/>
    <w:rsid w:val="00A22B28"/>
    <w:rsid w:val="00A3351E"/>
    <w:rsid w:val="00A36AA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1DA5"/>
    <w:rsid w:val="00BF2928"/>
    <w:rsid w:val="00BF5D60"/>
    <w:rsid w:val="00BF6691"/>
    <w:rsid w:val="00C01A5C"/>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15DD"/>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6D25"/>
    <w:rsid w:val="00E72914"/>
    <w:rsid w:val="00E75AE0"/>
    <w:rsid w:val="00E814A3"/>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E55"/>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B2166"/>
    <w:pPr>
      <w:autoSpaceDE w:val="0"/>
      <w:autoSpaceDN w:val="0"/>
      <w:adjustRightInd w:val="0"/>
      <w:ind w:left="1440"/>
    </w:pPr>
    <w:rPr>
      <w:sz w:val="24"/>
      <w:szCs w:val="24"/>
    </w:rPr>
  </w:style>
  <w:style w:type="paragraph" w:styleId="BalloonText">
    <w:name w:val="Balloon Text"/>
    <w:basedOn w:val="Normal"/>
    <w:link w:val="BalloonTextChar"/>
    <w:semiHidden/>
    <w:unhideWhenUsed/>
    <w:rsid w:val="00C01A5C"/>
    <w:rPr>
      <w:rFonts w:ascii="Segoe UI" w:hAnsi="Segoe UI" w:cs="Segoe UI"/>
      <w:sz w:val="18"/>
      <w:szCs w:val="18"/>
    </w:rPr>
  </w:style>
  <w:style w:type="character" w:customStyle="1" w:styleId="BalloonTextChar">
    <w:name w:val="Balloon Text Char"/>
    <w:basedOn w:val="DefaultParagraphFont"/>
    <w:link w:val="BalloonText"/>
    <w:semiHidden/>
    <w:rsid w:val="00C01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10</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2024-03-21T16:28:00Z</dcterms:created>
  <dcterms:modified xsi:type="dcterms:W3CDTF">2024-03-21T16:55:00Z</dcterms:modified>
</cp:coreProperties>
</file>