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F41" w:rsidP="003A4F41">
      <w:pPr>
        <w:pStyle w:val="OrderHeading"/>
      </w:pPr>
      <w:r>
        <w:t>BEFORE THE FLORIDA PUBLIC SERVICE COMMISSION</w:t>
      </w:r>
    </w:p>
    <w:p w:rsidR="003A4F41" w:rsidRDefault="003A4F41" w:rsidP="003A4F41">
      <w:pPr>
        <w:pStyle w:val="OrderBody"/>
      </w:pPr>
    </w:p>
    <w:p w:rsidR="003A4F41" w:rsidRDefault="003A4F41" w:rsidP="003A4F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F41" w:rsidRPr="00C63FCF" w:rsidTr="00C63FCF">
        <w:trPr>
          <w:trHeight w:val="828"/>
        </w:trPr>
        <w:tc>
          <w:tcPr>
            <w:tcW w:w="4788" w:type="dxa"/>
            <w:tcBorders>
              <w:bottom w:val="single" w:sz="8" w:space="0" w:color="auto"/>
              <w:right w:val="double" w:sz="6" w:space="0" w:color="auto"/>
            </w:tcBorders>
            <w:shd w:val="clear" w:color="auto" w:fill="auto"/>
          </w:tcPr>
          <w:p w:rsidR="003A4F41" w:rsidRDefault="003A4F41" w:rsidP="00C63FCF">
            <w:pPr>
              <w:pStyle w:val="OrderBody"/>
              <w:tabs>
                <w:tab w:val="center" w:pos="4320"/>
                <w:tab w:val="right" w:pos="8640"/>
              </w:tabs>
              <w:jc w:val="left"/>
            </w:pPr>
            <w:r>
              <w:t xml:space="preserve">In re: </w:t>
            </w:r>
            <w:bookmarkStart w:id="0" w:name="SSInRe"/>
            <w:bookmarkEnd w:id="0"/>
            <w:r>
              <w:t>Commission review of numeric conservation goals (Tampa Electric Company).</w:t>
            </w:r>
          </w:p>
        </w:tc>
        <w:tc>
          <w:tcPr>
            <w:tcW w:w="4788" w:type="dxa"/>
            <w:tcBorders>
              <w:left w:val="double" w:sz="6" w:space="0" w:color="auto"/>
            </w:tcBorders>
            <w:shd w:val="clear" w:color="auto" w:fill="auto"/>
          </w:tcPr>
          <w:p w:rsidR="003A4F41" w:rsidRDefault="003A4F41" w:rsidP="003A4F41">
            <w:pPr>
              <w:pStyle w:val="OrderBody"/>
            </w:pPr>
            <w:r>
              <w:t xml:space="preserve">DOCKET NO. </w:t>
            </w:r>
            <w:bookmarkStart w:id="1" w:name="SSDocketNo"/>
            <w:bookmarkEnd w:id="1"/>
            <w:r>
              <w:t>20240014-EG</w:t>
            </w:r>
          </w:p>
          <w:p w:rsidR="003A4F41" w:rsidRDefault="003A4F41" w:rsidP="00C63FCF">
            <w:pPr>
              <w:pStyle w:val="OrderBody"/>
              <w:tabs>
                <w:tab w:val="center" w:pos="4320"/>
                <w:tab w:val="right" w:pos="8640"/>
              </w:tabs>
              <w:jc w:val="left"/>
            </w:pPr>
            <w:r>
              <w:t xml:space="preserve">ORDER NO. </w:t>
            </w:r>
            <w:bookmarkStart w:id="2" w:name="OrderNo0097"/>
            <w:r w:rsidR="00DE414A">
              <w:t>PSC-2024-0097-PCO- EG</w:t>
            </w:r>
            <w:bookmarkEnd w:id="2"/>
          </w:p>
          <w:p w:rsidR="003A4F41" w:rsidRDefault="003A4F41" w:rsidP="00C63FCF">
            <w:pPr>
              <w:pStyle w:val="OrderBody"/>
              <w:tabs>
                <w:tab w:val="center" w:pos="4320"/>
                <w:tab w:val="right" w:pos="8640"/>
              </w:tabs>
              <w:jc w:val="left"/>
            </w:pPr>
            <w:r>
              <w:t xml:space="preserve">ISSUED: </w:t>
            </w:r>
            <w:r w:rsidR="00DE414A">
              <w:t>April 17, 2024</w:t>
            </w:r>
          </w:p>
        </w:tc>
      </w:tr>
    </w:tbl>
    <w:p w:rsidR="003A4F41" w:rsidRDefault="003A4F41" w:rsidP="003A4F41"/>
    <w:p w:rsidR="003A4F41" w:rsidRDefault="003A4F41" w:rsidP="003A4F41"/>
    <w:p w:rsidR="00CB5276" w:rsidRDefault="003A4F41" w:rsidP="003A4F41">
      <w:pPr>
        <w:pStyle w:val="CenterUnderline"/>
      </w:pPr>
      <w:bookmarkStart w:id="3" w:name="Commissioners"/>
      <w:bookmarkEnd w:id="3"/>
      <w:r>
        <w:t>ORDER</w:t>
      </w:r>
      <w:bookmarkStart w:id="4" w:name="OrderTitle"/>
      <w:r w:rsidR="00A63B11">
        <w:t xml:space="preserve"> GRANTING TAMPA ELECTRIC COMPANY’S </w:t>
      </w:r>
      <w:r w:rsidR="00793728">
        <w:br/>
      </w:r>
      <w:r w:rsidR="00A63B11">
        <w:t>MOTION TO ACCEPT LATE-FILED TESTIMONY</w:t>
      </w:r>
      <w:r>
        <w:t xml:space="preserve"> </w:t>
      </w:r>
      <w:bookmarkEnd w:id="4"/>
    </w:p>
    <w:p w:rsidR="003A4F41" w:rsidRDefault="003A4F41" w:rsidP="003A4F41">
      <w:pPr>
        <w:pStyle w:val="CenterUnderline"/>
      </w:pPr>
    </w:p>
    <w:p w:rsidR="003A4F41" w:rsidRDefault="003A4F41" w:rsidP="003A4F41">
      <w:pPr>
        <w:pStyle w:val="OrderBody"/>
      </w:pPr>
    </w:p>
    <w:p w:rsidR="003A4F41" w:rsidRDefault="00A63B11" w:rsidP="00A63B11">
      <w:pPr>
        <w:pStyle w:val="CenterUnderline"/>
        <w:rPr>
          <w:b/>
        </w:rPr>
      </w:pPr>
      <w:bookmarkStart w:id="5" w:name="OrderText"/>
      <w:bookmarkEnd w:id="5"/>
      <w:r w:rsidRPr="00A63B11">
        <w:rPr>
          <w:b/>
        </w:rPr>
        <w:t>Background</w:t>
      </w:r>
    </w:p>
    <w:p w:rsidR="00A63B11" w:rsidRDefault="00A63B11" w:rsidP="00A63B11">
      <w:pPr>
        <w:pStyle w:val="CenterUnderline"/>
        <w:rPr>
          <w:b/>
        </w:rPr>
      </w:pPr>
    </w:p>
    <w:p w:rsidR="00A63B11" w:rsidRDefault="00A63B11" w:rsidP="00A63B11">
      <w:pPr>
        <w:pStyle w:val="CenterUnderline"/>
        <w:jc w:val="both"/>
        <w:rPr>
          <w:u w:val="none"/>
        </w:rPr>
      </w:pPr>
      <w:r>
        <w:rPr>
          <w:u w:val="none"/>
        </w:rPr>
        <w:tab/>
        <w:t xml:space="preserve">On January 5, 2024 we opened Docket No. 20240014-EG for the purpose of reviewing Tampa Electric Company’s (TECO) proposed numeric conservation goals under the Florida Energy Efficiency and Conservation Act (FEECA). On January 23, 2024, we issued an Order Establishing Procedure and Consolidation of Dockets (OEP). The TECO docket was consolidated for purposes of hearing with the other FEECA utilities’ dockets. The OEP set a deadline of April 2, 2024 for the utilities to </w:t>
      </w:r>
      <w:r w:rsidR="00491F7F">
        <w:rPr>
          <w:u w:val="none"/>
        </w:rPr>
        <w:t>file their direct testimony and exhibits.</w:t>
      </w:r>
    </w:p>
    <w:p w:rsidR="00491F7F" w:rsidRDefault="00491F7F" w:rsidP="00A63B11">
      <w:pPr>
        <w:pStyle w:val="CenterUnderline"/>
        <w:jc w:val="both"/>
        <w:rPr>
          <w:u w:val="none"/>
        </w:rPr>
      </w:pPr>
    </w:p>
    <w:p w:rsidR="00491F7F" w:rsidRDefault="00491F7F" w:rsidP="00A63B11">
      <w:pPr>
        <w:pStyle w:val="CenterUnderline"/>
        <w:jc w:val="both"/>
        <w:rPr>
          <w:u w:val="none"/>
        </w:rPr>
      </w:pPr>
      <w:r>
        <w:rPr>
          <w:u w:val="none"/>
        </w:rPr>
        <w:tab/>
        <w:t>On April 2, 2024, TECO filed a petition for approval of numeric conservation goals, the direct testimony of company witness Mark R. Roche, and Exhibit MRR-1. The fil</w:t>
      </w:r>
      <w:r w:rsidR="003E4ECF">
        <w:rPr>
          <w:u w:val="none"/>
        </w:rPr>
        <w:t>ing was accepted by the Commission Clerk on April 2, 2024.</w:t>
      </w:r>
    </w:p>
    <w:p w:rsidR="003E4ECF" w:rsidRDefault="003E4ECF" w:rsidP="00A63B11">
      <w:pPr>
        <w:pStyle w:val="CenterUnderline"/>
        <w:jc w:val="both"/>
        <w:rPr>
          <w:u w:val="none"/>
        </w:rPr>
      </w:pPr>
    </w:p>
    <w:p w:rsidR="003E4ECF" w:rsidRDefault="003E4ECF" w:rsidP="00A63B11">
      <w:pPr>
        <w:pStyle w:val="CenterUnderline"/>
        <w:jc w:val="both"/>
        <w:rPr>
          <w:u w:val="none"/>
        </w:rPr>
      </w:pPr>
      <w:r>
        <w:rPr>
          <w:u w:val="none"/>
        </w:rPr>
        <w:tab/>
        <w:t>Later on April 2, 2024, TECO filed the direct testimony and exhibits of witness Jim Herndon. T</w:t>
      </w:r>
      <w:r w:rsidR="00654E6D">
        <w:rPr>
          <w:u w:val="none"/>
        </w:rPr>
        <w:t>he filing was not received by the Commission Clerk until after 5:00 PM; thus, the filing was reflected in the docket as received on April 3, 2024, one day after the deadline.</w:t>
      </w:r>
    </w:p>
    <w:p w:rsidR="00654E6D" w:rsidRDefault="00654E6D" w:rsidP="00A63B11">
      <w:pPr>
        <w:pStyle w:val="CenterUnderline"/>
        <w:jc w:val="both"/>
        <w:rPr>
          <w:u w:val="none"/>
        </w:rPr>
      </w:pPr>
    </w:p>
    <w:p w:rsidR="00654E6D" w:rsidRDefault="00654E6D" w:rsidP="00654E6D">
      <w:pPr>
        <w:pStyle w:val="CenterUnderline"/>
        <w:rPr>
          <w:u w:val="none"/>
        </w:rPr>
      </w:pPr>
      <w:r>
        <w:rPr>
          <w:b/>
        </w:rPr>
        <w:t>Decision</w:t>
      </w:r>
    </w:p>
    <w:p w:rsidR="00EA0067" w:rsidRDefault="00EA0067" w:rsidP="00654E6D">
      <w:pPr>
        <w:pStyle w:val="CenterUnderline"/>
        <w:jc w:val="both"/>
        <w:rPr>
          <w:u w:val="none"/>
        </w:rPr>
      </w:pPr>
    </w:p>
    <w:p w:rsidR="00A31C26" w:rsidRDefault="00EA0067" w:rsidP="00A31C26">
      <w:pPr>
        <w:pStyle w:val="CenterUnderline"/>
        <w:jc w:val="both"/>
        <w:rPr>
          <w:u w:val="none"/>
        </w:rPr>
      </w:pPr>
      <w:r>
        <w:rPr>
          <w:u w:val="none"/>
        </w:rPr>
        <w:tab/>
      </w:r>
      <w:r w:rsidR="00A31C26">
        <w:rPr>
          <w:u w:val="none"/>
        </w:rPr>
        <w:t>The Office of Public Counsel (OPC) was the only other party in this docket at the time the testimony and exhibits of Jim Herndon was filed by TECO. OPC was not prejudiced by the late filing because identical testimony and exhibits were filed in the other FEECA utilities’ dockets. TECO conferred with OPC and OPC does not oppose this Motion.</w:t>
      </w:r>
    </w:p>
    <w:p w:rsidR="00A31C26" w:rsidRDefault="00A31C26" w:rsidP="00A31C26">
      <w:pPr>
        <w:pStyle w:val="CenterUnderline"/>
        <w:jc w:val="both"/>
        <w:rPr>
          <w:u w:val="none"/>
        </w:rPr>
      </w:pPr>
    </w:p>
    <w:p w:rsidR="00A31C26" w:rsidRPr="00772F35" w:rsidRDefault="00A31C26" w:rsidP="00A31C26">
      <w:pPr>
        <w:pStyle w:val="CenterUnderline"/>
        <w:jc w:val="both"/>
        <w:rPr>
          <w:u w:val="none"/>
        </w:rPr>
      </w:pPr>
      <w:r>
        <w:rPr>
          <w:u w:val="none"/>
        </w:rPr>
        <w:tab/>
        <w:t xml:space="preserve">Rule 28-106.211, Florida Administrative Code (F.A.C.), allows a prehearing officer to issue orders necessary to effectuate discovery, prevent delay, and promote the just, speedy, and inexpensive determination of all aspects of the case. I find the inclusion of Jim Herndon’s testimony and exhibits necessary to the overall determination of this case.  </w:t>
      </w:r>
      <w:r w:rsidR="00374F13">
        <w:rPr>
          <w:u w:val="none"/>
        </w:rPr>
        <w:t>Since there was no prejudice to OPC, the only other party to the docket at the time</w:t>
      </w:r>
      <w:r>
        <w:rPr>
          <w:u w:val="none"/>
        </w:rPr>
        <w:t>, the late-filed testimony and exhibits of Jim Herndon will be accepted in Docket No. 20240014-EG.</w:t>
      </w:r>
    </w:p>
    <w:p w:rsidR="003A4F41" w:rsidRDefault="003A4F41" w:rsidP="00A31C26">
      <w:pPr>
        <w:pStyle w:val="CenterUnderline"/>
        <w:jc w:val="both"/>
        <w:rPr>
          <w:iCs/>
          <w:color w:val="212121"/>
        </w:rPr>
      </w:pPr>
    </w:p>
    <w:p w:rsidR="00B86B2A" w:rsidRDefault="00B86B2A" w:rsidP="00A31C26">
      <w:pPr>
        <w:pStyle w:val="CenterUnderline"/>
        <w:jc w:val="both"/>
        <w:rPr>
          <w:iCs/>
          <w:color w:val="212121"/>
        </w:rPr>
      </w:pPr>
    </w:p>
    <w:p w:rsidR="00B86B2A" w:rsidRDefault="00B86B2A" w:rsidP="00A31C26">
      <w:pPr>
        <w:pStyle w:val="CenterUnderline"/>
        <w:jc w:val="both"/>
        <w:rPr>
          <w:iCs/>
          <w:color w:val="212121"/>
        </w:rPr>
      </w:pPr>
    </w:p>
    <w:p w:rsidR="00B86B2A" w:rsidRPr="00817318" w:rsidRDefault="00B86B2A" w:rsidP="00A31C26">
      <w:pPr>
        <w:pStyle w:val="CenterUnderline"/>
        <w:jc w:val="both"/>
        <w:rPr>
          <w:iCs/>
          <w:color w:val="212121"/>
        </w:rPr>
      </w:pPr>
    </w:p>
    <w:p w:rsidR="003A4F41" w:rsidRPr="00817318" w:rsidRDefault="00772F35" w:rsidP="003A4F41">
      <w:pPr>
        <w:pStyle w:val="ListParagraph"/>
        <w:ind w:left="0"/>
        <w:jc w:val="both"/>
        <w:rPr>
          <w:rFonts w:ascii="Times New Roman" w:hAnsi="Times New Roman"/>
          <w:iCs/>
          <w:color w:val="212121"/>
        </w:rPr>
      </w:pPr>
      <w:r>
        <w:rPr>
          <w:rFonts w:ascii="Times New Roman" w:hAnsi="Times New Roman"/>
          <w:iCs/>
          <w:color w:val="212121"/>
        </w:rPr>
        <w:lastRenderedPageBreak/>
        <w:tab/>
        <w:t>Based on the foregoing, it is</w:t>
      </w:r>
    </w:p>
    <w:p w:rsidR="003A4F41" w:rsidRPr="00817318" w:rsidRDefault="003A4F41" w:rsidP="003A4F41">
      <w:pPr>
        <w:pStyle w:val="ListParagraph"/>
        <w:ind w:left="0"/>
        <w:jc w:val="both"/>
        <w:rPr>
          <w:rFonts w:ascii="Times New Roman" w:hAnsi="Times New Roman"/>
          <w:iCs/>
          <w:color w:val="212121"/>
        </w:rPr>
      </w:pPr>
    </w:p>
    <w:p w:rsidR="003A4F41" w:rsidRPr="00817318" w:rsidRDefault="003A4F41" w:rsidP="003A4F41">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w:t>
      </w:r>
      <w:r w:rsidR="00A63B11">
        <w:rPr>
          <w:rFonts w:ascii="Times New Roman" w:hAnsi="Times New Roman"/>
          <w:iCs/>
          <w:color w:val="000000" w:themeColor="text1"/>
        </w:rPr>
        <w:t>Art</w:t>
      </w:r>
      <w:r w:rsidRPr="00A63B11">
        <w:rPr>
          <w:rFonts w:ascii="Times New Roman" w:hAnsi="Times New Roman"/>
          <w:iCs/>
          <w:color w:val="000000" w:themeColor="text1"/>
        </w:rPr>
        <w:t xml:space="preserve"> Graham</w:t>
      </w:r>
      <w:r w:rsidRPr="00817318">
        <w:rPr>
          <w:rFonts w:ascii="Times New Roman" w:hAnsi="Times New Roman"/>
          <w:iCs/>
          <w:color w:val="212121"/>
        </w:rPr>
        <w:t xml:space="preserve">, </w:t>
      </w:r>
      <w:r w:rsidR="002A2483">
        <w:rPr>
          <w:rFonts w:ascii="Times New Roman" w:hAnsi="Times New Roman"/>
          <w:iCs/>
          <w:color w:val="212121"/>
        </w:rPr>
        <w:t>as Prehearing Officer, that Tampa Electric Company’s Motion to Accept Late-Filed Testimony is granted</w:t>
      </w:r>
      <w:r w:rsidR="003C0349">
        <w:rPr>
          <w:rFonts w:ascii="Times New Roman" w:hAnsi="Times New Roman"/>
          <w:iCs/>
          <w:color w:val="212121"/>
        </w:rPr>
        <w:t>.</w:t>
      </w:r>
    </w:p>
    <w:p w:rsidR="003A4F41" w:rsidRDefault="003A4F41" w:rsidP="003A4F41">
      <w:pPr>
        <w:pStyle w:val="ListParagraph"/>
        <w:ind w:left="0"/>
        <w:jc w:val="both"/>
        <w:rPr>
          <w:rFonts w:ascii="Times New Roman" w:hAnsi="Times New Roman"/>
          <w:iCs/>
          <w:color w:val="212121"/>
        </w:rPr>
      </w:pPr>
    </w:p>
    <w:p w:rsidR="003A4F41" w:rsidRDefault="003A4F41" w:rsidP="003A4F41">
      <w:pPr>
        <w:pStyle w:val="ListParagraph"/>
        <w:keepNext/>
        <w:keepLines/>
        <w:ind w:left="0"/>
        <w:jc w:val="both"/>
        <w:rPr>
          <w:rFonts w:ascii="Times New Roman" w:hAnsi="Times New Roman"/>
          <w:iCs/>
          <w:color w:val="000000" w:themeColor="text1"/>
        </w:rPr>
      </w:pPr>
      <w:r>
        <w:rPr>
          <w:rFonts w:ascii="Times New Roman" w:hAnsi="Times New Roman"/>
          <w:iCs/>
          <w:color w:val="FF0000"/>
        </w:rPr>
        <w:tab/>
      </w:r>
      <w:r w:rsidRPr="00A63B11">
        <w:rPr>
          <w:rFonts w:ascii="Times New Roman" w:hAnsi="Times New Roman"/>
          <w:iCs/>
          <w:color w:val="000000" w:themeColor="text1"/>
        </w:rPr>
        <w:t xml:space="preserve">By ORDER of Commissioner Art Graham, as Prehearing Officer, this </w:t>
      </w:r>
      <w:bookmarkStart w:id="6" w:name="replaceDate"/>
      <w:bookmarkEnd w:id="6"/>
      <w:r w:rsidR="00DE414A">
        <w:rPr>
          <w:rFonts w:ascii="Times New Roman" w:hAnsi="Times New Roman"/>
          <w:iCs/>
          <w:color w:val="000000" w:themeColor="text1"/>
          <w:u w:val="single"/>
        </w:rPr>
        <w:t>17th</w:t>
      </w:r>
      <w:r w:rsidR="00DE414A">
        <w:rPr>
          <w:rFonts w:ascii="Times New Roman" w:hAnsi="Times New Roman"/>
          <w:iCs/>
          <w:color w:val="000000" w:themeColor="text1"/>
        </w:rPr>
        <w:t xml:space="preserve"> day of </w:t>
      </w:r>
      <w:r w:rsidR="00DE414A">
        <w:rPr>
          <w:rFonts w:ascii="Times New Roman" w:hAnsi="Times New Roman"/>
          <w:iCs/>
          <w:color w:val="000000" w:themeColor="text1"/>
          <w:u w:val="single"/>
        </w:rPr>
        <w:t>April</w:t>
      </w:r>
      <w:r w:rsidR="00DE414A">
        <w:rPr>
          <w:rFonts w:ascii="Times New Roman" w:hAnsi="Times New Roman"/>
          <w:iCs/>
          <w:color w:val="000000" w:themeColor="text1"/>
        </w:rPr>
        <w:t xml:space="preserve">, </w:t>
      </w:r>
      <w:r w:rsidR="00DE414A">
        <w:rPr>
          <w:rFonts w:ascii="Times New Roman" w:hAnsi="Times New Roman"/>
          <w:iCs/>
          <w:color w:val="000000" w:themeColor="text1"/>
          <w:u w:val="single"/>
        </w:rPr>
        <w:t>2024</w:t>
      </w:r>
      <w:r w:rsidR="00DE414A">
        <w:rPr>
          <w:rFonts w:ascii="Times New Roman" w:hAnsi="Times New Roman"/>
          <w:iCs/>
          <w:color w:val="000000" w:themeColor="text1"/>
        </w:rPr>
        <w:t>.</w:t>
      </w:r>
    </w:p>
    <w:p w:rsidR="00DE414A" w:rsidRPr="00DE414A" w:rsidRDefault="00DE414A" w:rsidP="003A4F41">
      <w:pPr>
        <w:pStyle w:val="ListParagraph"/>
        <w:keepNext/>
        <w:keepLines/>
        <w:ind w:left="0"/>
        <w:jc w:val="both"/>
        <w:rPr>
          <w:rFonts w:ascii="Times New Roman" w:hAnsi="Times New Roman"/>
          <w:iCs/>
          <w:color w:val="FF0000"/>
        </w:rPr>
      </w:pPr>
    </w:p>
    <w:tbl>
      <w:tblPr>
        <w:tblW w:w="4720" w:type="dxa"/>
        <w:tblInd w:w="3800" w:type="dxa"/>
        <w:tblLayout w:type="fixed"/>
        <w:tblLook w:val="0000" w:firstRow="0" w:lastRow="0" w:firstColumn="0" w:lastColumn="0" w:noHBand="0" w:noVBand="0"/>
      </w:tblPr>
      <w:tblGrid>
        <w:gridCol w:w="686"/>
        <w:gridCol w:w="4034"/>
      </w:tblGrid>
      <w:tr w:rsidR="003A4F41" w:rsidTr="00793728">
        <w:tc>
          <w:tcPr>
            <w:tcW w:w="686" w:type="dxa"/>
            <w:shd w:val="clear" w:color="auto" w:fill="auto"/>
          </w:tcPr>
          <w:p w:rsidR="003A4F41" w:rsidRDefault="003A4F41" w:rsidP="003A4F41">
            <w:pPr>
              <w:pStyle w:val="ListParagraph"/>
              <w:keepNext/>
              <w:keepLines/>
              <w:ind w:left="0"/>
              <w:jc w:val="both"/>
              <w:rPr>
                <w:rFonts w:ascii="Times New Roman" w:hAnsi="Times New Roman"/>
                <w:iCs/>
                <w:color w:val="FF0000"/>
              </w:rPr>
            </w:pPr>
            <w:bookmarkStart w:id="7" w:name="bkmrkSignature" w:colFirst="0" w:colLast="0"/>
          </w:p>
        </w:tc>
        <w:tc>
          <w:tcPr>
            <w:tcW w:w="4034" w:type="dxa"/>
            <w:tcBorders>
              <w:bottom w:val="single" w:sz="4" w:space="0" w:color="auto"/>
            </w:tcBorders>
            <w:shd w:val="clear" w:color="auto" w:fill="auto"/>
          </w:tcPr>
          <w:p w:rsidR="003A4F41" w:rsidRPr="00CE51C6" w:rsidRDefault="00CE51C6" w:rsidP="003A4F41">
            <w:pPr>
              <w:pStyle w:val="ListParagraph"/>
              <w:keepNext/>
              <w:keepLines/>
              <w:ind w:left="0"/>
              <w:jc w:val="both"/>
              <w:rPr>
                <w:rFonts w:ascii="Times New Roman" w:hAnsi="Times New Roman"/>
                <w:iCs/>
                <w:color w:val="000000" w:themeColor="text1"/>
              </w:rPr>
            </w:pPr>
            <w:r w:rsidRPr="00CE51C6">
              <w:rPr>
                <w:rFonts w:ascii="Times New Roman" w:hAnsi="Times New Roman"/>
                <w:iCs/>
                <w:color w:val="000000" w:themeColor="text1"/>
              </w:rPr>
              <w:t>/s/ Art Graham</w:t>
            </w:r>
          </w:p>
        </w:tc>
      </w:tr>
      <w:bookmarkEnd w:id="7"/>
      <w:tr w:rsidR="003A4F41" w:rsidTr="00793728">
        <w:tc>
          <w:tcPr>
            <w:tcW w:w="686" w:type="dxa"/>
            <w:shd w:val="clear" w:color="auto" w:fill="auto"/>
          </w:tcPr>
          <w:p w:rsidR="003A4F41" w:rsidRDefault="003A4F41" w:rsidP="003A4F41">
            <w:pPr>
              <w:pStyle w:val="ListParagraph"/>
              <w:keepNext/>
              <w:keepLines/>
              <w:ind w:left="0"/>
              <w:jc w:val="both"/>
              <w:rPr>
                <w:rFonts w:ascii="Times New Roman" w:hAnsi="Times New Roman"/>
                <w:iCs/>
                <w:color w:val="FF0000"/>
              </w:rPr>
            </w:pPr>
          </w:p>
        </w:tc>
        <w:tc>
          <w:tcPr>
            <w:tcW w:w="4034" w:type="dxa"/>
            <w:tcBorders>
              <w:top w:val="single" w:sz="4" w:space="0" w:color="auto"/>
            </w:tcBorders>
            <w:shd w:val="clear" w:color="auto" w:fill="auto"/>
          </w:tcPr>
          <w:p w:rsidR="003A4F41" w:rsidRPr="002C3F98" w:rsidRDefault="003A4F41" w:rsidP="003A4F41">
            <w:pPr>
              <w:pStyle w:val="ListParagraph"/>
              <w:keepNext/>
              <w:keepLines/>
              <w:ind w:left="0"/>
              <w:jc w:val="both"/>
              <w:rPr>
                <w:rFonts w:ascii="Times New Roman" w:hAnsi="Times New Roman"/>
                <w:iCs/>
                <w:color w:val="000000" w:themeColor="text1"/>
              </w:rPr>
            </w:pPr>
            <w:r w:rsidRPr="002C3F98">
              <w:rPr>
                <w:rFonts w:ascii="Times New Roman" w:hAnsi="Times New Roman"/>
                <w:iCs/>
                <w:color w:val="000000" w:themeColor="text1"/>
              </w:rPr>
              <w:t>ART GRAHAM</w:t>
            </w:r>
          </w:p>
          <w:p w:rsidR="003A4F41" w:rsidRDefault="003A4F41" w:rsidP="003A4F41">
            <w:pPr>
              <w:pStyle w:val="ListParagraph"/>
              <w:keepNext/>
              <w:keepLines/>
              <w:ind w:left="0"/>
              <w:jc w:val="both"/>
              <w:rPr>
                <w:rFonts w:ascii="Times New Roman" w:hAnsi="Times New Roman"/>
                <w:iCs/>
                <w:color w:val="FF0000"/>
              </w:rPr>
            </w:pPr>
            <w:r w:rsidRPr="002C3F98">
              <w:rPr>
                <w:rFonts w:ascii="Times New Roman" w:hAnsi="Times New Roman"/>
                <w:iCs/>
                <w:color w:val="000000" w:themeColor="text1"/>
              </w:rPr>
              <w:t>Commissioner and Prehearing Officer</w:t>
            </w:r>
          </w:p>
        </w:tc>
      </w:tr>
    </w:tbl>
    <w:p w:rsidR="003A4F41" w:rsidRDefault="003A4F41" w:rsidP="003A4F41">
      <w:pPr>
        <w:pStyle w:val="OrderSigInfo"/>
        <w:keepNext/>
        <w:keepLines/>
      </w:pPr>
      <w:r>
        <w:t>Florida Public Service Commission</w:t>
      </w:r>
    </w:p>
    <w:p w:rsidR="003A4F41" w:rsidRDefault="003A4F41" w:rsidP="003A4F41">
      <w:pPr>
        <w:pStyle w:val="OrderSigInfo"/>
        <w:keepNext/>
        <w:keepLines/>
      </w:pPr>
      <w:r>
        <w:t>2540 Shumard Oak Boulevard</w:t>
      </w:r>
    </w:p>
    <w:p w:rsidR="003A4F41" w:rsidRDefault="003A4F41" w:rsidP="003A4F41">
      <w:pPr>
        <w:pStyle w:val="OrderSigInfo"/>
        <w:keepNext/>
        <w:keepLines/>
      </w:pPr>
      <w:bookmarkStart w:id="8" w:name="_GoBack"/>
      <w:r>
        <w:t>Tallahassee, Florida 32399</w:t>
      </w:r>
    </w:p>
    <w:bookmarkEnd w:id="8"/>
    <w:p w:rsidR="003A4F41" w:rsidRDefault="003A4F41" w:rsidP="003A4F41">
      <w:pPr>
        <w:pStyle w:val="OrderSigInfo"/>
        <w:keepNext/>
        <w:keepLines/>
      </w:pPr>
      <w:r>
        <w:t>(850) 413</w:t>
      </w:r>
      <w:r>
        <w:noBreakHyphen/>
        <w:t>6770</w:t>
      </w:r>
    </w:p>
    <w:p w:rsidR="003A4F41" w:rsidRDefault="003A4F41" w:rsidP="003A4F41">
      <w:pPr>
        <w:pStyle w:val="OrderSigInfo"/>
        <w:keepNext/>
        <w:keepLines/>
      </w:pPr>
      <w:r>
        <w:t>www.floridapsc.com</w:t>
      </w:r>
    </w:p>
    <w:p w:rsidR="003A4F41" w:rsidRDefault="003A4F41" w:rsidP="003A4F41">
      <w:pPr>
        <w:pStyle w:val="OrderSigInfo"/>
        <w:keepNext/>
        <w:keepLines/>
      </w:pPr>
    </w:p>
    <w:p w:rsidR="003A4F41" w:rsidRDefault="002C3F98" w:rsidP="003A4F41">
      <w:pPr>
        <w:pStyle w:val="OrderSigInfo"/>
        <w:keepNext/>
        <w:keepLines/>
      </w:pPr>
      <w:r>
        <w:t xml:space="preserve">Copies furnished: </w:t>
      </w:r>
      <w:r w:rsidR="003A4F41">
        <w:t>A copy of this document is provided to the parties of record at the time of issuance and, if applicable, interested persons.</w:t>
      </w:r>
    </w:p>
    <w:p w:rsidR="003A4F41" w:rsidRDefault="003A4F41" w:rsidP="003A4F41">
      <w:pPr>
        <w:pStyle w:val="OrderBody"/>
        <w:keepNext/>
        <w:keepLines/>
      </w:pPr>
    </w:p>
    <w:p w:rsidR="003A4F41" w:rsidRPr="002A2483" w:rsidRDefault="003A4F41" w:rsidP="003A4F41">
      <w:pPr>
        <w:pStyle w:val="ListParagraph"/>
        <w:keepNext/>
        <w:keepLines/>
        <w:ind w:left="0"/>
        <w:jc w:val="both"/>
        <w:rPr>
          <w:rFonts w:ascii="Times New Roman" w:hAnsi="Times New Roman"/>
          <w:iCs/>
          <w:color w:val="000000" w:themeColor="text1"/>
        </w:rPr>
      </w:pPr>
      <w:r w:rsidRPr="002A2483">
        <w:rPr>
          <w:rFonts w:ascii="Times New Roman" w:hAnsi="Times New Roman"/>
          <w:iCs/>
          <w:color w:val="000000" w:themeColor="text1"/>
        </w:rPr>
        <w:t>JDI</w:t>
      </w:r>
    </w:p>
    <w:p w:rsidR="003A4F41" w:rsidRDefault="003A4F41" w:rsidP="003A4F41">
      <w:pPr>
        <w:pStyle w:val="ListParagraph"/>
        <w:ind w:left="0"/>
        <w:jc w:val="both"/>
        <w:rPr>
          <w:rFonts w:ascii="Times New Roman" w:hAnsi="Times New Roman"/>
          <w:iCs/>
          <w:color w:val="FF0000"/>
        </w:rPr>
      </w:pPr>
    </w:p>
    <w:p w:rsidR="003A4F41" w:rsidRDefault="003A4F41" w:rsidP="003A4F41">
      <w:pPr>
        <w:pStyle w:val="CenterUnderline"/>
      </w:pPr>
      <w:r>
        <w:t>NOTICE OF FURTHER PROCEEDINGS OR JUDICIAL REVIEW</w:t>
      </w:r>
    </w:p>
    <w:p w:rsidR="003A4F41" w:rsidRDefault="003A4F41" w:rsidP="003A4F41">
      <w:pPr>
        <w:pStyle w:val="CenterUnderline"/>
      </w:pPr>
    </w:p>
    <w:p w:rsidR="003A4F41" w:rsidRDefault="003A4F41" w:rsidP="003A4F41">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w:t>
      </w:r>
      <w:r w:rsidR="002C3F98">
        <w:t xml:space="preserve">limits that apply. </w:t>
      </w:r>
      <w:r>
        <w:t>This notice should not be construed to mean all requests for an administrative hearing or judicial review will be granted or result in the relief sought.</w:t>
      </w:r>
    </w:p>
    <w:p w:rsidR="003A4F41" w:rsidRDefault="003A4F41" w:rsidP="003A4F41">
      <w:pPr>
        <w:pStyle w:val="OrderBody"/>
      </w:pPr>
    </w:p>
    <w:p w:rsidR="003A4F41" w:rsidRDefault="003A4F41" w:rsidP="003A4F41">
      <w:pPr>
        <w:pStyle w:val="OrderBody"/>
      </w:pPr>
      <w:r>
        <w:tab/>
        <w:t>Mediation may be avai</w:t>
      </w:r>
      <w:r w:rsidR="002C3F98">
        <w:t xml:space="preserve">lable on a case-by-case basis. </w:t>
      </w:r>
      <w:r>
        <w:t>If mediation is conducted, it does not affect a substantially interested person's right to a hearing.</w:t>
      </w:r>
    </w:p>
    <w:p w:rsidR="003A4F41" w:rsidRDefault="003A4F41" w:rsidP="003A4F41">
      <w:pPr>
        <w:pStyle w:val="OrderBody"/>
      </w:pPr>
    </w:p>
    <w:p w:rsidR="005F2751" w:rsidRDefault="003A4F41" w:rsidP="00793728">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2C3F98">
        <w:t xml:space="preserve">a water or wastewater utility. </w:t>
      </w:r>
      <w:r>
        <w:t>A motion for reconsideration shall be filed with the Office of Commission Clerk, in the form prescribed by Rule 25-22.0376</w:t>
      </w:r>
      <w:r w:rsidR="002C3F98">
        <w:t xml:space="preserve">, Florida Administrative Code. </w:t>
      </w:r>
      <w:r>
        <w:t>Judicial review of a preliminary, procedural or intermediate ruling or order is available if review of the final action will not provi</w:t>
      </w:r>
      <w:r w:rsidR="002C3F98">
        <w:t xml:space="preserve">de an adequate remedy. </w:t>
      </w:r>
      <w:r>
        <w:t>Such review may be requested from the appropriate court, as described above, pursuant to Rule 9.100, Florid</w:t>
      </w:r>
      <w:r w:rsidR="00793728">
        <w:t>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41" w:rsidRDefault="003A4F41">
      <w:r>
        <w:separator/>
      </w:r>
    </w:p>
  </w:endnote>
  <w:endnote w:type="continuationSeparator" w:id="0">
    <w:p w:rsidR="003A4F41" w:rsidRDefault="003A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41" w:rsidRDefault="003A4F41">
      <w:r>
        <w:separator/>
      </w:r>
    </w:p>
  </w:footnote>
  <w:footnote w:type="continuationSeparator" w:id="0">
    <w:p w:rsidR="003A4F41" w:rsidRDefault="003A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7 ">
      <w:r w:rsidR="00DE414A">
        <w:t>PSC-2024-0097-PCO- EG</w:t>
      </w:r>
    </w:fldSimple>
  </w:p>
  <w:p w:rsidR="00FA6EFD" w:rsidRDefault="003A4F41">
    <w:pPr>
      <w:pStyle w:val="OrderHeader"/>
    </w:pPr>
    <w:bookmarkStart w:id="9" w:name="HeaderDocketNo"/>
    <w:bookmarkEnd w:id="9"/>
    <w:r>
      <w:t>DOCKET NO. 20240014-EG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51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4-EG"/>
  </w:docVars>
  <w:rsids>
    <w:rsidRoot w:val="003A4F4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483"/>
    <w:rsid w:val="002A6F30"/>
    <w:rsid w:val="002A7884"/>
    <w:rsid w:val="002B3111"/>
    <w:rsid w:val="002C09F5"/>
    <w:rsid w:val="002C118E"/>
    <w:rsid w:val="002C2096"/>
    <w:rsid w:val="002C3F98"/>
    <w:rsid w:val="002C7908"/>
    <w:rsid w:val="002D391B"/>
    <w:rsid w:val="002D4B1F"/>
    <w:rsid w:val="002D7D15"/>
    <w:rsid w:val="002E1B2E"/>
    <w:rsid w:val="002E27EB"/>
    <w:rsid w:val="002E4EF4"/>
    <w:rsid w:val="002E78B6"/>
    <w:rsid w:val="002F0F1C"/>
    <w:rsid w:val="002F2A9D"/>
    <w:rsid w:val="002F31C2"/>
    <w:rsid w:val="002F7BF6"/>
    <w:rsid w:val="00303FDE"/>
    <w:rsid w:val="00312D3F"/>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4F13"/>
    <w:rsid w:val="00382C6A"/>
    <w:rsid w:val="003875A9"/>
    <w:rsid w:val="00387BDE"/>
    <w:rsid w:val="00390DD8"/>
    <w:rsid w:val="00394DC6"/>
    <w:rsid w:val="00397C3E"/>
    <w:rsid w:val="003A4F41"/>
    <w:rsid w:val="003B1A09"/>
    <w:rsid w:val="003B6F02"/>
    <w:rsid w:val="003C0349"/>
    <w:rsid w:val="003C0431"/>
    <w:rsid w:val="003C29BB"/>
    <w:rsid w:val="003D3989"/>
    <w:rsid w:val="003D4CCA"/>
    <w:rsid w:val="003D52A6"/>
    <w:rsid w:val="003D6416"/>
    <w:rsid w:val="003E1D48"/>
    <w:rsid w:val="003E4ECF"/>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05FF"/>
    <w:rsid w:val="00472BCC"/>
    <w:rsid w:val="00477699"/>
    <w:rsid w:val="00491F7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4E6D"/>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2F35"/>
    <w:rsid w:val="00777727"/>
    <w:rsid w:val="0078166A"/>
    <w:rsid w:val="00782B79"/>
    <w:rsid w:val="00783811"/>
    <w:rsid w:val="007865E9"/>
    <w:rsid w:val="0079237D"/>
    <w:rsid w:val="00792383"/>
    <w:rsid w:val="00793728"/>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37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1C26"/>
    <w:rsid w:val="00A3351E"/>
    <w:rsid w:val="00A4303C"/>
    <w:rsid w:val="00A46CAF"/>
    <w:rsid w:val="00A470FD"/>
    <w:rsid w:val="00A50B5E"/>
    <w:rsid w:val="00A55F71"/>
    <w:rsid w:val="00A62DAB"/>
    <w:rsid w:val="00A63B11"/>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B2A"/>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1C6"/>
    <w:rsid w:val="00CE56FC"/>
    <w:rsid w:val="00CE7A4D"/>
    <w:rsid w:val="00CF32D2"/>
    <w:rsid w:val="00CF4CFE"/>
    <w:rsid w:val="00D00E8E"/>
    <w:rsid w:val="00D02E0F"/>
    <w:rsid w:val="00D03EE8"/>
    <w:rsid w:val="00D10250"/>
    <w:rsid w:val="00D13535"/>
    <w:rsid w:val="00D15497"/>
    <w:rsid w:val="00D17B79"/>
    <w:rsid w:val="00D205F5"/>
    <w:rsid w:val="00D23FEA"/>
    <w:rsid w:val="00D25FFA"/>
    <w:rsid w:val="00D269CA"/>
    <w:rsid w:val="00D30B48"/>
    <w:rsid w:val="00D3168A"/>
    <w:rsid w:val="00D350D1"/>
    <w:rsid w:val="00D46FAA"/>
    <w:rsid w:val="00D47A40"/>
    <w:rsid w:val="00D51D33"/>
    <w:rsid w:val="00D57BB2"/>
    <w:rsid w:val="00D57E57"/>
    <w:rsid w:val="00D70752"/>
    <w:rsid w:val="00D73F4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14A"/>
    <w:rsid w:val="00DF09A7"/>
    <w:rsid w:val="00DF2B51"/>
    <w:rsid w:val="00E001D6"/>
    <w:rsid w:val="00E03A76"/>
    <w:rsid w:val="00E04410"/>
    <w:rsid w:val="00E07484"/>
    <w:rsid w:val="00E0757E"/>
    <w:rsid w:val="00E11351"/>
    <w:rsid w:val="00E33F44"/>
    <w:rsid w:val="00E37D48"/>
    <w:rsid w:val="00E4225C"/>
    <w:rsid w:val="00E44879"/>
    <w:rsid w:val="00E72914"/>
    <w:rsid w:val="00E75AE0"/>
    <w:rsid w:val="00E83C1F"/>
    <w:rsid w:val="00E85684"/>
    <w:rsid w:val="00E8794B"/>
    <w:rsid w:val="00E97656"/>
    <w:rsid w:val="00EA004A"/>
    <w:rsid w:val="00EA0067"/>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A4F41"/>
    <w:pPr>
      <w:ind w:left="720"/>
      <w:contextualSpacing/>
    </w:pPr>
    <w:rPr>
      <w:rFonts w:ascii="Calibri" w:eastAsia="Calibri" w:hAnsi="Calibri"/>
    </w:rPr>
  </w:style>
  <w:style w:type="paragraph" w:styleId="BalloonText">
    <w:name w:val="Balloon Text"/>
    <w:basedOn w:val="Normal"/>
    <w:link w:val="BalloonTextChar"/>
    <w:semiHidden/>
    <w:unhideWhenUsed/>
    <w:rsid w:val="00DE414A"/>
    <w:rPr>
      <w:rFonts w:ascii="Segoe UI" w:hAnsi="Segoe UI" w:cs="Segoe UI"/>
      <w:sz w:val="18"/>
      <w:szCs w:val="18"/>
    </w:rPr>
  </w:style>
  <w:style w:type="character" w:customStyle="1" w:styleId="BalloonTextChar">
    <w:name w:val="Balloon Text Char"/>
    <w:basedOn w:val="DefaultParagraphFont"/>
    <w:link w:val="BalloonText"/>
    <w:semiHidden/>
    <w:rsid w:val="00DE4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2024-04-17T12:08:00Z</dcterms:created>
  <dcterms:modified xsi:type="dcterms:W3CDTF">2024-04-17T12:45:00Z</dcterms:modified>
</cp:coreProperties>
</file>