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644B4">
            <w:pPr>
              <w:pStyle w:val="MemoHeading"/>
            </w:pPr>
            <w:bookmarkStart w:id="1" w:name="FilingDate"/>
            <w:r>
              <w:t>April 25,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644B4" w:rsidRDefault="008644B4">
            <w:pPr>
              <w:pStyle w:val="MemoHeading"/>
            </w:pPr>
            <w:bookmarkStart w:id="2" w:name="From"/>
            <w:r>
              <w:t>Division of Accounting and Finance (Higgins, Zaslow, G. Kelley)</w:t>
            </w:r>
          </w:p>
          <w:p w:rsidR="008644B4" w:rsidRDefault="008644B4">
            <w:pPr>
              <w:pStyle w:val="MemoHeading"/>
            </w:pPr>
            <w:r>
              <w:t>Division of Economics (Hampson, P. Kelley)</w:t>
            </w:r>
          </w:p>
          <w:p w:rsidR="007C0528" w:rsidRDefault="008644B4">
            <w:pPr>
              <w:pStyle w:val="MemoHeading"/>
            </w:pPr>
            <w:r>
              <w:t>Office of the General Counsel (</w:t>
            </w:r>
            <w:proofErr w:type="spellStart"/>
            <w:r>
              <w:t>Brownless</w:t>
            </w:r>
            <w:proofErr w:type="spellEnd"/>
            <w:r>
              <w:t>,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644B4">
            <w:pPr>
              <w:pStyle w:val="MemoHeadingRe"/>
            </w:pPr>
            <w:bookmarkStart w:id="3" w:name="Re"/>
            <w:r>
              <w:t>Docket No. 20240001-EI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644B4">
            <w:pPr>
              <w:pStyle w:val="MemoHeading"/>
            </w:pPr>
            <w:bookmarkStart w:id="4" w:name="AgendaDate"/>
            <w:r>
              <w:t>05/07/24</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644B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644B4">
            <w:pPr>
              <w:pStyle w:val="MemoHeading"/>
            </w:pPr>
            <w:bookmarkStart w:id="7" w:name="PrehearingOfficer"/>
            <w:proofErr w:type="spellStart"/>
            <w:r>
              <w:t>Passidomo</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644B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377DD">
            <w:pPr>
              <w:pStyle w:val="MemoHeading"/>
            </w:pPr>
            <w:r>
              <w:t>None</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4604EE" w:rsidRDefault="00500148" w:rsidP="004604EE">
      <w:pPr>
        <w:pStyle w:val="BodyText"/>
      </w:pPr>
      <w:r>
        <w:t xml:space="preserve">On April </w:t>
      </w:r>
      <w:r w:rsidR="004604EE" w:rsidRPr="004604EE">
        <w:t>2, 2024, Tampa Electric Company (TECO or Company), filed for revision of its currently</w:t>
      </w:r>
      <w:r w:rsidR="00636AFB">
        <w:t xml:space="preserve"> </w:t>
      </w:r>
      <w:r w:rsidR="004604EE" w:rsidRPr="004604EE">
        <w:t>effective 2024 fuel cost recovery factors (MCC Petition).</w:t>
      </w:r>
      <w:r w:rsidR="004604EE" w:rsidRPr="004604EE">
        <w:rPr>
          <w:vertAlign w:val="superscript"/>
        </w:rPr>
        <w:footnoteReference w:id="1"/>
      </w:r>
      <w:r w:rsidR="004604EE" w:rsidRPr="004604EE">
        <w:t xml:space="preserve"> TECO’s</w:t>
      </w:r>
      <w:r w:rsidR="004604EE">
        <w:t xml:space="preserve"> currentl</w:t>
      </w:r>
      <w:r w:rsidR="004604EE" w:rsidRPr="00500148">
        <w:t>y</w:t>
      </w:r>
      <w:r w:rsidR="00636AFB">
        <w:t xml:space="preserve"> </w:t>
      </w:r>
      <w:r w:rsidR="004604EE">
        <w:t xml:space="preserve">effective </w:t>
      </w:r>
      <w:r w:rsidR="004604EE" w:rsidRPr="004604EE">
        <w:t>fuel factors were approved last year at the November 1, 2023 final hearing.</w:t>
      </w:r>
      <w:r w:rsidR="004604EE" w:rsidRPr="004604EE">
        <w:rPr>
          <w:vertAlign w:val="superscript"/>
        </w:rPr>
        <w:footnoteReference w:id="2"/>
      </w:r>
      <w:r w:rsidR="004604EE" w:rsidRPr="004604EE">
        <w:t xml:space="preserve"> Underlying the approval of TECO’s 2024 fuel factors was the Florida Public Service Commission’s (Commission) review of the Company’s projected 2024 fuel- and capacity-related costs. These costs are recovered through fuel and capacity cost recovery factors that are set/reset annually in this docket.</w:t>
      </w:r>
    </w:p>
    <w:p w:rsidR="008E4391" w:rsidRPr="008E4391" w:rsidRDefault="008E4391" w:rsidP="008644B4">
      <w:pPr>
        <w:pStyle w:val="First-LevelSubheading"/>
        <w:rPr>
          <w:rFonts w:ascii="Times New Roman" w:hAnsi="Times New Roman" w:cs="Times New Roman"/>
        </w:rPr>
      </w:pPr>
    </w:p>
    <w:p w:rsidR="0068481F" w:rsidRPr="008E4391" w:rsidRDefault="004D71BC" w:rsidP="008644B4">
      <w:pPr>
        <w:pStyle w:val="First-LevelSubheading"/>
        <w:rPr>
          <w:i/>
        </w:rPr>
      </w:pPr>
      <w:r w:rsidRPr="008E4391">
        <w:rPr>
          <w:i/>
        </w:rPr>
        <w:lastRenderedPageBreak/>
        <w:t>Mid-Course Corrections</w:t>
      </w:r>
    </w:p>
    <w:p w:rsidR="008644B4" w:rsidRDefault="004604EE" w:rsidP="008E4391">
      <w:pPr>
        <w:pStyle w:val="BodyText"/>
        <w:spacing w:after="0"/>
      </w:pPr>
      <w:r w:rsidRPr="004604EE">
        <w:t>Mid-course corrections are used by the Commission between annual clause hearings whenever costs deviate from revenue by a significant margin. Under Rule 25-6.0424, Florida Administrative Code (F.A.C.), which is commonly referred to as the “mid-course correction rule,” a utility must notify the Commission whenever it expects to experience an under- or over-recovery of certain service costs greater than 10 percent. The notification of a 10 percent cost-to-revenue variance shall include a petition for mid-course correction to the fuel cost recovery or capacity cost recovery factors, or shall include an explanation of why a mid-course correction is not practical. The mid-course correction rule and its codified procedures are further discussed throughout this recommendation.</w:t>
      </w:r>
    </w:p>
    <w:p w:rsidR="008E4391" w:rsidRPr="008644B4" w:rsidRDefault="008E4391" w:rsidP="008E4391">
      <w:pPr>
        <w:pStyle w:val="BodyText"/>
        <w:spacing w:after="0"/>
      </w:pPr>
    </w:p>
    <w:p w:rsidR="008644B4" w:rsidRPr="00E36529" w:rsidRDefault="004604EE" w:rsidP="008E4391">
      <w:pPr>
        <w:pStyle w:val="First-LevelSubheading"/>
        <w:rPr>
          <w:i/>
        </w:rPr>
      </w:pPr>
      <w:r>
        <w:rPr>
          <w:i/>
        </w:rPr>
        <w:t>TECO</w:t>
      </w:r>
      <w:r w:rsidR="00E36529" w:rsidRPr="00E36529">
        <w:rPr>
          <w:i/>
        </w:rPr>
        <w:t>’s Petition</w:t>
      </w:r>
    </w:p>
    <w:p w:rsidR="00500148" w:rsidRDefault="004604EE" w:rsidP="008E4391">
      <w:pPr>
        <w:pStyle w:val="BodyText"/>
        <w:spacing w:after="0"/>
      </w:pPr>
      <w:r w:rsidRPr="004604EE">
        <w:t>In its MCC Petition, the Company currently estimates a net $137,918,831 million reduction in fuel-related costs f</w:t>
      </w:r>
      <w:r w:rsidRPr="00F943B4">
        <w:t>or the 2024 period relative to its previous estima</w:t>
      </w:r>
      <w:r w:rsidR="00500148" w:rsidRPr="00F943B4">
        <w:t>te. TECO is proposing to use</w:t>
      </w:r>
      <w:r w:rsidRPr="00F943B4">
        <w:t xml:space="preserve"> June 2024 through May 2025</w:t>
      </w:r>
      <w:r w:rsidR="00500148" w:rsidRPr="00F943B4">
        <w:t xml:space="preserve"> forecasted s</w:t>
      </w:r>
      <w:r w:rsidR="00500148">
        <w:t>ales</w:t>
      </w:r>
      <w:r w:rsidR="00B244B5">
        <w:t xml:space="preserve"> in</w:t>
      </w:r>
      <w:r w:rsidRPr="004604EE">
        <w:t xml:space="preserve"> </w:t>
      </w:r>
      <w:r w:rsidR="00500148">
        <w:t>determining its proposed mid-course fuel factors</w:t>
      </w:r>
      <w:r w:rsidRPr="004604EE">
        <w:t>.</w:t>
      </w:r>
      <w:r w:rsidR="00500148">
        <w:t xml:space="preserve"> If approved, t</w:t>
      </w:r>
      <w:r w:rsidRPr="004604EE">
        <w:t>his</w:t>
      </w:r>
      <w:r w:rsidR="00500148">
        <w:t xml:space="preserve"> prop</w:t>
      </w:r>
      <w:r w:rsidR="00500148" w:rsidRPr="00F943B4">
        <w:t>osal</w:t>
      </w:r>
      <w:r w:rsidRPr="00F943B4">
        <w:t xml:space="preserve"> will have the effe</w:t>
      </w:r>
      <w:r w:rsidRPr="004604EE">
        <w:t xml:space="preserve">ct of reducing fuel cost recovery factors for the remainder of </w:t>
      </w:r>
      <w:r w:rsidR="00500148">
        <w:t>this year</w:t>
      </w:r>
      <w:r w:rsidR="00AF7879">
        <w:t>, as well as</w:t>
      </w:r>
      <w:r w:rsidRPr="004604EE">
        <w:t xml:space="preserve"> 2025</w:t>
      </w:r>
      <w:r w:rsidR="00500148">
        <w:t>. The mid-course correctio</w:t>
      </w:r>
      <w:r w:rsidR="00B244B5">
        <w:t>n amount and rate methodology are</w:t>
      </w:r>
      <w:r w:rsidR="00500148">
        <w:t xml:space="preserve"> further discussed in Issue 1.</w:t>
      </w:r>
    </w:p>
    <w:p w:rsidR="008E4391" w:rsidRDefault="008E4391" w:rsidP="008E4391">
      <w:pPr>
        <w:pStyle w:val="BodyText"/>
        <w:spacing w:after="0"/>
      </w:pPr>
    </w:p>
    <w:p w:rsidR="00500148" w:rsidRDefault="00500148" w:rsidP="008E4391">
      <w:pPr>
        <w:pStyle w:val="BodyText"/>
        <w:spacing w:after="0"/>
      </w:pPr>
      <w:r>
        <w:t>T</w:t>
      </w:r>
      <w:r w:rsidRPr="00500148">
        <w:t>he Company is requesting that its revised fuel cost recovery factors and associated tariff become effective beginning with the first billing cycle of June 2024. The proposed effective date is further discussed in both Issues 1 and 2.</w:t>
      </w:r>
    </w:p>
    <w:p w:rsidR="008E4391" w:rsidRPr="004604EE" w:rsidRDefault="008E4391" w:rsidP="008E4391">
      <w:pPr>
        <w:pStyle w:val="BodyText"/>
        <w:spacing w:after="0"/>
      </w:pPr>
    </w:p>
    <w:p w:rsidR="004604EE" w:rsidRPr="004604EE" w:rsidRDefault="004604EE" w:rsidP="008E4391">
      <w:pPr>
        <w:pStyle w:val="BodyText"/>
        <w:spacing w:after="0"/>
      </w:pPr>
      <w:r w:rsidRPr="004604EE">
        <w:t>The Commission is vested with jurisdiction over the subject matter of this proceeding by the provisions of Chapter 366, Florida Statutes (F.S.), including Sections 366.04, 366.05, and 366.06, F.S.</w:t>
      </w:r>
    </w:p>
    <w:bookmarkEnd w:id="11"/>
    <w:p w:rsidR="00EA2273" w:rsidRDefault="00EA2273" w:rsidP="004604EE">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E36529" w:rsidRDefault="00E36529">
      <w:pPr>
        <w:pStyle w:val="IssueHeading"/>
        <w:rPr>
          <w:vanish/>
          <w:specVanish/>
        </w:rPr>
      </w:pPr>
      <w:r w:rsidRPr="004C3641">
        <w:t xml:space="preserve">Issue </w:t>
      </w:r>
      <w:fldSimple w:instr=" SEQ Issue \* MERGEFORMAT ">
        <w:r w:rsidR="001609D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609DD">
        <w:rPr>
          <w:noProof/>
        </w:rPr>
        <w:instrText>1</w:instrText>
      </w:r>
      <w:r>
        <w:fldChar w:fldCharType="end"/>
      </w:r>
      <w:r>
        <w:tab/>
        <w:instrText xml:space="preserve">(Zaslow, Kelly, Higgins)" \l 1 </w:instrText>
      </w:r>
      <w:r>
        <w:fldChar w:fldCharType="end"/>
      </w:r>
      <w:r>
        <w:t> </w:t>
      </w:r>
    </w:p>
    <w:p w:rsidR="00E36529" w:rsidRDefault="00E36529">
      <w:pPr>
        <w:pStyle w:val="BodyText"/>
      </w:pPr>
      <w:r>
        <w:t> Should the Commission modify TECO</w:t>
      </w:r>
      <w:r w:rsidR="00F9132B">
        <w:t xml:space="preserve">’s currently </w:t>
      </w:r>
      <w:r>
        <w:t>authorized fuel cost recovery factors for the purpose of incorporating its projected 2024 fuel cost reduction?</w:t>
      </w:r>
    </w:p>
    <w:p w:rsidR="00E36529" w:rsidRPr="004C3641" w:rsidRDefault="00E36529">
      <w:pPr>
        <w:pStyle w:val="IssueSubsectionHeading"/>
        <w:rPr>
          <w:vanish/>
          <w:specVanish/>
        </w:rPr>
      </w:pPr>
      <w:r w:rsidRPr="004C3641">
        <w:t>Recommendation: </w:t>
      </w:r>
    </w:p>
    <w:p w:rsidR="00E36529" w:rsidRDefault="00E36529">
      <w:pPr>
        <w:pStyle w:val="BodyText"/>
      </w:pPr>
      <w:r>
        <w:t> </w:t>
      </w:r>
      <w:r w:rsidR="006856EE" w:rsidRPr="006856EE">
        <w:t>Yes. Staff recommends the Commission authorize adjustments to TECO’s fuel cost recovery factors for the purpose of incorp</w:t>
      </w:r>
      <w:r w:rsidR="00F9132B">
        <w:t xml:space="preserve">orating the Company’s currently </w:t>
      </w:r>
      <w:r w:rsidR="006856EE" w:rsidRPr="006856EE">
        <w:t xml:space="preserve">projected </w:t>
      </w:r>
      <w:r w:rsidR="006856EE" w:rsidRPr="006D02A6">
        <w:t>2024 fuel cost reduction</w:t>
      </w:r>
      <w:r w:rsidR="00F9132B">
        <w:t xml:space="preserve">. Accordingly, TECO’s currently </w:t>
      </w:r>
      <w:r w:rsidR="006856EE" w:rsidRPr="006D02A6">
        <w:t>authorized 2024 fuel cost recovery factors should be reduced by $137,918,831.</w:t>
      </w:r>
      <w:r>
        <w:t xml:space="preserve"> (Zaslow, </w:t>
      </w:r>
      <w:r w:rsidR="00023E09">
        <w:t xml:space="preserve">G. </w:t>
      </w:r>
      <w:r>
        <w:t>Kell</w:t>
      </w:r>
      <w:r w:rsidR="00023E09">
        <w:t>e</w:t>
      </w:r>
      <w:r>
        <w:t>y, Higgins)</w:t>
      </w:r>
    </w:p>
    <w:p w:rsidR="00E36529" w:rsidRPr="004C3641" w:rsidRDefault="00E36529">
      <w:pPr>
        <w:pStyle w:val="IssueSubsectionHeading"/>
        <w:rPr>
          <w:vanish/>
          <w:specVanish/>
        </w:rPr>
      </w:pPr>
      <w:r w:rsidRPr="004C3641">
        <w:t>Staff Analysis: </w:t>
      </w:r>
    </w:p>
    <w:p w:rsidR="006856EE" w:rsidRDefault="00E36529" w:rsidP="008E4391">
      <w:pPr>
        <w:pStyle w:val="BodyText"/>
        <w:spacing w:after="0"/>
      </w:pPr>
      <w:r>
        <w:t> </w:t>
      </w:r>
      <w:r w:rsidR="006856EE" w:rsidRPr="006856EE">
        <w:t>TECO participated in the Commission’s most-recent fuel hearing which took place on November 1, 2023. The fuel order stemming from this proceeding set forth the Company’s fuel and capacity cost recovery factors effective with the first billing cycle of January 2024.</w:t>
      </w:r>
      <w:r w:rsidR="006856EE" w:rsidRPr="006856EE">
        <w:rPr>
          <w:vertAlign w:val="superscript"/>
        </w:rPr>
        <w:footnoteReference w:id="3"/>
      </w:r>
      <w:r w:rsidR="006856EE" w:rsidRPr="006856EE">
        <w:t xml:space="preserve"> Following the issuance of the fuel order, the Company has subsequently updated its 2024 fuel cost projection. TECO now projects its 2024 fuel-related costs to be approximately $138 million (net) lower than estimated in August 2023.</w:t>
      </w:r>
      <w:r w:rsidR="006856EE" w:rsidRPr="006856EE">
        <w:rPr>
          <w:vertAlign w:val="superscript"/>
        </w:rPr>
        <w:footnoteReference w:id="4"/>
      </w:r>
      <w:r w:rsidR="006856EE" w:rsidRPr="006856EE">
        <w:t xml:space="preserve"> This reduction is primarily due to lower assumed prices for natural gas. The main factors influencing the decline in actual and projected natural gas prices in 2024 are elevated quantities of natural gas in storage and milder weather compared to previous years.</w:t>
      </w:r>
      <w:r w:rsidR="006856EE" w:rsidRPr="006856EE">
        <w:rPr>
          <w:vertAlign w:val="superscript"/>
        </w:rPr>
        <w:footnoteReference w:id="5"/>
      </w:r>
    </w:p>
    <w:p w:rsidR="008E4391" w:rsidRDefault="008E4391" w:rsidP="008E4391">
      <w:pPr>
        <w:pStyle w:val="BodyText"/>
        <w:spacing w:after="0"/>
      </w:pPr>
    </w:p>
    <w:p w:rsidR="00E36529" w:rsidRPr="006856EE" w:rsidRDefault="006856EE" w:rsidP="008E4391">
      <w:pPr>
        <w:pStyle w:val="First-LevelSubheading"/>
        <w:rPr>
          <w:i/>
        </w:rPr>
      </w:pPr>
      <w:r w:rsidRPr="006856EE">
        <w:rPr>
          <w:i/>
        </w:rPr>
        <w:t>TECO Fuel and Purchased Power Mid-Course Correction</w:t>
      </w:r>
    </w:p>
    <w:p w:rsidR="006856EE" w:rsidRDefault="006856EE" w:rsidP="008E4391">
      <w:pPr>
        <w:pStyle w:val="BodyText"/>
        <w:spacing w:after="0"/>
      </w:pPr>
      <w:r w:rsidRPr="006856EE">
        <w:t>TECO filed for a mid-course correction of its fuel charges on April 2, 2024.</w:t>
      </w:r>
      <w:r w:rsidRPr="006856EE">
        <w:rPr>
          <w:vertAlign w:val="superscript"/>
        </w:rPr>
        <w:footnoteReference w:id="6"/>
      </w:r>
      <w:r w:rsidRPr="006856EE">
        <w:t xml:space="preserve"> The Company’s MCC Petition and supporting documentation satisfies the filing requirements of Rule 25-6.0424(1)(b), F.A.C.</w:t>
      </w:r>
    </w:p>
    <w:p w:rsidR="00203F0F" w:rsidRDefault="00203F0F" w:rsidP="00203F0F">
      <w:pPr>
        <w:pStyle w:val="BodyText"/>
        <w:spacing w:after="0"/>
      </w:pPr>
    </w:p>
    <w:p w:rsidR="006856EE" w:rsidRDefault="00A95ED8" w:rsidP="00203F0F">
      <w:pPr>
        <w:pStyle w:val="BodyText"/>
        <w:spacing w:after="0"/>
      </w:pPr>
      <w:r w:rsidRPr="00A95ED8">
        <w:t>The Company developed its proposed mid-course correction factors using twelve months of forecasted sales data, or June 2024 through May 2025.</w:t>
      </w:r>
      <w:r w:rsidR="00A6455F">
        <w:t xml:space="preserve"> </w:t>
      </w:r>
      <w:r w:rsidR="006856EE" w:rsidRPr="006856EE">
        <w:t>The factors proposed in this proceeding are currently contemplated to be charged for seven months in 2024. As is typical procedure, later this year newly developed 12-month-applicable factors will be proposed for authorization to begin with the first billing cycle of January 2025.</w:t>
      </w:r>
    </w:p>
    <w:p w:rsidR="00203F0F" w:rsidRPr="006856EE" w:rsidRDefault="00203F0F" w:rsidP="00203F0F">
      <w:pPr>
        <w:pStyle w:val="BodyText"/>
        <w:spacing w:after="0"/>
      </w:pPr>
    </w:p>
    <w:p w:rsidR="006856EE" w:rsidRPr="006856EE" w:rsidRDefault="006856EE" w:rsidP="00203F0F">
      <w:pPr>
        <w:pStyle w:val="First-LevelSubheading"/>
        <w:rPr>
          <w:i/>
        </w:rPr>
      </w:pPr>
      <w:r w:rsidRPr="006856EE">
        <w:rPr>
          <w:i/>
        </w:rPr>
        <w:t>Actual Period-Ending 2023 Fuel Cost Recovery Position</w:t>
      </w:r>
    </w:p>
    <w:p w:rsidR="00203F0F" w:rsidRDefault="00203F0F" w:rsidP="00203F0F">
      <w:pPr>
        <w:pStyle w:val="BodyText"/>
        <w:spacing w:after="0"/>
      </w:pPr>
      <w:r w:rsidRPr="00203F0F">
        <w:t xml:space="preserve">Through its February </w:t>
      </w:r>
      <w:r>
        <w:t>8</w:t>
      </w:r>
      <w:r w:rsidRPr="00203F0F">
        <w:t xml:space="preserve">, 2023, </w:t>
      </w:r>
      <w:r w:rsidR="006E540D" w:rsidRPr="00B219DF">
        <w:t>amended</w:t>
      </w:r>
      <w:r>
        <w:t xml:space="preserve"> </w:t>
      </w:r>
      <w:r w:rsidRPr="00203F0F">
        <w:t xml:space="preserve">mid-course correction filing, </w:t>
      </w:r>
      <w:r>
        <w:t>TECO</w:t>
      </w:r>
      <w:r w:rsidRPr="00203F0F">
        <w:t xml:space="preserve"> initially projected a </w:t>
      </w:r>
      <w:r w:rsidRPr="002F11A9">
        <w:t>period-specific 2023 over-recovery of fuel costs in the amount of $157,006,362.</w:t>
      </w:r>
      <w:r w:rsidRPr="002F11A9">
        <w:rPr>
          <w:rStyle w:val="FootnoteReference"/>
        </w:rPr>
        <w:footnoteReference w:id="7"/>
      </w:r>
      <w:r w:rsidRPr="002F11A9">
        <w:t xml:space="preserve"> By its actual/estimated filing and in complian</w:t>
      </w:r>
      <w:r w:rsidRPr="008E4391">
        <w:t>ce with Order No. PSC-2023-01</w:t>
      </w:r>
      <w:r w:rsidR="00237FDF" w:rsidRPr="008E4391">
        <w:t>07</w:t>
      </w:r>
      <w:r w:rsidRPr="008E4391">
        <w:t>-PCO-EI, the</w:t>
      </w:r>
      <w:r w:rsidRPr="002F11A9">
        <w:t xml:space="preserve"> projected period-specific 2023 over-recovery of fuel c</w:t>
      </w:r>
      <w:r w:rsidR="004F4B46">
        <w:t>osts was amended by</w:t>
      </w:r>
      <w:r w:rsidR="002F11A9" w:rsidRPr="002F11A9">
        <w:t xml:space="preserve"> </w:t>
      </w:r>
      <w:r w:rsidR="00D81D58" w:rsidRPr="002F11A9">
        <w:t>$</w:t>
      </w:r>
      <w:r w:rsidR="002F11A9" w:rsidRPr="002F11A9">
        <w:t>183,160,125</w:t>
      </w:r>
      <w:r w:rsidRPr="002F11A9">
        <w:t>. This result</w:t>
      </w:r>
      <w:r w:rsidR="002B05EC">
        <w:t>ed</w:t>
      </w:r>
      <w:r w:rsidRPr="002F11A9">
        <w:t xml:space="preserve"> in a projected period-specific 20</w:t>
      </w:r>
      <w:r w:rsidR="002F11A9" w:rsidRPr="002F11A9">
        <w:t>23 over-recovery of $340,166,487</w:t>
      </w:r>
      <w:r w:rsidRPr="002F11A9">
        <w:t xml:space="preserve"> and a </w:t>
      </w:r>
      <w:r w:rsidR="002F11A9" w:rsidRPr="002F11A9">
        <w:t>total</w:t>
      </w:r>
      <w:r w:rsidRPr="002F11A9">
        <w:t xml:space="preserve"> true-up </w:t>
      </w:r>
      <w:r w:rsidR="00DD0014">
        <w:t xml:space="preserve">under-recovery </w:t>
      </w:r>
      <w:r w:rsidRPr="002F11A9">
        <w:t xml:space="preserve">of </w:t>
      </w:r>
      <w:r w:rsidRPr="004507C9">
        <w:t>($</w:t>
      </w:r>
      <w:r w:rsidR="002F11A9" w:rsidRPr="004507C9">
        <w:t>112,834,024</w:t>
      </w:r>
      <w:r w:rsidRPr="004507C9">
        <w:t>).</w:t>
      </w:r>
      <w:r w:rsidRPr="004507C9">
        <w:rPr>
          <w:vertAlign w:val="superscript"/>
        </w:rPr>
        <w:footnoteReference w:id="8"/>
      </w:r>
      <w:r w:rsidRPr="004507C9">
        <w:t xml:space="preserve"> </w:t>
      </w:r>
      <w:r w:rsidR="004507C9" w:rsidRPr="004507C9">
        <w:t>However, the Company over</w:t>
      </w:r>
      <w:r w:rsidRPr="004507C9">
        <w:t xml:space="preserve">-recovered </w:t>
      </w:r>
      <w:r w:rsidR="004507C9" w:rsidRPr="004507C9">
        <w:t xml:space="preserve">this amount by </w:t>
      </w:r>
      <w:r w:rsidR="004507C9" w:rsidRPr="004507C9">
        <w:lastRenderedPageBreak/>
        <w:t>$30,397,837</w:t>
      </w:r>
      <w:r w:rsidRPr="004507C9">
        <w:t xml:space="preserve"> as its actual fuel cost recovery position at the end of 2023 is an</w:t>
      </w:r>
      <w:r w:rsidR="004507C9" w:rsidRPr="004507C9">
        <w:t xml:space="preserve"> under-recovery of ($82,436,187</w:t>
      </w:r>
      <w:r w:rsidRPr="004507C9">
        <w:t>).</w:t>
      </w:r>
      <w:r w:rsidRPr="004507C9">
        <w:rPr>
          <w:vertAlign w:val="superscript"/>
        </w:rPr>
        <w:footnoteReference w:id="9"/>
      </w:r>
      <w:r w:rsidR="004507C9" w:rsidRPr="004507C9">
        <w:t xml:space="preserve"> This approximate $30.4</w:t>
      </w:r>
      <w:r w:rsidRPr="004507C9">
        <w:t xml:space="preserve"> million difference is proposed for inclusion in rates through the instant proceeding.</w:t>
      </w:r>
    </w:p>
    <w:p w:rsidR="00203F0F" w:rsidRPr="00203F0F" w:rsidRDefault="00203F0F" w:rsidP="00203F0F">
      <w:pPr>
        <w:pStyle w:val="BodyText"/>
        <w:spacing w:after="0"/>
      </w:pPr>
    </w:p>
    <w:p w:rsidR="006856EE" w:rsidRDefault="006856EE" w:rsidP="00203F0F">
      <w:pPr>
        <w:pStyle w:val="BodyText"/>
        <w:spacing w:after="0"/>
      </w:pPr>
      <w:r w:rsidRPr="006856EE">
        <w:t>Decreased pricing for natural gas is the primary driver of the</w:t>
      </w:r>
      <w:r w:rsidR="008E241E">
        <w:t xml:space="preserve"> approximate </w:t>
      </w:r>
      <w:r w:rsidR="008E241E" w:rsidRPr="00206EC3">
        <w:t>$340 million</w:t>
      </w:r>
      <w:r w:rsidRPr="00206EC3">
        <w:t xml:space="preserve"> over-recovery</w:t>
      </w:r>
      <w:r w:rsidR="008E241E" w:rsidRPr="00206EC3">
        <w:t xml:space="preserve"> of 2023</w:t>
      </w:r>
      <w:r w:rsidR="003569C3">
        <w:t xml:space="preserve"> fuel costs</w:t>
      </w:r>
      <w:r w:rsidRPr="006856EE">
        <w:t xml:space="preserve"> </w:t>
      </w:r>
      <w:r w:rsidR="00B244B5">
        <w:t>discussed</w:t>
      </w:r>
      <w:r w:rsidRPr="006856EE">
        <w:t xml:space="preserve"> above. More specifically, the Company estimated an annual</w:t>
      </w:r>
      <w:r w:rsidR="002B05EC">
        <w:t xml:space="preserve"> delivered</w:t>
      </w:r>
      <w:r w:rsidRPr="006856EE">
        <w:t xml:space="preserve"> natural gas cost of </w:t>
      </w:r>
      <w:r w:rsidRPr="00206EC3">
        <w:t>$</w:t>
      </w:r>
      <w:r w:rsidR="00206EC3" w:rsidRPr="00206EC3">
        <w:t>7.49</w:t>
      </w:r>
      <w:r w:rsidRPr="006856EE">
        <w:t xml:space="preserve"> per million British thermal unit (MMBtu) in its</w:t>
      </w:r>
      <w:r w:rsidR="008E241E">
        <w:t xml:space="preserve"> </w:t>
      </w:r>
      <w:r w:rsidR="008E241E" w:rsidRPr="00206EC3">
        <w:t>first</w:t>
      </w:r>
      <w:r w:rsidR="008E241E">
        <w:t xml:space="preserve"> fuel cost projection of</w:t>
      </w:r>
      <w:r w:rsidRPr="006856EE">
        <w:t xml:space="preserve"> 2023</w:t>
      </w:r>
      <w:r w:rsidRPr="00206EC3">
        <w:t>.</w:t>
      </w:r>
      <w:r w:rsidRPr="00206EC3">
        <w:rPr>
          <w:vertAlign w:val="superscript"/>
        </w:rPr>
        <w:footnoteReference w:id="10"/>
      </w:r>
      <w:r w:rsidRPr="006856EE">
        <w:t xml:space="preserve"> However, as indicated in the Company’s December 2023 A-Schedule, TECO’s average 2023 cost of natural gas was $3.94 per MMBtu, representing a difference of </w:t>
      </w:r>
      <w:r w:rsidR="00206EC3" w:rsidRPr="00206EC3">
        <w:t>47.4</w:t>
      </w:r>
      <w:r w:rsidRPr="006856EE">
        <w:t xml:space="preserve"> percent.</w:t>
      </w:r>
      <w:r w:rsidRPr="006856EE">
        <w:rPr>
          <w:vertAlign w:val="superscript"/>
        </w:rPr>
        <w:footnoteReference w:id="11"/>
      </w:r>
      <w:r w:rsidRPr="006856EE">
        <w:t xml:space="preserve"> Natural gas-fired generation comprised approximately 87.7 percent of TECO’s generation mix in 2023.</w:t>
      </w:r>
      <w:r w:rsidRPr="006856EE">
        <w:rPr>
          <w:vertAlign w:val="superscript"/>
        </w:rPr>
        <w:footnoteReference w:id="12"/>
      </w:r>
      <w:r w:rsidRPr="006856EE">
        <w:t xml:space="preserve"> </w:t>
      </w:r>
    </w:p>
    <w:p w:rsidR="00203F0F" w:rsidRPr="006856EE" w:rsidRDefault="00203F0F" w:rsidP="00203F0F">
      <w:pPr>
        <w:pStyle w:val="BodyText"/>
        <w:spacing w:after="0"/>
      </w:pPr>
    </w:p>
    <w:p w:rsidR="006856EE" w:rsidRPr="006856EE" w:rsidRDefault="006856EE" w:rsidP="00203F0F">
      <w:pPr>
        <w:pStyle w:val="First-LevelSubheading"/>
        <w:rPr>
          <w:i/>
        </w:rPr>
      </w:pPr>
      <w:r w:rsidRPr="006856EE">
        <w:rPr>
          <w:i/>
        </w:rPr>
        <w:t>Projected 2024 Fuel Cost Recovery Position</w:t>
      </w:r>
    </w:p>
    <w:p w:rsidR="006856EE" w:rsidRDefault="006856EE" w:rsidP="00203F0F">
      <w:pPr>
        <w:pStyle w:val="BodyText"/>
        <w:spacing w:after="0"/>
      </w:pPr>
      <w:r w:rsidRPr="006856EE">
        <w:t xml:space="preserve">TECO’s 2024 fuel-related revenue requirement has decreased substantially since the filing of its </w:t>
      </w:r>
      <w:r w:rsidRPr="004D023B">
        <w:t>last cost projection in August 2023.</w:t>
      </w:r>
      <w:r w:rsidRPr="004D023B">
        <w:rPr>
          <w:vertAlign w:val="superscript"/>
        </w:rPr>
        <w:footnoteReference w:id="13"/>
      </w:r>
      <w:r w:rsidRPr="004D023B">
        <w:t xml:space="preserve"> More specifically, the results of this updated estimate are a reduction in TECO’s estimated 2024 fuel-related costs in the amount of $107,520,994. </w:t>
      </w:r>
      <w:r w:rsidR="007F7936" w:rsidRPr="004D023B">
        <w:t>As mentioned above, t</w:t>
      </w:r>
      <w:r w:rsidR="00636AFB">
        <w:t>he remaining amount of the 2023</w:t>
      </w:r>
      <w:r w:rsidRPr="004D023B">
        <w:t xml:space="preserve"> over-recovery proposed for refund through new 2024 rates is $30,397,837. Thus, the proposed net or </w:t>
      </w:r>
      <w:proofErr w:type="spellStart"/>
      <w:r w:rsidRPr="004D023B">
        <w:t>decremental</w:t>
      </w:r>
      <w:proofErr w:type="spellEnd"/>
      <w:r w:rsidRPr="004D023B">
        <w:t xml:space="preserve"> amount for inclusion into 2024 rates is $137,918,831.</w:t>
      </w:r>
      <w:r w:rsidRPr="004D023B">
        <w:rPr>
          <w:vertAlign w:val="superscript"/>
        </w:rPr>
        <w:footnoteReference w:id="14"/>
      </w:r>
    </w:p>
    <w:p w:rsidR="002F11A9" w:rsidRPr="006856EE" w:rsidRDefault="002F11A9" w:rsidP="00203F0F">
      <w:pPr>
        <w:pStyle w:val="BodyText"/>
        <w:spacing w:after="0"/>
      </w:pPr>
    </w:p>
    <w:p w:rsidR="006856EE" w:rsidRDefault="006856EE" w:rsidP="002F11A9">
      <w:pPr>
        <w:pStyle w:val="BodyText"/>
        <w:spacing w:after="0"/>
      </w:pPr>
      <w:r w:rsidRPr="006856EE">
        <w:t>The primary factor driving the change in projected 2024 fuel costs is lower assumed pricing for natural gas. More specifically, the underlying market-based natural gas price data used for the 2024 fuel cost projection was sourced on June 23, 2023.</w:t>
      </w:r>
      <w:r w:rsidRPr="006856EE">
        <w:rPr>
          <w:vertAlign w:val="superscript"/>
        </w:rPr>
        <w:footnoteReference w:id="15"/>
      </w:r>
      <w:r w:rsidRPr="006856EE">
        <w:t xml:space="preserve"> This underlying data was used to produce an estimated average 2024 delivered natural gas cost of approximately $4.94 per MMBtu.</w:t>
      </w:r>
      <w:r w:rsidRPr="006856EE">
        <w:rPr>
          <w:vertAlign w:val="superscript"/>
        </w:rPr>
        <w:footnoteReference w:id="16"/>
      </w:r>
      <w:r w:rsidR="00AF00C7">
        <w:t xml:space="preserve"> However, as </w:t>
      </w:r>
      <w:r w:rsidRPr="006856EE">
        <w:t>indicated in its MCC Petition, TECO now estimates its average cost of natural gas in 2024 will be $3.97 per MMBtu, representing a decrease of 19.6 percent.</w:t>
      </w:r>
      <w:r w:rsidRPr="006856EE">
        <w:rPr>
          <w:vertAlign w:val="superscript"/>
        </w:rPr>
        <w:footnoteReference w:id="17"/>
      </w:r>
      <w:r w:rsidRPr="006856EE">
        <w:t xml:space="preserve"> The updated cost estimate was based on</w:t>
      </w:r>
      <w:r w:rsidR="00636AFB">
        <w:t xml:space="preserve"> the</w:t>
      </w:r>
      <w:r w:rsidRPr="006856EE">
        <w:t xml:space="preserve"> </w:t>
      </w:r>
      <w:r w:rsidR="00636AFB">
        <w:t xml:space="preserve">average </w:t>
      </w:r>
      <w:r w:rsidRPr="006856EE">
        <w:t xml:space="preserve">natural gas futures/price </w:t>
      </w:r>
      <w:r w:rsidR="001C4711">
        <w:t>over a five-</w:t>
      </w:r>
      <w:r w:rsidR="00636AFB">
        <w:t>day period ending</w:t>
      </w:r>
      <w:r w:rsidR="00673D72">
        <w:t xml:space="preserve"> March 7, 2024, or roughly eight</w:t>
      </w:r>
      <w:r w:rsidRPr="006856EE">
        <w:t xml:space="preserve"> months later than the previous estimate used to set current rates.</w:t>
      </w:r>
      <w:r w:rsidRPr="006856EE">
        <w:rPr>
          <w:vertAlign w:val="superscript"/>
        </w:rPr>
        <w:footnoteReference w:id="18"/>
      </w:r>
      <w:r w:rsidRPr="006856EE">
        <w:t xml:space="preserve"> Natural gas-fired generation is projected to comprise approximately 87.0 percent of TECO’s generation mix in 2024.</w:t>
      </w:r>
      <w:r w:rsidRPr="006856EE">
        <w:rPr>
          <w:vertAlign w:val="superscript"/>
        </w:rPr>
        <w:footnoteReference w:id="19"/>
      </w:r>
    </w:p>
    <w:p w:rsidR="002F11A9" w:rsidRDefault="002F11A9" w:rsidP="002F11A9">
      <w:pPr>
        <w:pStyle w:val="BodyText"/>
        <w:spacing w:after="0"/>
      </w:pPr>
    </w:p>
    <w:p w:rsidR="008E4391" w:rsidRDefault="008E4391" w:rsidP="002F11A9">
      <w:pPr>
        <w:pStyle w:val="BodyText"/>
        <w:spacing w:after="0"/>
      </w:pPr>
    </w:p>
    <w:p w:rsidR="008E4391" w:rsidRDefault="008E4391" w:rsidP="002F11A9">
      <w:pPr>
        <w:pStyle w:val="BodyText"/>
        <w:spacing w:after="0"/>
      </w:pPr>
    </w:p>
    <w:p w:rsidR="008E4391" w:rsidRPr="006856EE" w:rsidRDefault="008E4391" w:rsidP="002F11A9">
      <w:pPr>
        <w:pStyle w:val="BodyText"/>
        <w:spacing w:after="0"/>
      </w:pPr>
    </w:p>
    <w:p w:rsidR="006856EE" w:rsidRDefault="006856EE" w:rsidP="002F11A9">
      <w:pPr>
        <w:pStyle w:val="First-LevelSubheading"/>
      </w:pPr>
      <w:r w:rsidRPr="006856EE">
        <w:rPr>
          <w:i/>
        </w:rPr>
        <w:lastRenderedPageBreak/>
        <w:t>Recovery Period and Interest Premium</w:t>
      </w:r>
    </w:p>
    <w:p w:rsidR="00230D42" w:rsidRDefault="006856EE" w:rsidP="008E4391">
      <w:pPr>
        <w:pStyle w:val="BodyText"/>
        <w:spacing w:after="0"/>
      </w:pPr>
      <w:r w:rsidRPr="006856EE">
        <w:t xml:space="preserve">As proposed, the </w:t>
      </w:r>
      <w:r w:rsidR="0043491E">
        <w:t>accounting</w:t>
      </w:r>
      <w:r w:rsidR="00FA753A">
        <w:t xml:space="preserve"> </w:t>
      </w:r>
      <w:r w:rsidRPr="006856EE">
        <w:t>period for 2024-applicable p</w:t>
      </w:r>
      <w:r w:rsidR="00A95ED8">
        <w:t>ortion of the over-recovery is seven</w:t>
      </w:r>
      <w:r w:rsidRPr="006856EE">
        <w:t xml:space="preserve"> months, or beginning June 2024 and ending December 2024.</w:t>
      </w:r>
      <w:r w:rsidRPr="006856EE">
        <w:rPr>
          <w:vertAlign w:val="superscript"/>
        </w:rPr>
        <w:footnoteReference w:id="20"/>
      </w:r>
      <w:r w:rsidR="00230D42">
        <w:t xml:space="preserve"> Jurisdictional sales from June 2024 through May 2025 in the amount of 20,292,165 (meter) megawatt-hours were used to develop the mid-course correction factors proposed for approval in this proceeding.</w:t>
      </w:r>
      <w:r w:rsidR="00230D42">
        <w:rPr>
          <w:rStyle w:val="FootnoteReference"/>
        </w:rPr>
        <w:footnoteReference w:id="21"/>
      </w:r>
    </w:p>
    <w:p w:rsidR="008E4391" w:rsidRDefault="008E4391" w:rsidP="008E4391">
      <w:pPr>
        <w:pStyle w:val="BodyText"/>
        <w:spacing w:after="0"/>
      </w:pPr>
    </w:p>
    <w:p w:rsidR="006856EE" w:rsidRDefault="006856EE" w:rsidP="008E4391">
      <w:pPr>
        <w:pStyle w:val="BodyText"/>
        <w:spacing w:after="0"/>
      </w:pPr>
      <w:r w:rsidRPr="006856EE">
        <w:t xml:space="preserve">TECO utilized the 30-day AA Financial Commercial Paper Rate </w:t>
      </w:r>
      <w:r w:rsidR="00230D42">
        <w:t xml:space="preserve">published by the U.S. Federal Reserve </w:t>
      </w:r>
      <w:r w:rsidRPr="006856EE">
        <w:t>to determine its actual 2023 and 2024 (January and February) interest amounts.</w:t>
      </w:r>
      <w:r w:rsidRPr="006856EE">
        <w:rPr>
          <w:vertAlign w:val="superscript"/>
        </w:rPr>
        <w:footnoteReference w:id="22"/>
      </w:r>
      <w:r w:rsidRPr="006856EE">
        <w:t xml:space="preserve"> </w:t>
      </w:r>
      <w:r w:rsidRPr="00206EC3">
        <w:t xml:space="preserve">The projected 2024 interest rate was </w:t>
      </w:r>
      <w:r w:rsidR="00206EC3" w:rsidRPr="00206EC3">
        <w:t xml:space="preserve">developed via in-house modeling that produced a rate </w:t>
      </w:r>
      <w:r w:rsidRPr="00206EC3">
        <w:t>of 0.391 percent (2024 monthly average).</w:t>
      </w:r>
      <w:r w:rsidRPr="00206EC3">
        <w:rPr>
          <w:vertAlign w:val="superscript"/>
        </w:rPr>
        <w:footnoteReference w:id="23"/>
      </w:r>
    </w:p>
    <w:p w:rsidR="008E4391" w:rsidRPr="006856EE" w:rsidRDefault="008E4391" w:rsidP="008E4391">
      <w:pPr>
        <w:pStyle w:val="BodyText"/>
        <w:spacing w:after="0"/>
      </w:pPr>
    </w:p>
    <w:p w:rsidR="006856EE" w:rsidRPr="006856EE" w:rsidRDefault="006856EE" w:rsidP="008E4391">
      <w:pPr>
        <w:pStyle w:val="First-LevelSubheading"/>
        <w:rPr>
          <w:i/>
        </w:rPr>
      </w:pPr>
      <w:r w:rsidRPr="006856EE">
        <w:rPr>
          <w:i/>
        </w:rPr>
        <w:t>Mid-Course Correction Percentage</w:t>
      </w:r>
    </w:p>
    <w:p w:rsidR="006856EE" w:rsidRDefault="006856EE" w:rsidP="008E4391">
      <w:pPr>
        <w:pStyle w:val="BodyText"/>
        <w:spacing w:after="0"/>
      </w:pPr>
      <w:r w:rsidRPr="006856EE">
        <w:t>Following the methodology prescribed in Rule 25-6.0424(1)(a), F.A.C., the mid-course percentage is equal to the estimated end-of-period total net true-up, including interest, divided by the current period’s total actual and estimated jurisdictional fuel revenue applicable to period, or $137,918,831 / $648,701,011.</w:t>
      </w:r>
      <w:r w:rsidRPr="006856EE">
        <w:rPr>
          <w:vertAlign w:val="superscript"/>
        </w:rPr>
        <w:footnoteReference w:id="24"/>
      </w:r>
      <w:r w:rsidRPr="006856EE">
        <w:t xml:space="preserve"> This calculation results in a mid-course correction level of approximately 21.3 percent at December 31, 2024.</w:t>
      </w:r>
    </w:p>
    <w:p w:rsidR="008E4391" w:rsidRPr="006856EE" w:rsidRDefault="008E4391" w:rsidP="008E4391">
      <w:pPr>
        <w:pStyle w:val="BodyText"/>
        <w:spacing w:after="0"/>
        <w:rPr>
          <w:b/>
        </w:rPr>
      </w:pPr>
    </w:p>
    <w:p w:rsidR="006856EE" w:rsidRPr="006856EE" w:rsidRDefault="006856EE" w:rsidP="008E4391">
      <w:pPr>
        <w:pStyle w:val="First-LevelSubheading"/>
        <w:rPr>
          <w:i/>
        </w:rPr>
      </w:pPr>
      <w:r w:rsidRPr="006856EE">
        <w:rPr>
          <w:i/>
        </w:rPr>
        <w:t>Fuel Factor</w:t>
      </w:r>
    </w:p>
    <w:p w:rsidR="006856EE" w:rsidRDefault="006856EE" w:rsidP="008E4391">
      <w:pPr>
        <w:pStyle w:val="BodyText"/>
        <w:spacing w:after="0"/>
      </w:pPr>
      <w:r w:rsidRPr="006856EE">
        <w:t>TECO’s currently</w:t>
      </w:r>
      <w:r w:rsidR="003569C3">
        <w:t xml:space="preserve"> </w:t>
      </w:r>
      <w:r w:rsidRPr="006856EE">
        <w:t xml:space="preserve">approved annual </w:t>
      </w:r>
      <w:proofErr w:type="spellStart"/>
      <w:r w:rsidRPr="006856EE">
        <w:t>levelized</w:t>
      </w:r>
      <w:proofErr w:type="spellEnd"/>
      <w:r w:rsidRPr="006856EE">
        <w:t xml:space="preserve"> fuel factor beginning with the first January 2024 billing cycle is 3.837 cents per kilowatt-hour (kWh).</w:t>
      </w:r>
      <w:r w:rsidRPr="006856EE">
        <w:rPr>
          <w:vertAlign w:val="superscript"/>
        </w:rPr>
        <w:footnoteReference w:id="25"/>
      </w:r>
      <w:r w:rsidRPr="006856EE">
        <w:t xml:space="preserve"> The Company is requesting to decrease its currently-approved 2024 annual </w:t>
      </w:r>
      <w:proofErr w:type="spellStart"/>
      <w:r w:rsidRPr="006856EE">
        <w:t>levelized</w:t>
      </w:r>
      <w:proofErr w:type="spellEnd"/>
      <w:r w:rsidRPr="006856EE">
        <w:t xml:space="preserve"> fuel factor beginning June 2024 to 3.157 cents per kWh, a decrease of approximately 17.7 percent.</w:t>
      </w:r>
      <w:r w:rsidRPr="006856EE">
        <w:rPr>
          <w:vertAlign w:val="superscript"/>
        </w:rPr>
        <w:footnoteReference w:id="26"/>
      </w:r>
    </w:p>
    <w:p w:rsidR="008E4391" w:rsidRDefault="008E4391" w:rsidP="008E4391">
      <w:pPr>
        <w:pStyle w:val="BodyText"/>
        <w:spacing w:after="0"/>
      </w:pPr>
    </w:p>
    <w:p w:rsidR="00A95ED8" w:rsidRPr="00A95ED8" w:rsidRDefault="00A95ED8" w:rsidP="008E4391">
      <w:pPr>
        <w:pStyle w:val="First-LevelSubheading"/>
        <w:rPr>
          <w:i/>
        </w:rPr>
      </w:pPr>
      <w:r w:rsidRPr="00A95ED8">
        <w:rPr>
          <w:i/>
        </w:rPr>
        <w:t>Bill Impacts</w:t>
      </w:r>
    </w:p>
    <w:p w:rsidR="00A95ED8" w:rsidRDefault="00AC5870" w:rsidP="008E4391">
      <w:pPr>
        <w:pStyle w:val="BodyText"/>
        <w:spacing w:after="0"/>
      </w:pPr>
      <w:r>
        <w:t>In Table</w:t>
      </w:r>
      <w:r w:rsidR="00A95ED8" w:rsidRPr="00A95ED8">
        <w:t xml:space="preserve"> 1-1 belo</w:t>
      </w:r>
      <w:r w:rsidR="008629DE">
        <w:t>w, the bill</w:t>
      </w:r>
      <w:r w:rsidR="00BC5D42">
        <w:t xml:space="preserve"> impact of the mid-course correction</w:t>
      </w:r>
      <w:r w:rsidR="008629DE">
        <w:t xml:space="preserve"> on</w:t>
      </w:r>
      <w:r w:rsidR="0043491E">
        <w:t xml:space="preserve"> a</w:t>
      </w:r>
      <w:r w:rsidR="0088270F">
        <w:t xml:space="preserve"> </w:t>
      </w:r>
      <w:r w:rsidR="00A95ED8" w:rsidRPr="00A95ED8">
        <w:t xml:space="preserve">residential customer using 1,000 kWh of electricity a month </w:t>
      </w:r>
      <w:r w:rsidR="0043491E">
        <w:t xml:space="preserve">is </w:t>
      </w:r>
      <w:r w:rsidR="00A95ED8" w:rsidRPr="00A95ED8">
        <w:t>shown. F</w:t>
      </w:r>
      <w:r>
        <w:t>ollowing</w:t>
      </w:r>
      <w:r w:rsidR="00A95ED8" w:rsidRPr="00A95ED8">
        <w:t xml:space="preserve"> Table 1-1, staff discusses the impacts of the </w:t>
      </w:r>
      <w:r w:rsidR="00D61A05">
        <w:t>mid-course correction</w:t>
      </w:r>
      <w:r w:rsidR="00A95ED8" w:rsidRPr="00A95ED8">
        <w:t xml:space="preserve"> on non-residential customers.</w:t>
      </w:r>
    </w:p>
    <w:p w:rsidR="00BB72B6" w:rsidRDefault="00BB72B6" w:rsidP="006856EE">
      <w:pPr>
        <w:pStyle w:val="BodyText"/>
      </w:pPr>
    </w:p>
    <w:p w:rsidR="00BB72B6" w:rsidRDefault="00BB72B6" w:rsidP="006856EE">
      <w:pPr>
        <w:pStyle w:val="BodyText"/>
      </w:pPr>
    </w:p>
    <w:p w:rsidR="00BB72B6" w:rsidRDefault="00BB72B6" w:rsidP="006856EE">
      <w:pPr>
        <w:pStyle w:val="BodyText"/>
      </w:pPr>
    </w:p>
    <w:p w:rsidR="00BB72B6" w:rsidRDefault="00BB72B6" w:rsidP="006856EE">
      <w:pPr>
        <w:pStyle w:val="BodyText"/>
      </w:pPr>
    </w:p>
    <w:p w:rsidR="00BB72B6" w:rsidRPr="006856EE" w:rsidRDefault="00BB72B6" w:rsidP="006856EE">
      <w:pPr>
        <w:pStyle w:val="BodyText"/>
      </w:pPr>
    </w:p>
    <w:tbl>
      <w:tblPr>
        <w:tblW w:w="4887" w:type="pct"/>
        <w:tblInd w:w="108" w:type="dxa"/>
        <w:tblLook w:val="04A0" w:firstRow="1" w:lastRow="0" w:firstColumn="1" w:lastColumn="0" w:noHBand="0" w:noVBand="1"/>
      </w:tblPr>
      <w:tblGrid>
        <w:gridCol w:w="3600"/>
        <w:gridCol w:w="1441"/>
        <w:gridCol w:w="1432"/>
        <w:gridCol w:w="1496"/>
        <w:gridCol w:w="1391"/>
      </w:tblGrid>
      <w:tr w:rsidR="006856EE" w:rsidRPr="004B191B" w:rsidTr="00CC7801">
        <w:trPr>
          <w:cantSplit/>
          <w:trHeight w:val="310"/>
          <w:tblHeader/>
        </w:trPr>
        <w:tc>
          <w:tcPr>
            <w:tcW w:w="5000" w:type="pct"/>
            <w:gridSpan w:val="5"/>
            <w:tcBorders>
              <w:top w:val="nil"/>
              <w:left w:val="nil"/>
              <w:bottom w:val="nil"/>
              <w:right w:val="nil"/>
            </w:tcBorders>
            <w:shd w:val="clear" w:color="auto" w:fill="auto"/>
            <w:vAlign w:val="center"/>
            <w:hideMark/>
          </w:tcPr>
          <w:p w:rsidR="006856EE" w:rsidRPr="00E358FD" w:rsidRDefault="006856EE" w:rsidP="00CC7801">
            <w:pPr>
              <w:jc w:val="center"/>
              <w:rPr>
                <w:rFonts w:ascii="Arial" w:hAnsi="Arial" w:cs="Arial"/>
                <w:b/>
                <w:bCs/>
                <w:color w:val="000000"/>
              </w:rPr>
            </w:pPr>
          </w:p>
          <w:p w:rsidR="006856EE" w:rsidRPr="00A756AA" w:rsidRDefault="006856EE" w:rsidP="00CC7801">
            <w:pPr>
              <w:jc w:val="center"/>
              <w:rPr>
                <w:rFonts w:ascii="Arial" w:hAnsi="Arial" w:cs="Arial"/>
                <w:b/>
                <w:bCs/>
                <w:color w:val="000000"/>
              </w:rPr>
            </w:pPr>
            <w:r>
              <w:rPr>
                <w:rFonts w:ascii="Arial" w:hAnsi="Arial" w:cs="Arial"/>
                <w:b/>
                <w:bCs/>
                <w:color w:val="000000"/>
              </w:rPr>
              <w:t>Table 1-1</w:t>
            </w:r>
          </w:p>
          <w:p w:rsidR="006856EE" w:rsidRPr="00A756AA" w:rsidRDefault="006856EE" w:rsidP="00CC7801">
            <w:pPr>
              <w:jc w:val="center"/>
              <w:rPr>
                <w:rFonts w:ascii="Arial" w:hAnsi="Arial" w:cs="Arial"/>
                <w:b/>
                <w:bCs/>
                <w:color w:val="000000"/>
              </w:rPr>
            </w:pPr>
            <w:r>
              <w:rPr>
                <w:rFonts w:ascii="Arial" w:hAnsi="Arial" w:cs="Arial"/>
                <w:b/>
                <w:bCs/>
                <w:color w:val="000000"/>
              </w:rPr>
              <w:t>Tampa Electric Company</w:t>
            </w:r>
          </w:p>
        </w:tc>
      </w:tr>
      <w:tr w:rsidR="006856EE" w:rsidRPr="004B191B" w:rsidTr="00CC7801">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6856EE" w:rsidRPr="00A756AA" w:rsidRDefault="006856EE" w:rsidP="00CC7801">
            <w:pPr>
              <w:jc w:val="center"/>
              <w:rPr>
                <w:rFonts w:ascii="Arial" w:hAnsi="Arial" w:cs="Arial"/>
                <w:b/>
                <w:bCs/>
                <w:color w:val="000000"/>
              </w:rPr>
            </w:pPr>
            <w:r w:rsidRPr="00A756AA">
              <w:rPr>
                <w:rFonts w:ascii="Arial" w:hAnsi="Arial" w:cs="Arial"/>
                <w:b/>
                <w:bCs/>
                <w:color w:val="000000"/>
              </w:rPr>
              <w:t xml:space="preserve">Monthly Residential Billing Detail </w:t>
            </w:r>
            <w:r>
              <w:rPr>
                <w:rFonts w:ascii="Arial" w:hAnsi="Arial" w:cs="Arial"/>
                <w:b/>
                <w:bCs/>
                <w:color w:val="000000"/>
              </w:rPr>
              <w:t>for the First</w:t>
            </w:r>
            <w:r w:rsidRPr="00A756AA">
              <w:rPr>
                <w:rFonts w:ascii="Arial" w:hAnsi="Arial" w:cs="Arial"/>
                <w:b/>
                <w:bCs/>
                <w:color w:val="000000"/>
              </w:rPr>
              <w:t xml:space="preserve"> 1,000 kWh</w:t>
            </w:r>
          </w:p>
        </w:tc>
      </w:tr>
      <w:tr w:rsidR="006856EE" w:rsidRPr="00DF18E6" w:rsidTr="00CC7801">
        <w:trPr>
          <w:cantSplit/>
          <w:trHeight w:val="1240"/>
          <w:tblHeader/>
        </w:trPr>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56EE" w:rsidRPr="00DF18E6" w:rsidRDefault="006856EE" w:rsidP="00CC7801">
            <w:pPr>
              <w:jc w:val="center"/>
              <w:rPr>
                <w:b/>
                <w:bCs/>
                <w:color w:val="000000"/>
                <w:sz w:val="22"/>
                <w:szCs w:val="22"/>
              </w:rPr>
            </w:pPr>
            <w:r w:rsidRPr="00DF18E6">
              <w:rPr>
                <w:b/>
                <w:bCs/>
                <w:color w:val="000000"/>
                <w:sz w:val="22"/>
                <w:szCs w:val="22"/>
              </w:rPr>
              <w:t>Invoice Component</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56EE" w:rsidRPr="00DF18E6" w:rsidRDefault="006856EE" w:rsidP="00CC7801">
            <w:pPr>
              <w:jc w:val="center"/>
              <w:rPr>
                <w:b/>
                <w:bCs/>
                <w:color w:val="000000"/>
                <w:sz w:val="22"/>
                <w:szCs w:val="22"/>
              </w:rPr>
            </w:pPr>
            <w:r w:rsidRPr="00DF18E6">
              <w:rPr>
                <w:b/>
                <w:bCs/>
                <w:color w:val="000000"/>
                <w:sz w:val="22"/>
                <w:szCs w:val="22"/>
              </w:rPr>
              <w:t>Currently</w:t>
            </w:r>
            <w:r w:rsidR="00F9132B">
              <w:rPr>
                <w:b/>
                <w:bCs/>
                <w:color w:val="000000"/>
                <w:sz w:val="22"/>
                <w:szCs w:val="22"/>
              </w:rPr>
              <w:t xml:space="preserve"> </w:t>
            </w:r>
            <w:r w:rsidRPr="00DF18E6">
              <w:rPr>
                <w:b/>
                <w:bCs/>
                <w:color w:val="000000"/>
                <w:sz w:val="22"/>
                <w:szCs w:val="22"/>
              </w:rPr>
              <w:t>Approved Charges</w:t>
            </w:r>
          </w:p>
          <w:p w:rsidR="006856EE" w:rsidRPr="00DF18E6" w:rsidRDefault="006856EE" w:rsidP="00CC7801">
            <w:pPr>
              <w:jc w:val="center"/>
              <w:rPr>
                <w:b/>
                <w:bCs/>
                <w:color w:val="000000"/>
                <w:sz w:val="22"/>
                <w:szCs w:val="22"/>
              </w:rPr>
            </w:pPr>
            <w:r>
              <w:rPr>
                <w:b/>
                <w:bCs/>
                <w:color w:val="000000"/>
                <w:sz w:val="22"/>
                <w:szCs w:val="22"/>
              </w:rPr>
              <w:t>May 2024</w:t>
            </w:r>
          </w:p>
          <w:p w:rsidR="006856EE" w:rsidRPr="00DF18E6" w:rsidRDefault="006856EE" w:rsidP="00CC7801">
            <w:pPr>
              <w:jc w:val="center"/>
              <w:rPr>
                <w:b/>
                <w:bCs/>
                <w:color w:val="000000"/>
                <w:sz w:val="22"/>
                <w:szCs w:val="22"/>
              </w:rPr>
            </w:pPr>
            <w:r w:rsidRPr="00DF18E6">
              <w:rPr>
                <w:b/>
                <w:bCs/>
                <w:color w:val="000000"/>
                <w:sz w:val="22"/>
                <w:szCs w:val="22"/>
              </w:rPr>
              <w:t>($)</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56EE" w:rsidRPr="00DB2CD1" w:rsidRDefault="006856EE" w:rsidP="00CC7801">
            <w:pPr>
              <w:jc w:val="center"/>
              <w:rPr>
                <w:b/>
                <w:bCs/>
                <w:color w:val="000000"/>
                <w:sz w:val="22"/>
              </w:rPr>
            </w:pPr>
            <w:r w:rsidRPr="00DB2CD1">
              <w:rPr>
                <w:b/>
                <w:bCs/>
                <w:color w:val="000000"/>
                <w:sz w:val="22"/>
              </w:rPr>
              <w:t xml:space="preserve">Proposed Charges </w:t>
            </w:r>
          </w:p>
          <w:p w:rsidR="006856EE" w:rsidRPr="00DB2CD1" w:rsidRDefault="006856EE" w:rsidP="00CC7801">
            <w:pPr>
              <w:jc w:val="center"/>
              <w:rPr>
                <w:b/>
                <w:bCs/>
                <w:color w:val="000000"/>
                <w:sz w:val="22"/>
              </w:rPr>
            </w:pPr>
            <w:r w:rsidRPr="00DB2CD1">
              <w:rPr>
                <w:b/>
                <w:bCs/>
                <w:color w:val="000000"/>
                <w:sz w:val="22"/>
              </w:rPr>
              <w:t>Beginning</w:t>
            </w:r>
          </w:p>
          <w:p w:rsidR="006856EE" w:rsidRPr="00DB2CD1" w:rsidRDefault="006856EE" w:rsidP="00CC7801">
            <w:pPr>
              <w:jc w:val="center"/>
              <w:rPr>
                <w:b/>
                <w:bCs/>
                <w:color w:val="000000"/>
                <w:sz w:val="22"/>
              </w:rPr>
            </w:pPr>
            <w:r>
              <w:rPr>
                <w:b/>
                <w:bCs/>
                <w:color w:val="000000"/>
                <w:sz w:val="22"/>
              </w:rPr>
              <w:t>June 2024</w:t>
            </w:r>
          </w:p>
          <w:p w:rsidR="006856EE" w:rsidRPr="00DF18E6" w:rsidRDefault="006856EE" w:rsidP="00CC7801">
            <w:pPr>
              <w:jc w:val="center"/>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56EE" w:rsidRPr="00DF18E6" w:rsidRDefault="006856EE" w:rsidP="00CC7801">
            <w:pPr>
              <w:jc w:val="center"/>
              <w:rPr>
                <w:b/>
                <w:bCs/>
                <w:color w:val="000000"/>
                <w:sz w:val="22"/>
                <w:szCs w:val="22"/>
              </w:rPr>
            </w:pPr>
            <w:r w:rsidRPr="00DF18E6">
              <w:rPr>
                <w:b/>
                <w:bCs/>
                <w:color w:val="000000"/>
                <w:sz w:val="22"/>
                <w:szCs w:val="22"/>
              </w:rPr>
              <w:t>Difference</w:t>
            </w:r>
          </w:p>
          <w:p w:rsidR="006856EE" w:rsidRPr="00DF18E6" w:rsidRDefault="006856EE" w:rsidP="00CC7801">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56EE" w:rsidRPr="00DF18E6" w:rsidRDefault="006856EE" w:rsidP="00CC7801">
            <w:pPr>
              <w:jc w:val="center"/>
              <w:rPr>
                <w:b/>
                <w:bCs/>
                <w:color w:val="000000"/>
                <w:sz w:val="22"/>
                <w:szCs w:val="22"/>
              </w:rPr>
            </w:pPr>
            <w:r w:rsidRPr="00DF18E6">
              <w:rPr>
                <w:b/>
                <w:bCs/>
                <w:color w:val="000000"/>
                <w:sz w:val="22"/>
                <w:szCs w:val="22"/>
              </w:rPr>
              <w:t>Difference</w:t>
            </w:r>
          </w:p>
          <w:p w:rsidR="006856EE" w:rsidRPr="00DF18E6" w:rsidRDefault="006856EE" w:rsidP="00CC7801">
            <w:pPr>
              <w:jc w:val="center"/>
              <w:rPr>
                <w:b/>
                <w:bCs/>
                <w:color w:val="000000"/>
                <w:sz w:val="22"/>
                <w:szCs w:val="22"/>
              </w:rPr>
            </w:pPr>
            <w:r w:rsidRPr="00DF18E6">
              <w:rPr>
                <w:b/>
                <w:bCs/>
                <w:color w:val="000000"/>
                <w:sz w:val="22"/>
                <w:szCs w:val="22"/>
              </w:rPr>
              <w:t>(%)</w:t>
            </w:r>
          </w:p>
        </w:tc>
      </w:tr>
      <w:tr w:rsidR="006856EE" w:rsidRPr="00DF18E6" w:rsidTr="00CC7801">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856EE" w:rsidRPr="00DF18E6" w:rsidRDefault="006856EE" w:rsidP="00CC7801">
            <w:pPr>
              <w:rPr>
                <w:color w:val="000000"/>
                <w:sz w:val="22"/>
                <w:szCs w:val="22"/>
              </w:rPr>
            </w:pPr>
            <w:r w:rsidRPr="00DF18E6">
              <w:rPr>
                <w:color w:val="000000"/>
                <w:sz w:val="22"/>
                <w:szCs w:val="22"/>
              </w:rPr>
              <w:t>Base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jc w:val="right"/>
              <w:rPr>
                <w:color w:val="000000"/>
                <w:sz w:val="22"/>
                <w:szCs w:val="22"/>
              </w:rPr>
            </w:pPr>
            <w:r>
              <w:rPr>
                <w:color w:val="000000"/>
                <w:sz w:val="22"/>
                <w:szCs w:val="22"/>
              </w:rPr>
              <w:t>$87.80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jc w:val="right"/>
              <w:rPr>
                <w:color w:val="000000"/>
                <w:sz w:val="22"/>
                <w:szCs w:val="22"/>
              </w:rPr>
            </w:pPr>
            <w:r>
              <w:rPr>
                <w:color w:val="000000"/>
                <w:sz w:val="22"/>
                <w:szCs w:val="22"/>
              </w:rPr>
              <w:t>$87.80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16CD8" w:rsidRDefault="006856EE" w:rsidP="00CC7801">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16CD8" w:rsidRDefault="006856EE" w:rsidP="00CC7801">
            <w:pPr>
              <w:jc w:val="right"/>
              <w:rPr>
                <w:sz w:val="22"/>
                <w:szCs w:val="22"/>
              </w:rPr>
            </w:pPr>
            <w:r>
              <w:rPr>
                <w:sz w:val="22"/>
                <w:szCs w:val="22"/>
              </w:rPr>
              <w:t>0.0%</w:t>
            </w:r>
          </w:p>
        </w:tc>
      </w:tr>
      <w:tr w:rsidR="006856EE" w:rsidRPr="00DF18E6" w:rsidTr="00CC7801">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856EE" w:rsidRPr="00DF18E6" w:rsidRDefault="006856EE" w:rsidP="00CC7801">
            <w:pPr>
              <w:rPr>
                <w:color w:val="000000"/>
                <w:sz w:val="22"/>
                <w:szCs w:val="22"/>
              </w:rPr>
            </w:pPr>
            <w:r w:rsidRPr="00DF18E6">
              <w:rPr>
                <w:color w:val="000000"/>
                <w:sz w:val="22"/>
                <w:szCs w:val="22"/>
              </w:rPr>
              <w:t>Fuel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jc w:val="right"/>
              <w:rPr>
                <w:color w:val="000000"/>
                <w:sz w:val="22"/>
                <w:szCs w:val="22"/>
              </w:rPr>
            </w:pPr>
            <w:r>
              <w:rPr>
                <w:color w:val="000000"/>
                <w:sz w:val="22"/>
                <w:szCs w:val="22"/>
              </w:rPr>
              <w:t>35.36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jc w:val="right"/>
              <w:rPr>
                <w:color w:val="000000"/>
                <w:sz w:val="22"/>
                <w:szCs w:val="22"/>
              </w:rPr>
            </w:pPr>
            <w:r>
              <w:rPr>
                <w:color w:val="000000"/>
                <w:sz w:val="22"/>
                <w:szCs w:val="22"/>
              </w:rPr>
              <w:t>28.50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jc w:val="right"/>
              <w:rPr>
                <w:sz w:val="22"/>
                <w:szCs w:val="22"/>
              </w:rPr>
            </w:pPr>
            <w:r>
              <w:rPr>
                <w:sz w:val="22"/>
                <w:szCs w:val="22"/>
              </w:rPr>
              <w:t>(6.86)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jc w:val="right"/>
              <w:rPr>
                <w:sz w:val="22"/>
                <w:szCs w:val="22"/>
              </w:rPr>
            </w:pPr>
            <w:r>
              <w:rPr>
                <w:sz w:val="22"/>
                <w:szCs w:val="22"/>
              </w:rPr>
              <w:t>(19.4%)</w:t>
            </w:r>
          </w:p>
        </w:tc>
      </w:tr>
      <w:tr w:rsidR="006856EE" w:rsidRPr="00DF18E6" w:rsidTr="00CC7801">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856EE" w:rsidRPr="00DF18E6" w:rsidRDefault="006856EE" w:rsidP="00CC7801">
            <w:pPr>
              <w:rPr>
                <w:color w:val="000000"/>
                <w:sz w:val="22"/>
                <w:szCs w:val="22"/>
              </w:rPr>
            </w:pPr>
            <w:r w:rsidRPr="00DF18E6">
              <w:rPr>
                <w:color w:val="000000"/>
                <w:sz w:val="22"/>
                <w:szCs w:val="22"/>
              </w:rPr>
              <w:t>Conservation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color w:val="000000"/>
                <w:sz w:val="22"/>
                <w:szCs w:val="22"/>
              </w:rPr>
            </w:pPr>
            <w:r w:rsidRPr="00D71954">
              <w:rPr>
                <w:color w:val="000000"/>
                <w:sz w:val="22"/>
                <w:szCs w:val="22"/>
              </w:rPr>
              <w:t>2.15</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jc w:val="right"/>
              <w:rPr>
                <w:color w:val="000000"/>
                <w:sz w:val="22"/>
                <w:szCs w:val="22"/>
              </w:rPr>
            </w:pPr>
            <w:r>
              <w:rPr>
                <w:color w:val="000000"/>
                <w:sz w:val="22"/>
                <w:szCs w:val="22"/>
              </w:rPr>
              <w:t>2.15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16CD8" w:rsidRDefault="006856EE" w:rsidP="00CC7801">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16CD8" w:rsidRDefault="006856EE" w:rsidP="00CC7801">
            <w:pPr>
              <w:jc w:val="right"/>
              <w:rPr>
                <w:sz w:val="22"/>
                <w:szCs w:val="22"/>
              </w:rPr>
            </w:pPr>
            <w:r>
              <w:rPr>
                <w:sz w:val="22"/>
                <w:szCs w:val="22"/>
              </w:rPr>
              <w:t>0.0%</w:t>
            </w:r>
          </w:p>
        </w:tc>
      </w:tr>
      <w:tr w:rsidR="006856EE" w:rsidRPr="00DF18E6" w:rsidTr="00CC7801">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856EE" w:rsidRPr="00DF18E6" w:rsidRDefault="006856EE" w:rsidP="00CC7801">
            <w:pPr>
              <w:rPr>
                <w:color w:val="000000"/>
                <w:sz w:val="22"/>
                <w:szCs w:val="22"/>
              </w:rPr>
            </w:pPr>
            <w:r w:rsidRPr="00DF18E6">
              <w:rPr>
                <w:color w:val="000000"/>
                <w:sz w:val="22"/>
                <w:szCs w:val="22"/>
              </w:rPr>
              <w:t>Capacity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color w:val="000000"/>
                <w:sz w:val="22"/>
                <w:szCs w:val="22"/>
              </w:rPr>
            </w:pPr>
            <w:r w:rsidRPr="00D71954">
              <w:rPr>
                <w:color w:val="000000"/>
                <w:sz w:val="22"/>
                <w:szCs w:val="22"/>
              </w:rPr>
              <w:t>0.62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jc w:val="right"/>
              <w:rPr>
                <w:color w:val="000000"/>
                <w:sz w:val="22"/>
                <w:szCs w:val="22"/>
              </w:rPr>
            </w:pPr>
            <w:r>
              <w:rPr>
                <w:color w:val="000000"/>
                <w:sz w:val="22"/>
                <w:szCs w:val="22"/>
              </w:rPr>
              <w:t>0.62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16CD8" w:rsidRDefault="006856EE" w:rsidP="00CC7801">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16CD8" w:rsidRDefault="006856EE" w:rsidP="00CC7801">
            <w:pPr>
              <w:jc w:val="right"/>
              <w:rPr>
                <w:sz w:val="22"/>
                <w:szCs w:val="22"/>
              </w:rPr>
            </w:pPr>
            <w:r>
              <w:rPr>
                <w:sz w:val="22"/>
                <w:szCs w:val="22"/>
              </w:rPr>
              <w:t>0.0%</w:t>
            </w:r>
          </w:p>
        </w:tc>
      </w:tr>
      <w:tr w:rsidR="006856EE" w:rsidRPr="00DF18E6" w:rsidTr="00CC7801">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856EE" w:rsidRPr="00DF18E6" w:rsidRDefault="006856EE" w:rsidP="00CC7801">
            <w:pPr>
              <w:rPr>
                <w:color w:val="000000"/>
                <w:sz w:val="22"/>
                <w:szCs w:val="22"/>
              </w:rPr>
            </w:pPr>
            <w:r w:rsidRPr="00DF18E6">
              <w:rPr>
                <w:color w:val="000000"/>
                <w:sz w:val="22"/>
                <w:szCs w:val="22"/>
              </w:rPr>
              <w:t>Environmental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color w:val="000000"/>
                <w:sz w:val="22"/>
                <w:szCs w:val="22"/>
              </w:rPr>
            </w:pPr>
            <w:r w:rsidRPr="00D71954">
              <w:rPr>
                <w:color w:val="000000"/>
                <w:sz w:val="22"/>
                <w:szCs w:val="22"/>
              </w:rPr>
              <w:t>0.89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jc w:val="right"/>
              <w:rPr>
                <w:color w:val="000000"/>
                <w:sz w:val="22"/>
                <w:szCs w:val="22"/>
              </w:rPr>
            </w:pPr>
            <w:r>
              <w:rPr>
                <w:color w:val="000000"/>
                <w:sz w:val="22"/>
                <w:szCs w:val="22"/>
              </w:rPr>
              <w:t>0.89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16CD8" w:rsidRDefault="006856EE" w:rsidP="00CC7801">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16CD8" w:rsidRDefault="006856EE" w:rsidP="00CC7801">
            <w:pPr>
              <w:jc w:val="right"/>
              <w:rPr>
                <w:sz w:val="22"/>
                <w:szCs w:val="22"/>
              </w:rPr>
            </w:pPr>
            <w:r>
              <w:rPr>
                <w:sz w:val="22"/>
                <w:szCs w:val="22"/>
              </w:rPr>
              <w:t>0.0%</w:t>
            </w:r>
          </w:p>
        </w:tc>
      </w:tr>
      <w:tr w:rsidR="006856EE" w:rsidRPr="00DF18E6" w:rsidTr="00CC7801">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856EE" w:rsidRPr="00DF18E6" w:rsidRDefault="006856EE" w:rsidP="00CC7801">
            <w:pPr>
              <w:rPr>
                <w:color w:val="000000"/>
                <w:sz w:val="22"/>
                <w:szCs w:val="22"/>
              </w:rPr>
            </w:pPr>
            <w:r w:rsidRPr="00DF18E6">
              <w:rPr>
                <w:color w:val="000000"/>
                <w:sz w:val="22"/>
                <w:szCs w:val="22"/>
              </w:rPr>
              <w:t>Storm Protection Plan</w:t>
            </w:r>
            <w:r>
              <w:rPr>
                <w:color w:val="000000"/>
                <w:sz w:val="22"/>
                <w:szCs w:val="22"/>
              </w:rPr>
              <w:t xml:space="preserv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color w:val="000000"/>
                <w:sz w:val="22"/>
                <w:szCs w:val="22"/>
              </w:rPr>
            </w:pPr>
            <w:r w:rsidRPr="00D71954">
              <w:rPr>
                <w:color w:val="000000"/>
                <w:sz w:val="22"/>
                <w:szCs w:val="22"/>
              </w:rPr>
              <w:t>6.58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jc w:val="right"/>
              <w:rPr>
                <w:color w:val="000000"/>
                <w:sz w:val="22"/>
                <w:szCs w:val="22"/>
              </w:rPr>
            </w:pPr>
            <w:r>
              <w:rPr>
                <w:color w:val="000000"/>
                <w:sz w:val="22"/>
                <w:szCs w:val="22"/>
              </w:rPr>
              <w:t>6.58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16CD8" w:rsidRDefault="006856EE" w:rsidP="00CC7801">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16CD8" w:rsidRDefault="006856EE" w:rsidP="00CC7801">
            <w:pPr>
              <w:jc w:val="right"/>
              <w:rPr>
                <w:sz w:val="22"/>
                <w:szCs w:val="22"/>
              </w:rPr>
            </w:pPr>
            <w:r>
              <w:rPr>
                <w:sz w:val="22"/>
                <w:szCs w:val="22"/>
              </w:rPr>
              <w:t>0.0%</w:t>
            </w:r>
          </w:p>
        </w:tc>
      </w:tr>
      <w:tr w:rsidR="006856EE" w:rsidRPr="00DF18E6" w:rsidTr="00CC7801">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F18E6" w:rsidRDefault="006856EE" w:rsidP="00CC7801">
            <w:pPr>
              <w:rPr>
                <w:color w:val="000000"/>
                <w:sz w:val="22"/>
                <w:szCs w:val="22"/>
              </w:rPr>
            </w:pPr>
            <w:r>
              <w:rPr>
                <w:color w:val="000000"/>
                <w:sz w:val="22"/>
                <w:szCs w:val="22"/>
              </w:rPr>
              <w:t>Clean Energy Transition Mechanism</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color w:val="000000"/>
                <w:sz w:val="22"/>
                <w:szCs w:val="22"/>
              </w:rPr>
            </w:pPr>
            <w:r w:rsidRPr="00D71954">
              <w:rPr>
                <w:color w:val="000000"/>
                <w:sz w:val="22"/>
                <w:szCs w:val="22"/>
              </w:rPr>
              <w:t>4.30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color w:val="000000"/>
                <w:sz w:val="22"/>
                <w:szCs w:val="22"/>
              </w:rPr>
            </w:pPr>
            <w:r w:rsidRPr="00D71954">
              <w:rPr>
                <w:color w:val="000000"/>
                <w:sz w:val="22"/>
                <w:szCs w:val="22"/>
              </w:rPr>
              <w:t>4.30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sz w:val="22"/>
                <w:szCs w:val="22"/>
              </w:rPr>
            </w:pPr>
            <w:r w:rsidRPr="00D71954">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sz w:val="22"/>
                <w:szCs w:val="22"/>
              </w:rPr>
            </w:pPr>
            <w:r w:rsidRPr="00D71954">
              <w:rPr>
                <w:sz w:val="22"/>
                <w:szCs w:val="22"/>
              </w:rPr>
              <w:t>0.0%</w:t>
            </w:r>
          </w:p>
        </w:tc>
      </w:tr>
      <w:tr w:rsidR="006856EE" w:rsidRPr="00DF18E6" w:rsidTr="00CC7801">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Default="006856EE" w:rsidP="00CC7801">
            <w:pPr>
              <w:rPr>
                <w:color w:val="000000"/>
                <w:sz w:val="22"/>
                <w:szCs w:val="22"/>
              </w:rPr>
            </w:pPr>
            <w:r>
              <w:rPr>
                <w:color w:val="000000"/>
                <w:sz w:val="22"/>
                <w:szCs w:val="22"/>
              </w:rPr>
              <w:t>Storm Restoration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color w:val="000000"/>
                <w:sz w:val="22"/>
                <w:szCs w:val="22"/>
                <w:u w:val="single"/>
              </w:rPr>
            </w:pPr>
            <w:r w:rsidRPr="00D71954">
              <w:rPr>
                <w:color w:val="000000"/>
                <w:sz w:val="22"/>
                <w:szCs w:val="22"/>
                <w:u w:val="single"/>
              </w:rPr>
              <w:t>2.19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color w:val="000000"/>
                <w:sz w:val="22"/>
                <w:szCs w:val="22"/>
                <w:u w:val="single"/>
              </w:rPr>
            </w:pPr>
            <w:r w:rsidRPr="00D71954">
              <w:rPr>
                <w:color w:val="000000"/>
                <w:sz w:val="22"/>
                <w:szCs w:val="22"/>
                <w:u w:val="single"/>
              </w:rPr>
              <w:t>2.19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D71954" w:rsidRDefault="006856EE" w:rsidP="00CC7801">
            <w:pPr>
              <w:jc w:val="right"/>
              <w:rPr>
                <w:sz w:val="22"/>
                <w:szCs w:val="22"/>
                <w:u w:val="single"/>
              </w:rPr>
            </w:pPr>
            <w:r w:rsidRPr="00D71954">
              <w:rPr>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Default="006856EE" w:rsidP="00CC7801">
            <w:pPr>
              <w:jc w:val="right"/>
              <w:rPr>
                <w:sz w:val="22"/>
                <w:szCs w:val="22"/>
              </w:rPr>
            </w:pPr>
            <w:r>
              <w:rPr>
                <w:sz w:val="22"/>
                <w:szCs w:val="22"/>
              </w:rPr>
              <w:t>0.0%</w:t>
            </w:r>
          </w:p>
        </w:tc>
      </w:tr>
      <w:tr w:rsidR="006856EE" w:rsidRPr="009C275E" w:rsidTr="00CC7801">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856EE" w:rsidRPr="009C275E" w:rsidRDefault="006856EE" w:rsidP="00CC7801">
            <w:pPr>
              <w:rPr>
                <w:color w:val="000000"/>
                <w:sz w:val="22"/>
                <w:szCs w:val="22"/>
              </w:rPr>
            </w:pPr>
            <w:r w:rsidRPr="009C275E">
              <w:rPr>
                <w:color w:val="000000"/>
                <w:sz w:val="22"/>
                <w:szCs w:val="22"/>
              </w:rPr>
              <w:t>Gross Receipts Tax</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EC5E77" w:rsidRDefault="006856EE" w:rsidP="00CC7801">
            <w:pPr>
              <w:jc w:val="right"/>
              <w:rPr>
                <w:color w:val="000000"/>
                <w:sz w:val="22"/>
                <w:szCs w:val="22"/>
                <w:u w:val="single"/>
              </w:rPr>
            </w:pPr>
            <w:r>
              <w:rPr>
                <w:color w:val="000000"/>
                <w:sz w:val="22"/>
                <w:szCs w:val="22"/>
                <w:u w:val="single"/>
              </w:rPr>
              <w:t>3.59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EC5E77" w:rsidRDefault="006856EE" w:rsidP="00CC7801">
            <w:pPr>
              <w:jc w:val="right"/>
              <w:rPr>
                <w:sz w:val="22"/>
                <w:szCs w:val="22"/>
                <w:u w:val="single"/>
              </w:rPr>
            </w:pPr>
            <w:r>
              <w:rPr>
                <w:sz w:val="22"/>
                <w:szCs w:val="22"/>
                <w:u w:val="single"/>
              </w:rPr>
              <w:t>3.41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EC5E77" w:rsidRDefault="006856EE" w:rsidP="00CC7801">
            <w:pPr>
              <w:jc w:val="right"/>
              <w:rPr>
                <w:sz w:val="22"/>
                <w:szCs w:val="22"/>
                <w:u w:val="single"/>
              </w:rPr>
            </w:pPr>
            <w:r>
              <w:rPr>
                <w:sz w:val="22"/>
                <w:szCs w:val="22"/>
                <w:u w:val="single"/>
              </w:rPr>
              <w:t>(0.18)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B756AB" w:rsidRDefault="006856EE" w:rsidP="00CC7801">
            <w:pPr>
              <w:jc w:val="right"/>
              <w:rPr>
                <w:sz w:val="22"/>
                <w:szCs w:val="22"/>
              </w:rPr>
            </w:pPr>
            <w:r>
              <w:rPr>
                <w:sz w:val="22"/>
                <w:szCs w:val="22"/>
              </w:rPr>
              <w:t>(5.0%)</w:t>
            </w:r>
          </w:p>
        </w:tc>
      </w:tr>
      <w:tr w:rsidR="006856EE" w:rsidRPr="009C275E" w:rsidTr="00CC7801">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856EE" w:rsidRPr="009C275E" w:rsidRDefault="006856EE" w:rsidP="00CC7801">
            <w:pPr>
              <w:rPr>
                <w:b/>
                <w:bCs/>
                <w:color w:val="000000"/>
                <w:sz w:val="22"/>
                <w:szCs w:val="22"/>
              </w:rPr>
            </w:pPr>
            <w:r w:rsidRPr="009C275E">
              <w:rPr>
                <w:b/>
                <w:bCs/>
                <w:color w:val="000000"/>
                <w:sz w:val="22"/>
                <w:szCs w:val="22"/>
              </w:rPr>
              <w:t>Total</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9C275E" w:rsidRDefault="006856EE" w:rsidP="00CC7801">
            <w:pPr>
              <w:jc w:val="right"/>
              <w:rPr>
                <w:color w:val="000000"/>
                <w:sz w:val="22"/>
                <w:szCs w:val="22"/>
                <w:u w:val="double"/>
              </w:rPr>
            </w:pPr>
            <w:r>
              <w:rPr>
                <w:color w:val="000000"/>
                <w:sz w:val="22"/>
                <w:szCs w:val="22"/>
                <w:u w:val="double"/>
              </w:rPr>
              <w:t>$143.48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9C275E" w:rsidRDefault="006856EE" w:rsidP="00CC7801">
            <w:pPr>
              <w:jc w:val="right"/>
              <w:rPr>
                <w:sz w:val="22"/>
                <w:szCs w:val="22"/>
                <w:u w:val="double"/>
              </w:rPr>
            </w:pPr>
            <w:r>
              <w:rPr>
                <w:sz w:val="22"/>
                <w:szCs w:val="22"/>
                <w:u w:val="double"/>
              </w:rPr>
              <w:t>$136.44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240F45" w:rsidRDefault="006856EE" w:rsidP="00CC7801">
            <w:pPr>
              <w:jc w:val="right"/>
              <w:rPr>
                <w:sz w:val="22"/>
                <w:szCs w:val="22"/>
                <w:u w:val="double"/>
              </w:rPr>
            </w:pPr>
            <w:r>
              <w:rPr>
                <w:sz w:val="22"/>
                <w:szCs w:val="22"/>
                <w:u w:val="double"/>
              </w:rPr>
              <w:t>($7.04)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6856EE" w:rsidRPr="009C275E" w:rsidRDefault="006856EE" w:rsidP="00CC7801">
            <w:pPr>
              <w:jc w:val="right"/>
              <w:rPr>
                <w:sz w:val="22"/>
                <w:szCs w:val="22"/>
              </w:rPr>
            </w:pPr>
            <w:r>
              <w:rPr>
                <w:sz w:val="22"/>
                <w:szCs w:val="22"/>
              </w:rPr>
              <w:t>(4.9%)</w:t>
            </w:r>
          </w:p>
        </w:tc>
      </w:tr>
    </w:tbl>
    <w:p w:rsidR="006856EE" w:rsidRDefault="006856EE" w:rsidP="006856EE">
      <w:pPr>
        <w:pStyle w:val="FootnoteText"/>
      </w:pPr>
      <w:r>
        <w:t>Source: Document No. 01529-2024.</w:t>
      </w:r>
    </w:p>
    <w:p w:rsidR="008E4391" w:rsidRDefault="008E4391" w:rsidP="006856EE">
      <w:pPr>
        <w:pStyle w:val="FootnoteText"/>
      </w:pPr>
    </w:p>
    <w:p w:rsidR="006856EE" w:rsidRDefault="006856EE" w:rsidP="008E4391">
      <w:pPr>
        <w:pStyle w:val="BodyText"/>
        <w:spacing w:after="0"/>
      </w:pPr>
      <w:r w:rsidRPr="006856EE">
        <w:t>TECO’s currently</w:t>
      </w:r>
      <w:r w:rsidR="00F9132B">
        <w:t xml:space="preserve"> </w:t>
      </w:r>
      <w:r w:rsidRPr="006856EE">
        <w:t>approved total residential charge for the first 1,000 kWh of usage for May 2024 is $143.48.</w:t>
      </w:r>
      <w:r w:rsidRPr="006856EE">
        <w:rPr>
          <w:vertAlign w:val="superscript"/>
        </w:rPr>
        <w:footnoteReference w:id="27"/>
      </w:r>
      <w:r w:rsidRPr="006856EE">
        <w:t xml:space="preserve"> If the Company’s mid-course correction is approved, then the current total residential charge for the first 1,000 kWh of usage beginning in June will be $136.44, a decrease of 4.9 percent. For non-residential rate classes, TECO reported that bill decreases based on average levels of usage for General Service customers would range from approximately 4.4 to 4.9 percent, and for General Service Demand customers, decreases would range from approximately 8.1 to 11.4 percent.</w:t>
      </w:r>
      <w:r w:rsidRPr="006856EE">
        <w:rPr>
          <w:vertAlign w:val="superscript"/>
        </w:rPr>
        <w:footnoteReference w:id="28"/>
      </w:r>
      <w:r w:rsidRPr="006856EE">
        <w:t xml:space="preserve"> TECO’s proposed tariff sheet is shown on Appendix A to this recommendation.</w:t>
      </w:r>
    </w:p>
    <w:p w:rsidR="008E4391" w:rsidRPr="006856EE" w:rsidRDefault="008E4391" w:rsidP="008E4391">
      <w:pPr>
        <w:pStyle w:val="BodyText"/>
        <w:spacing w:after="0"/>
      </w:pPr>
    </w:p>
    <w:p w:rsidR="006856EE" w:rsidRPr="006856EE" w:rsidRDefault="001004E0" w:rsidP="008E4391">
      <w:pPr>
        <w:pStyle w:val="First-LevelSubheading"/>
        <w:rPr>
          <w:i/>
        </w:rPr>
      </w:pPr>
      <w:r>
        <w:rPr>
          <w:i/>
        </w:rPr>
        <w:t>Optional Period</w:t>
      </w:r>
    </w:p>
    <w:p w:rsidR="006856EE" w:rsidRDefault="006856EE" w:rsidP="008E4391">
      <w:pPr>
        <w:pStyle w:val="BodyText"/>
        <w:spacing w:after="0"/>
      </w:pPr>
      <w:r w:rsidRPr="006856EE">
        <w:t xml:space="preserve">Staff investigated the effect on monthly bills of shortening </w:t>
      </w:r>
      <w:r w:rsidRPr="00BB72B6">
        <w:t>the period proposed for developing rates</w:t>
      </w:r>
      <w:r w:rsidR="00636AFB">
        <w:t xml:space="preserve"> from 12 to 7 months. For rate-setting</w:t>
      </w:r>
      <w:r w:rsidRPr="006856EE">
        <w:t xml:space="preserve"> purposes, the total base over-recovery is the same under the 7-month and 12-month scenarios; however, the impact of the 7-month scenario can be characterized as a greater reduction in the monthly fuel charge for a shorter period of time.</w:t>
      </w:r>
    </w:p>
    <w:p w:rsidR="008E4391" w:rsidRPr="006856EE" w:rsidRDefault="008E4391" w:rsidP="008E4391">
      <w:pPr>
        <w:pStyle w:val="BodyText"/>
        <w:spacing w:after="0"/>
      </w:pPr>
    </w:p>
    <w:p w:rsidR="006856EE" w:rsidRDefault="006856EE" w:rsidP="008E4391">
      <w:pPr>
        <w:pStyle w:val="BodyText"/>
        <w:spacing w:after="0"/>
      </w:pPr>
      <w:r w:rsidRPr="006856EE">
        <w:t>Table 1-2 below sh</w:t>
      </w:r>
      <w:r w:rsidR="00AA0236">
        <w:t>ows the bill impact to a</w:t>
      </w:r>
      <w:r w:rsidRPr="006856EE">
        <w:t xml:space="preserve"> residential customer using 1,000 kWh of electricity a month associated with the </w:t>
      </w:r>
      <w:r w:rsidR="001004E0">
        <w:t>optional period</w:t>
      </w:r>
      <w:r w:rsidRPr="006856EE">
        <w:t xml:space="preserve"> scenario described in this section of the recommendation.</w:t>
      </w:r>
    </w:p>
    <w:p w:rsidR="00BB72B6" w:rsidRDefault="00BB72B6" w:rsidP="006856EE">
      <w:pPr>
        <w:pStyle w:val="BodyText"/>
      </w:pPr>
    </w:p>
    <w:p w:rsidR="00BB72B6" w:rsidRPr="006856EE" w:rsidRDefault="00BB72B6" w:rsidP="006856EE">
      <w:pPr>
        <w:pStyle w:val="BodyText"/>
      </w:pPr>
    </w:p>
    <w:tbl>
      <w:tblPr>
        <w:tblW w:w="4887" w:type="pct"/>
        <w:tblInd w:w="108" w:type="dxa"/>
        <w:tblLook w:val="04A0" w:firstRow="1" w:lastRow="0" w:firstColumn="1" w:lastColumn="0" w:noHBand="0" w:noVBand="1"/>
      </w:tblPr>
      <w:tblGrid>
        <w:gridCol w:w="3481"/>
        <w:gridCol w:w="1496"/>
        <w:gridCol w:w="1496"/>
        <w:gridCol w:w="1496"/>
        <w:gridCol w:w="1391"/>
      </w:tblGrid>
      <w:tr w:rsidR="006856EE" w:rsidTr="00CC7801">
        <w:trPr>
          <w:cantSplit/>
          <w:trHeight w:val="310"/>
          <w:tblHeader/>
        </w:trPr>
        <w:tc>
          <w:tcPr>
            <w:tcW w:w="5000" w:type="pct"/>
            <w:gridSpan w:val="5"/>
            <w:vAlign w:val="center"/>
            <w:hideMark/>
          </w:tcPr>
          <w:p w:rsidR="006856EE" w:rsidRDefault="006856EE" w:rsidP="00CC7801">
            <w:pPr>
              <w:jc w:val="center"/>
              <w:rPr>
                <w:rFonts w:ascii="Arial" w:hAnsi="Arial" w:cs="Arial"/>
                <w:b/>
                <w:bCs/>
                <w:color w:val="000000"/>
              </w:rPr>
            </w:pPr>
            <w:r w:rsidRPr="00AB6FE7">
              <w:rPr>
                <w:rFonts w:ascii="Arial" w:hAnsi="Arial" w:cs="Arial"/>
                <w:b/>
                <w:bCs/>
                <w:color w:val="000000"/>
              </w:rPr>
              <w:lastRenderedPageBreak/>
              <w:t>T</w:t>
            </w:r>
            <w:r>
              <w:rPr>
                <w:rFonts w:ascii="Arial" w:hAnsi="Arial" w:cs="Arial"/>
                <w:b/>
                <w:bCs/>
                <w:color w:val="000000"/>
              </w:rPr>
              <w:t>able 1-2</w:t>
            </w:r>
          </w:p>
          <w:p w:rsidR="006856EE" w:rsidRPr="00AB6FE7" w:rsidRDefault="006856EE" w:rsidP="00CC7801">
            <w:pPr>
              <w:jc w:val="center"/>
              <w:rPr>
                <w:rFonts w:ascii="Arial" w:hAnsi="Arial" w:cs="Arial"/>
                <w:b/>
                <w:bCs/>
                <w:color w:val="000000"/>
              </w:rPr>
            </w:pPr>
            <w:r>
              <w:rPr>
                <w:rFonts w:ascii="Arial" w:hAnsi="Arial" w:cs="Arial"/>
                <w:b/>
                <w:bCs/>
                <w:color w:val="000000"/>
              </w:rPr>
              <w:t>Tampa Electric Company</w:t>
            </w:r>
          </w:p>
        </w:tc>
      </w:tr>
      <w:tr w:rsidR="006856EE" w:rsidTr="00CC7801">
        <w:trPr>
          <w:cantSplit/>
          <w:trHeight w:val="320"/>
          <w:tblHeader/>
        </w:trPr>
        <w:tc>
          <w:tcPr>
            <w:tcW w:w="5000" w:type="pct"/>
            <w:gridSpan w:val="5"/>
            <w:tcBorders>
              <w:top w:val="nil"/>
              <w:left w:val="nil"/>
              <w:bottom w:val="single" w:sz="4" w:space="0" w:color="auto"/>
              <w:right w:val="nil"/>
            </w:tcBorders>
            <w:vAlign w:val="center"/>
            <w:hideMark/>
          </w:tcPr>
          <w:p w:rsidR="006856EE" w:rsidRPr="00AB6FE7" w:rsidRDefault="006856EE" w:rsidP="00CC7801">
            <w:pPr>
              <w:jc w:val="center"/>
              <w:rPr>
                <w:rFonts w:ascii="Arial" w:hAnsi="Arial" w:cs="Arial"/>
                <w:b/>
                <w:bCs/>
                <w:color w:val="000000"/>
              </w:rPr>
            </w:pPr>
            <w:r>
              <w:rPr>
                <w:rFonts w:ascii="Arial" w:hAnsi="Arial" w:cs="Arial"/>
                <w:b/>
                <w:bCs/>
                <w:color w:val="000000"/>
              </w:rPr>
              <w:t xml:space="preserve">Optional </w:t>
            </w:r>
            <w:r w:rsidRPr="00AB6FE7">
              <w:rPr>
                <w:rFonts w:ascii="Arial" w:hAnsi="Arial" w:cs="Arial"/>
                <w:b/>
                <w:bCs/>
                <w:color w:val="000000"/>
              </w:rPr>
              <w:t>Monthly Residential Billing Detail for the First 1,000 kWh</w:t>
            </w:r>
          </w:p>
        </w:tc>
      </w:tr>
      <w:tr w:rsidR="006856EE" w:rsidTr="00CC7801">
        <w:trPr>
          <w:cantSplit/>
          <w:trHeight w:val="1871"/>
          <w:tblHeader/>
        </w:trPr>
        <w:tc>
          <w:tcPr>
            <w:tcW w:w="1860" w:type="pct"/>
            <w:tcBorders>
              <w:top w:val="single" w:sz="4" w:space="0" w:color="auto"/>
              <w:left w:val="single" w:sz="4" w:space="0" w:color="auto"/>
              <w:bottom w:val="single" w:sz="4" w:space="0" w:color="auto"/>
              <w:right w:val="single" w:sz="4" w:space="0" w:color="auto"/>
            </w:tcBorders>
            <w:vAlign w:val="center"/>
            <w:hideMark/>
          </w:tcPr>
          <w:p w:rsidR="006856EE" w:rsidRPr="00AB6FE7" w:rsidRDefault="006856EE" w:rsidP="00CC7801">
            <w:pPr>
              <w:jc w:val="center"/>
              <w:rPr>
                <w:b/>
                <w:bCs/>
                <w:color w:val="000000"/>
                <w:sz w:val="22"/>
              </w:rPr>
            </w:pPr>
            <w:r w:rsidRPr="00AB6FE7">
              <w:rPr>
                <w:b/>
                <w:bCs/>
                <w:color w:val="000000"/>
                <w:sz w:val="22"/>
              </w:rPr>
              <w:t>Invoice Component</w:t>
            </w:r>
          </w:p>
        </w:tc>
        <w:tc>
          <w:tcPr>
            <w:tcW w:w="799" w:type="pct"/>
            <w:tcBorders>
              <w:top w:val="single" w:sz="4" w:space="0" w:color="auto"/>
              <w:left w:val="single" w:sz="4" w:space="0" w:color="auto"/>
              <w:bottom w:val="single" w:sz="4" w:space="0" w:color="auto"/>
              <w:right w:val="single" w:sz="4" w:space="0" w:color="auto"/>
            </w:tcBorders>
            <w:vAlign w:val="center"/>
            <w:hideMark/>
          </w:tcPr>
          <w:p w:rsidR="005E1E42" w:rsidRDefault="006856EE" w:rsidP="00CC7801">
            <w:pPr>
              <w:jc w:val="center"/>
              <w:rPr>
                <w:b/>
                <w:bCs/>
                <w:color w:val="000000"/>
                <w:sz w:val="22"/>
              </w:rPr>
            </w:pPr>
            <w:r w:rsidRPr="00AB6FE7">
              <w:rPr>
                <w:b/>
                <w:bCs/>
                <w:color w:val="000000"/>
                <w:sz w:val="22"/>
              </w:rPr>
              <w:t>Currently</w:t>
            </w:r>
          </w:p>
          <w:p w:rsidR="00001D99" w:rsidRDefault="006856EE" w:rsidP="00CC7801">
            <w:pPr>
              <w:jc w:val="center"/>
              <w:rPr>
                <w:b/>
                <w:bCs/>
                <w:color w:val="000000"/>
                <w:sz w:val="22"/>
              </w:rPr>
            </w:pPr>
            <w:r w:rsidRPr="00AB6FE7">
              <w:rPr>
                <w:b/>
                <w:bCs/>
                <w:color w:val="000000"/>
                <w:sz w:val="22"/>
              </w:rPr>
              <w:t>Appro</w:t>
            </w:r>
            <w:r w:rsidR="00001D99">
              <w:rPr>
                <w:b/>
                <w:bCs/>
                <w:color w:val="000000"/>
                <w:sz w:val="22"/>
              </w:rPr>
              <w:t>ved Charges</w:t>
            </w:r>
          </w:p>
          <w:p w:rsidR="006856EE" w:rsidRPr="00AB6FE7" w:rsidRDefault="006856EE" w:rsidP="00CC7801">
            <w:pPr>
              <w:jc w:val="center"/>
              <w:rPr>
                <w:b/>
                <w:bCs/>
                <w:color w:val="000000"/>
                <w:sz w:val="22"/>
              </w:rPr>
            </w:pPr>
            <w:r>
              <w:rPr>
                <w:b/>
                <w:bCs/>
                <w:color w:val="000000"/>
                <w:sz w:val="22"/>
              </w:rPr>
              <w:t xml:space="preserve"> May 2024</w:t>
            </w:r>
          </w:p>
          <w:p w:rsidR="006856EE" w:rsidRPr="00AB6FE7" w:rsidRDefault="006856EE" w:rsidP="00CC7801">
            <w:pPr>
              <w:jc w:val="center"/>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6856EE" w:rsidRPr="00F20A80" w:rsidRDefault="006856EE" w:rsidP="00CC7801">
            <w:pPr>
              <w:jc w:val="center"/>
              <w:rPr>
                <w:b/>
                <w:bCs/>
                <w:color w:val="000000"/>
                <w:sz w:val="22"/>
              </w:rPr>
            </w:pPr>
            <w:r w:rsidRPr="00F20A80">
              <w:rPr>
                <w:b/>
                <w:bCs/>
                <w:color w:val="000000"/>
                <w:sz w:val="22"/>
              </w:rPr>
              <w:t xml:space="preserve">Optional Charges </w:t>
            </w:r>
          </w:p>
          <w:p w:rsidR="006856EE" w:rsidRPr="00AB6FE7" w:rsidRDefault="006856EE" w:rsidP="00CC7801">
            <w:pPr>
              <w:jc w:val="center"/>
              <w:rPr>
                <w:b/>
                <w:bCs/>
                <w:color w:val="000000"/>
                <w:sz w:val="22"/>
              </w:rPr>
            </w:pPr>
            <w:r w:rsidRPr="00AB6FE7">
              <w:rPr>
                <w:b/>
                <w:bCs/>
                <w:color w:val="000000"/>
                <w:sz w:val="22"/>
              </w:rPr>
              <w:t>Beginning</w:t>
            </w:r>
          </w:p>
          <w:p w:rsidR="006856EE" w:rsidRPr="00AB6FE7" w:rsidRDefault="006856EE" w:rsidP="00CC7801">
            <w:pPr>
              <w:jc w:val="center"/>
              <w:rPr>
                <w:b/>
                <w:bCs/>
                <w:color w:val="000000"/>
                <w:sz w:val="22"/>
              </w:rPr>
            </w:pPr>
            <w:r>
              <w:rPr>
                <w:b/>
                <w:bCs/>
                <w:color w:val="000000"/>
                <w:sz w:val="22"/>
              </w:rPr>
              <w:t>June</w:t>
            </w:r>
          </w:p>
          <w:p w:rsidR="006856EE" w:rsidRPr="00AB6FE7" w:rsidRDefault="006856EE" w:rsidP="00CC7801">
            <w:pPr>
              <w:jc w:val="center"/>
              <w:rPr>
                <w:b/>
                <w:bCs/>
                <w:color w:val="000000"/>
                <w:sz w:val="22"/>
              </w:rPr>
            </w:pPr>
            <w:r>
              <w:rPr>
                <w:b/>
                <w:bCs/>
                <w:color w:val="000000"/>
                <w:sz w:val="22"/>
              </w:rPr>
              <w:t>2024</w:t>
            </w:r>
          </w:p>
          <w:p w:rsidR="006856EE" w:rsidRPr="00AB6FE7" w:rsidRDefault="006856EE" w:rsidP="00CC7801">
            <w:pPr>
              <w:jc w:val="center"/>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6856EE" w:rsidRPr="00AB6FE7" w:rsidRDefault="006856EE" w:rsidP="00CC7801">
            <w:pPr>
              <w:jc w:val="center"/>
              <w:rPr>
                <w:b/>
                <w:bCs/>
                <w:color w:val="000000"/>
                <w:sz w:val="22"/>
              </w:rPr>
            </w:pPr>
            <w:r w:rsidRPr="00AB6FE7">
              <w:rPr>
                <w:b/>
                <w:bCs/>
                <w:color w:val="000000"/>
                <w:sz w:val="22"/>
              </w:rPr>
              <w:t>Difference</w:t>
            </w:r>
          </w:p>
          <w:p w:rsidR="006856EE" w:rsidRPr="00AB6FE7" w:rsidRDefault="006856EE" w:rsidP="00CC7801">
            <w:pPr>
              <w:jc w:val="center"/>
              <w:rPr>
                <w:b/>
                <w:bCs/>
                <w:color w:val="000000"/>
                <w:sz w:val="22"/>
              </w:rPr>
            </w:pPr>
            <w:r w:rsidRPr="00AB6FE7">
              <w:rPr>
                <w:b/>
                <w:bCs/>
                <w:color w:val="000000"/>
                <w:sz w:val="22"/>
              </w:rPr>
              <w:t>($)</w:t>
            </w:r>
          </w:p>
        </w:tc>
        <w:tc>
          <w:tcPr>
            <w:tcW w:w="743" w:type="pct"/>
            <w:tcBorders>
              <w:top w:val="single" w:sz="4" w:space="0" w:color="auto"/>
              <w:left w:val="single" w:sz="4" w:space="0" w:color="auto"/>
              <w:bottom w:val="single" w:sz="4" w:space="0" w:color="auto"/>
              <w:right w:val="single" w:sz="4" w:space="0" w:color="auto"/>
            </w:tcBorders>
            <w:vAlign w:val="center"/>
            <w:hideMark/>
          </w:tcPr>
          <w:p w:rsidR="006856EE" w:rsidRPr="00AB6FE7" w:rsidRDefault="006856EE" w:rsidP="00CC7801">
            <w:pPr>
              <w:jc w:val="center"/>
              <w:rPr>
                <w:b/>
                <w:bCs/>
                <w:color w:val="000000"/>
                <w:sz w:val="22"/>
              </w:rPr>
            </w:pPr>
            <w:r w:rsidRPr="00AB6FE7">
              <w:rPr>
                <w:b/>
                <w:bCs/>
                <w:color w:val="000000"/>
                <w:sz w:val="22"/>
              </w:rPr>
              <w:t>Difference</w:t>
            </w:r>
          </w:p>
          <w:p w:rsidR="006856EE" w:rsidRPr="00AB6FE7" w:rsidRDefault="006856EE" w:rsidP="00CC7801">
            <w:pPr>
              <w:jc w:val="center"/>
              <w:rPr>
                <w:b/>
                <w:bCs/>
                <w:color w:val="000000"/>
                <w:sz w:val="22"/>
              </w:rPr>
            </w:pPr>
            <w:r w:rsidRPr="00AB6FE7">
              <w:rPr>
                <w:b/>
                <w:bCs/>
                <w:color w:val="000000"/>
                <w:sz w:val="22"/>
              </w:rPr>
              <w:t>(%)</w:t>
            </w:r>
          </w:p>
        </w:tc>
      </w:tr>
      <w:tr w:rsidR="006856EE" w:rsidTr="00CC7801">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rPr>
                <w:color w:val="000000"/>
                <w:sz w:val="22"/>
                <w:szCs w:val="22"/>
                <w:highlight w:val="yellow"/>
              </w:rPr>
            </w:pPr>
            <w:r w:rsidRPr="0067468A">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jc w:val="right"/>
              <w:rPr>
                <w:sz w:val="22"/>
                <w:szCs w:val="22"/>
              </w:rPr>
            </w:pPr>
            <w:r w:rsidRPr="0067468A">
              <w:rPr>
                <w:sz w:val="22"/>
                <w:szCs w:val="22"/>
              </w:rPr>
              <w:t>$</w:t>
            </w:r>
            <w:r>
              <w:rPr>
                <w:sz w:val="22"/>
                <w:szCs w:val="22"/>
              </w:rPr>
              <w:t>87.80</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spacing w:line="276" w:lineRule="auto"/>
              <w:jc w:val="right"/>
              <w:rPr>
                <w:color w:val="000000"/>
                <w:sz w:val="22"/>
                <w:szCs w:val="22"/>
              </w:rPr>
            </w:pPr>
            <w:r>
              <w:rPr>
                <w:color w:val="000000"/>
                <w:sz w:val="22"/>
                <w:szCs w:val="22"/>
              </w:rPr>
              <w:t>$87.80</w:t>
            </w:r>
            <w:r w:rsidRPr="0067468A">
              <w:rPr>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sidRPr="0067468A">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0.</w:t>
            </w:r>
            <w:r w:rsidRPr="0067468A">
              <w:rPr>
                <w:color w:val="000000"/>
                <w:sz w:val="22"/>
                <w:szCs w:val="22"/>
              </w:rPr>
              <w:t>0%</w:t>
            </w:r>
          </w:p>
        </w:tc>
      </w:tr>
      <w:tr w:rsidR="006856EE" w:rsidTr="00CC7801">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rPr>
                <w:color w:val="000000"/>
                <w:sz w:val="22"/>
                <w:szCs w:val="22"/>
              </w:rPr>
            </w:pPr>
            <w:r w:rsidRPr="0067468A">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jc w:val="right"/>
              <w:rPr>
                <w:sz w:val="22"/>
                <w:szCs w:val="22"/>
              </w:rPr>
            </w:pPr>
            <w:r>
              <w:rPr>
                <w:sz w:val="22"/>
                <w:szCs w:val="22"/>
              </w:rPr>
              <w:t>35.36</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34F0B" w:rsidRDefault="006856EE" w:rsidP="00CC7801">
            <w:pPr>
              <w:autoSpaceDE w:val="0"/>
              <w:autoSpaceDN w:val="0"/>
              <w:spacing w:line="276" w:lineRule="auto"/>
              <w:jc w:val="right"/>
              <w:rPr>
                <w:color w:val="000000"/>
                <w:sz w:val="22"/>
                <w:szCs w:val="22"/>
              </w:rPr>
            </w:pPr>
            <w:r w:rsidRPr="00D34F0B">
              <w:rPr>
                <w:color w:val="000000"/>
                <w:sz w:val="22"/>
                <w:szCs w:val="22"/>
              </w:rPr>
              <w:t>24.10</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34F0B" w:rsidRDefault="006856EE" w:rsidP="00CC7801">
            <w:pPr>
              <w:autoSpaceDE w:val="0"/>
              <w:autoSpaceDN w:val="0"/>
              <w:spacing w:line="276" w:lineRule="auto"/>
              <w:jc w:val="right"/>
              <w:rPr>
                <w:color w:val="000000"/>
                <w:sz w:val="22"/>
                <w:szCs w:val="22"/>
              </w:rPr>
            </w:pPr>
            <w:r w:rsidRPr="00D34F0B">
              <w:rPr>
                <w:color w:val="000000"/>
                <w:sz w:val="22"/>
                <w:szCs w:val="22"/>
              </w:rPr>
              <w:t>(11.26)</w:t>
            </w:r>
          </w:p>
        </w:tc>
        <w:tc>
          <w:tcPr>
            <w:tcW w:w="743" w:type="pct"/>
            <w:tcBorders>
              <w:top w:val="single" w:sz="4" w:space="0" w:color="auto"/>
              <w:left w:val="single" w:sz="4" w:space="0" w:color="auto"/>
              <w:bottom w:val="single" w:sz="4" w:space="0" w:color="auto"/>
              <w:right w:val="single" w:sz="4" w:space="0" w:color="auto"/>
            </w:tcBorders>
            <w:vAlign w:val="bottom"/>
          </w:tcPr>
          <w:p w:rsidR="006856EE" w:rsidRPr="00D34F0B" w:rsidRDefault="006856EE" w:rsidP="00CC7801">
            <w:pPr>
              <w:autoSpaceDE w:val="0"/>
              <w:autoSpaceDN w:val="0"/>
              <w:spacing w:line="276" w:lineRule="auto"/>
              <w:jc w:val="right"/>
              <w:rPr>
                <w:color w:val="000000"/>
                <w:sz w:val="22"/>
                <w:szCs w:val="22"/>
              </w:rPr>
            </w:pPr>
            <w:r w:rsidRPr="00D34F0B">
              <w:rPr>
                <w:color w:val="000000"/>
                <w:sz w:val="22"/>
                <w:szCs w:val="22"/>
              </w:rPr>
              <w:t>(31.8%)</w:t>
            </w:r>
          </w:p>
        </w:tc>
      </w:tr>
      <w:tr w:rsidR="006856EE" w:rsidTr="00CC7801">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rPr>
                <w:color w:val="000000"/>
                <w:sz w:val="22"/>
                <w:szCs w:val="22"/>
              </w:rPr>
            </w:pPr>
            <w:r w:rsidRPr="0067468A">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jc w:val="right"/>
              <w:rPr>
                <w:sz w:val="22"/>
                <w:szCs w:val="22"/>
              </w:rPr>
            </w:pPr>
            <w:r>
              <w:rPr>
                <w:sz w:val="22"/>
                <w:szCs w:val="22"/>
              </w:rPr>
              <w:t>2.15</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2.15</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0.0%</w:t>
            </w:r>
          </w:p>
        </w:tc>
      </w:tr>
      <w:tr w:rsidR="006856EE" w:rsidTr="00CC7801">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rPr>
                <w:color w:val="000000"/>
                <w:sz w:val="22"/>
                <w:szCs w:val="22"/>
              </w:rPr>
            </w:pPr>
            <w:r w:rsidRPr="0067468A">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jc w:val="right"/>
              <w:rPr>
                <w:sz w:val="22"/>
                <w:szCs w:val="22"/>
              </w:rPr>
            </w:pPr>
            <w:r>
              <w:rPr>
                <w:sz w:val="22"/>
                <w:szCs w:val="22"/>
              </w:rPr>
              <w:t>0.62</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0.62</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sidRPr="0067468A">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0.</w:t>
            </w:r>
            <w:r w:rsidRPr="0067468A">
              <w:rPr>
                <w:color w:val="000000"/>
                <w:sz w:val="22"/>
                <w:szCs w:val="22"/>
              </w:rPr>
              <w:t>0%</w:t>
            </w:r>
          </w:p>
        </w:tc>
      </w:tr>
      <w:tr w:rsidR="006856EE" w:rsidTr="00CC7801">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rPr>
                <w:color w:val="000000"/>
                <w:sz w:val="22"/>
                <w:szCs w:val="22"/>
              </w:rPr>
            </w:pPr>
            <w:r w:rsidRPr="0067468A">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jc w:val="right"/>
              <w:rPr>
                <w:sz w:val="22"/>
                <w:szCs w:val="22"/>
              </w:rPr>
            </w:pPr>
            <w:r>
              <w:rPr>
                <w:sz w:val="22"/>
                <w:szCs w:val="22"/>
              </w:rPr>
              <w:t>0.89</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0.89</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sidRPr="0067468A">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0.0</w:t>
            </w:r>
            <w:r w:rsidRPr="0067468A">
              <w:rPr>
                <w:color w:val="000000"/>
                <w:sz w:val="22"/>
                <w:szCs w:val="22"/>
              </w:rPr>
              <w:t>%</w:t>
            </w:r>
          </w:p>
        </w:tc>
      </w:tr>
      <w:tr w:rsidR="006856EE" w:rsidTr="00CC7801">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rPr>
                <w:color w:val="000000"/>
                <w:sz w:val="22"/>
                <w:szCs w:val="22"/>
              </w:rPr>
            </w:pPr>
            <w:r w:rsidRPr="0067468A">
              <w:rPr>
                <w:color w:val="000000"/>
                <w:sz w:val="22"/>
                <w:szCs w:val="22"/>
              </w:rPr>
              <w:t>Storm Protection Plan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jc w:val="right"/>
              <w:rPr>
                <w:sz w:val="22"/>
                <w:szCs w:val="22"/>
              </w:rPr>
            </w:pPr>
            <w:r>
              <w:rPr>
                <w:sz w:val="22"/>
                <w:szCs w:val="22"/>
              </w:rPr>
              <w:t>6.58</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6.58</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sidRPr="0067468A">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0.0</w:t>
            </w:r>
            <w:r w:rsidRPr="0067468A">
              <w:rPr>
                <w:color w:val="000000"/>
                <w:sz w:val="22"/>
                <w:szCs w:val="22"/>
              </w:rPr>
              <w:t>%</w:t>
            </w:r>
          </w:p>
        </w:tc>
      </w:tr>
      <w:tr w:rsidR="006856EE" w:rsidTr="00CC7801">
        <w:trPr>
          <w:trHeight w:val="300"/>
        </w:trPr>
        <w:tc>
          <w:tcPr>
            <w:tcW w:w="1860"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spacing w:line="276" w:lineRule="auto"/>
              <w:rPr>
                <w:color w:val="000000"/>
                <w:sz w:val="22"/>
                <w:szCs w:val="22"/>
              </w:rPr>
            </w:pPr>
            <w:r>
              <w:rPr>
                <w:color w:val="000000"/>
                <w:sz w:val="22"/>
                <w:szCs w:val="22"/>
              </w:rPr>
              <w:t>Clean Energy Transition Mechanism</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71954" w:rsidRDefault="006856EE" w:rsidP="00CC7801">
            <w:pPr>
              <w:spacing w:line="276" w:lineRule="auto"/>
              <w:jc w:val="right"/>
              <w:rPr>
                <w:sz w:val="22"/>
                <w:szCs w:val="22"/>
              </w:rPr>
            </w:pPr>
            <w:r w:rsidRPr="00D71954">
              <w:rPr>
                <w:sz w:val="22"/>
                <w:szCs w:val="22"/>
              </w:rPr>
              <w:t>4.30</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71954" w:rsidRDefault="006856EE" w:rsidP="00CC7801">
            <w:pPr>
              <w:autoSpaceDE w:val="0"/>
              <w:autoSpaceDN w:val="0"/>
              <w:spacing w:line="276" w:lineRule="auto"/>
              <w:jc w:val="right"/>
              <w:rPr>
                <w:color w:val="000000"/>
                <w:sz w:val="22"/>
                <w:szCs w:val="22"/>
              </w:rPr>
            </w:pPr>
            <w:r w:rsidRPr="00D71954">
              <w:rPr>
                <w:color w:val="000000"/>
                <w:sz w:val="22"/>
                <w:szCs w:val="22"/>
              </w:rPr>
              <w:t>4.30</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71954" w:rsidRDefault="006856EE" w:rsidP="00CC7801">
            <w:pPr>
              <w:autoSpaceDE w:val="0"/>
              <w:autoSpaceDN w:val="0"/>
              <w:spacing w:line="276" w:lineRule="auto"/>
              <w:jc w:val="right"/>
              <w:rPr>
                <w:color w:val="000000"/>
                <w:sz w:val="22"/>
                <w:szCs w:val="22"/>
              </w:rPr>
            </w:pPr>
            <w:r w:rsidRPr="00D71954">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6856EE" w:rsidRDefault="006856EE" w:rsidP="00CC7801">
            <w:pPr>
              <w:autoSpaceDE w:val="0"/>
              <w:autoSpaceDN w:val="0"/>
              <w:spacing w:line="276" w:lineRule="auto"/>
              <w:jc w:val="right"/>
              <w:rPr>
                <w:color w:val="000000"/>
                <w:sz w:val="22"/>
                <w:szCs w:val="22"/>
              </w:rPr>
            </w:pPr>
            <w:r>
              <w:rPr>
                <w:color w:val="000000"/>
                <w:sz w:val="22"/>
                <w:szCs w:val="22"/>
              </w:rPr>
              <w:t>0.0</w:t>
            </w:r>
            <w:r w:rsidRPr="0067468A">
              <w:rPr>
                <w:color w:val="000000"/>
                <w:sz w:val="22"/>
                <w:szCs w:val="22"/>
              </w:rPr>
              <w:t>%</w:t>
            </w:r>
          </w:p>
        </w:tc>
      </w:tr>
      <w:tr w:rsidR="006856EE" w:rsidTr="00CC7801">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rPr>
                <w:color w:val="000000"/>
                <w:sz w:val="22"/>
                <w:szCs w:val="22"/>
              </w:rPr>
            </w:pPr>
            <w:r w:rsidRPr="0067468A">
              <w:rPr>
                <w:color w:val="000000"/>
                <w:sz w:val="22"/>
                <w:szCs w:val="22"/>
              </w:rPr>
              <w:t>Storm</w:t>
            </w:r>
            <w:r>
              <w:rPr>
                <w:color w:val="000000"/>
                <w:sz w:val="22"/>
                <w:szCs w:val="22"/>
              </w:rPr>
              <w:t xml:space="preserve"> Restoration </w:t>
            </w:r>
            <w:r w:rsidRPr="0067468A">
              <w:rPr>
                <w:color w:val="000000"/>
                <w:sz w:val="22"/>
                <w:szCs w:val="22"/>
              </w:rPr>
              <w:t>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6856EE" w:rsidRPr="00D71954" w:rsidRDefault="006856EE" w:rsidP="00CC7801">
            <w:pPr>
              <w:spacing w:line="276" w:lineRule="auto"/>
              <w:jc w:val="right"/>
              <w:rPr>
                <w:sz w:val="22"/>
                <w:szCs w:val="22"/>
                <w:u w:val="single"/>
              </w:rPr>
            </w:pPr>
            <w:r w:rsidRPr="00D71954">
              <w:rPr>
                <w:sz w:val="22"/>
                <w:szCs w:val="22"/>
                <w:u w:val="single"/>
              </w:rPr>
              <w:t>2.19</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71954" w:rsidRDefault="006856EE" w:rsidP="00CC7801">
            <w:pPr>
              <w:autoSpaceDE w:val="0"/>
              <w:autoSpaceDN w:val="0"/>
              <w:spacing w:line="276" w:lineRule="auto"/>
              <w:jc w:val="right"/>
              <w:rPr>
                <w:color w:val="000000"/>
                <w:sz w:val="22"/>
                <w:szCs w:val="22"/>
                <w:u w:val="single"/>
              </w:rPr>
            </w:pPr>
            <w:r w:rsidRPr="00D71954">
              <w:rPr>
                <w:color w:val="000000"/>
                <w:sz w:val="22"/>
                <w:szCs w:val="22"/>
                <w:u w:val="single"/>
              </w:rPr>
              <w:t>2.19</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71954" w:rsidRDefault="006856EE" w:rsidP="00CC7801">
            <w:pPr>
              <w:autoSpaceDE w:val="0"/>
              <w:autoSpaceDN w:val="0"/>
              <w:spacing w:line="276" w:lineRule="auto"/>
              <w:jc w:val="right"/>
              <w:rPr>
                <w:color w:val="000000"/>
                <w:sz w:val="22"/>
                <w:szCs w:val="22"/>
                <w:u w:val="single"/>
              </w:rPr>
            </w:pPr>
            <w:r w:rsidRPr="00D71954">
              <w:rPr>
                <w:color w:val="000000"/>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autoSpaceDE w:val="0"/>
              <w:autoSpaceDN w:val="0"/>
              <w:spacing w:line="276" w:lineRule="auto"/>
              <w:jc w:val="right"/>
              <w:rPr>
                <w:color w:val="000000"/>
                <w:sz w:val="22"/>
                <w:szCs w:val="22"/>
              </w:rPr>
            </w:pPr>
            <w:r>
              <w:rPr>
                <w:color w:val="000000"/>
                <w:sz w:val="22"/>
                <w:szCs w:val="22"/>
              </w:rPr>
              <w:t>0.0</w:t>
            </w:r>
            <w:r w:rsidRPr="0067468A">
              <w:rPr>
                <w:color w:val="000000"/>
                <w:sz w:val="22"/>
                <w:szCs w:val="22"/>
              </w:rPr>
              <w:t>%</w:t>
            </w:r>
          </w:p>
        </w:tc>
      </w:tr>
      <w:tr w:rsidR="006856EE" w:rsidTr="00CC7801">
        <w:trPr>
          <w:trHeight w:val="269"/>
        </w:trPr>
        <w:tc>
          <w:tcPr>
            <w:tcW w:w="1860"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rPr>
                <w:color w:val="000000"/>
                <w:sz w:val="22"/>
                <w:szCs w:val="22"/>
                <w:highlight w:val="yellow"/>
              </w:rPr>
            </w:pPr>
            <w:r w:rsidRPr="0067468A">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vAlign w:val="bottom"/>
            <w:hideMark/>
          </w:tcPr>
          <w:p w:rsidR="006856EE" w:rsidRPr="0067468A" w:rsidRDefault="006856EE" w:rsidP="00CC7801">
            <w:pPr>
              <w:spacing w:line="276" w:lineRule="auto"/>
              <w:jc w:val="right"/>
              <w:rPr>
                <w:sz w:val="22"/>
                <w:szCs w:val="22"/>
                <w:u w:val="single"/>
              </w:rPr>
            </w:pPr>
            <w:r>
              <w:rPr>
                <w:sz w:val="22"/>
                <w:szCs w:val="22"/>
                <w:u w:val="single"/>
              </w:rPr>
              <w:t>3.59</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34F0B" w:rsidRDefault="006856EE" w:rsidP="00CC7801">
            <w:pPr>
              <w:autoSpaceDE w:val="0"/>
              <w:autoSpaceDN w:val="0"/>
              <w:spacing w:line="276" w:lineRule="auto"/>
              <w:jc w:val="right"/>
              <w:rPr>
                <w:color w:val="000000"/>
                <w:sz w:val="22"/>
                <w:szCs w:val="22"/>
                <w:u w:val="single"/>
              </w:rPr>
            </w:pPr>
            <w:r w:rsidRPr="00D34F0B">
              <w:rPr>
                <w:color w:val="000000"/>
                <w:sz w:val="22"/>
                <w:szCs w:val="22"/>
                <w:u w:val="single"/>
              </w:rPr>
              <w:t>3.30</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34F0B" w:rsidRDefault="006856EE" w:rsidP="00CC7801">
            <w:pPr>
              <w:autoSpaceDE w:val="0"/>
              <w:autoSpaceDN w:val="0"/>
              <w:spacing w:line="276" w:lineRule="auto"/>
              <w:jc w:val="right"/>
              <w:rPr>
                <w:color w:val="000000"/>
                <w:sz w:val="22"/>
                <w:szCs w:val="22"/>
                <w:u w:val="single"/>
              </w:rPr>
            </w:pPr>
            <w:r w:rsidRPr="00D34F0B">
              <w:rPr>
                <w:color w:val="000000"/>
                <w:sz w:val="22"/>
                <w:szCs w:val="22"/>
                <w:u w:val="single"/>
              </w:rPr>
              <w:t>(0.29)</w:t>
            </w:r>
          </w:p>
        </w:tc>
        <w:tc>
          <w:tcPr>
            <w:tcW w:w="743" w:type="pct"/>
            <w:tcBorders>
              <w:top w:val="single" w:sz="4" w:space="0" w:color="auto"/>
              <w:left w:val="single" w:sz="4" w:space="0" w:color="auto"/>
              <w:bottom w:val="single" w:sz="4" w:space="0" w:color="auto"/>
              <w:right w:val="single" w:sz="4" w:space="0" w:color="auto"/>
            </w:tcBorders>
            <w:vAlign w:val="bottom"/>
          </w:tcPr>
          <w:p w:rsidR="006856EE" w:rsidRPr="00D34F0B" w:rsidRDefault="006856EE" w:rsidP="00CC7801">
            <w:pPr>
              <w:autoSpaceDE w:val="0"/>
              <w:autoSpaceDN w:val="0"/>
              <w:spacing w:line="276" w:lineRule="auto"/>
              <w:jc w:val="right"/>
              <w:rPr>
                <w:color w:val="000000"/>
                <w:sz w:val="22"/>
                <w:szCs w:val="22"/>
              </w:rPr>
            </w:pPr>
            <w:r w:rsidRPr="00D34F0B">
              <w:rPr>
                <w:color w:val="000000"/>
                <w:sz w:val="22"/>
                <w:szCs w:val="22"/>
              </w:rPr>
              <w:t>(8.1%)</w:t>
            </w:r>
          </w:p>
        </w:tc>
      </w:tr>
      <w:tr w:rsidR="006856EE" w:rsidTr="00CC7801">
        <w:trPr>
          <w:trHeight w:val="322"/>
        </w:trPr>
        <w:tc>
          <w:tcPr>
            <w:tcW w:w="1860" w:type="pct"/>
            <w:tcBorders>
              <w:top w:val="single" w:sz="4" w:space="0" w:color="auto"/>
              <w:left w:val="single" w:sz="4" w:space="0" w:color="auto"/>
              <w:bottom w:val="single" w:sz="4" w:space="0" w:color="auto"/>
              <w:right w:val="single" w:sz="4" w:space="0" w:color="auto"/>
            </w:tcBorders>
            <w:vAlign w:val="bottom"/>
          </w:tcPr>
          <w:p w:rsidR="006856EE" w:rsidRPr="0067468A" w:rsidRDefault="006856EE" w:rsidP="00CC7801">
            <w:pPr>
              <w:spacing w:line="276" w:lineRule="auto"/>
              <w:rPr>
                <w:b/>
                <w:bCs/>
                <w:color w:val="000000"/>
                <w:sz w:val="22"/>
                <w:szCs w:val="22"/>
                <w:highlight w:val="yellow"/>
              </w:rPr>
            </w:pPr>
            <w:r w:rsidRPr="0067468A">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3A6E97" w:rsidRDefault="006856EE" w:rsidP="00CC7801">
            <w:pPr>
              <w:spacing w:line="276" w:lineRule="auto"/>
              <w:jc w:val="right"/>
              <w:rPr>
                <w:color w:val="000000"/>
                <w:sz w:val="22"/>
                <w:szCs w:val="22"/>
                <w:u w:val="double"/>
              </w:rPr>
            </w:pPr>
            <w:r>
              <w:rPr>
                <w:color w:val="000000"/>
                <w:sz w:val="22"/>
                <w:szCs w:val="22"/>
                <w:u w:val="double"/>
              </w:rPr>
              <w:t>$143.48</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34F0B" w:rsidRDefault="006856EE" w:rsidP="00CC7801">
            <w:pPr>
              <w:autoSpaceDE w:val="0"/>
              <w:autoSpaceDN w:val="0"/>
              <w:spacing w:line="276" w:lineRule="auto"/>
              <w:jc w:val="right"/>
              <w:rPr>
                <w:color w:val="000000"/>
                <w:sz w:val="22"/>
                <w:szCs w:val="22"/>
                <w:u w:val="double"/>
              </w:rPr>
            </w:pPr>
            <w:r w:rsidRPr="00D34F0B">
              <w:rPr>
                <w:color w:val="000000"/>
                <w:sz w:val="22"/>
                <w:szCs w:val="22"/>
                <w:u w:val="double"/>
              </w:rPr>
              <w:t>$131.93</w:t>
            </w:r>
          </w:p>
        </w:tc>
        <w:tc>
          <w:tcPr>
            <w:tcW w:w="799" w:type="pct"/>
            <w:tcBorders>
              <w:top w:val="single" w:sz="4" w:space="0" w:color="auto"/>
              <w:left w:val="single" w:sz="4" w:space="0" w:color="auto"/>
              <w:bottom w:val="single" w:sz="4" w:space="0" w:color="auto"/>
              <w:right w:val="single" w:sz="4" w:space="0" w:color="auto"/>
            </w:tcBorders>
            <w:vAlign w:val="bottom"/>
          </w:tcPr>
          <w:p w:rsidR="006856EE" w:rsidRPr="00D34F0B" w:rsidRDefault="006856EE" w:rsidP="00CC7801">
            <w:pPr>
              <w:autoSpaceDE w:val="0"/>
              <w:autoSpaceDN w:val="0"/>
              <w:spacing w:line="276" w:lineRule="auto"/>
              <w:jc w:val="right"/>
              <w:rPr>
                <w:color w:val="000000"/>
                <w:sz w:val="22"/>
                <w:szCs w:val="22"/>
                <w:u w:val="double"/>
              </w:rPr>
            </w:pPr>
            <w:r w:rsidRPr="00D34F0B">
              <w:rPr>
                <w:color w:val="000000"/>
                <w:sz w:val="22"/>
                <w:szCs w:val="22"/>
                <w:u w:val="double"/>
              </w:rPr>
              <w:t>($11.55)</w:t>
            </w:r>
          </w:p>
        </w:tc>
        <w:tc>
          <w:tcPr>
            <w:tcW w:w="743" w:type="pct"/>
            <w:tcBorders>
              <w:top w:val="single" w:sz="4" w:space="0" w:color="auto"/>
              <w:left w:val="single" w:sz="4" w:space="0" w:color="auto"/>
              <w:bottom w:val="single" w:sz="4" w:space="0" w:color="auto"/>
              <w:right w:val="single" w:sz="4" w:space="0" w:color="auto"/>
            </w:tcBorders>
            <w:vAlign w:val="bottom"/>
          </w:tcPr>
          <w:p w:rsidR="006856EE" w:rsidRPr="00D34F0B" w:rsidRDefault="006856EE" w:rsidP="00CC7801">
            <w:pPr>
              <w:autoSpaceDE w:val="0"/>
              <w:autoSpaceDN w:val="0"/>
              <w:spacing w:line="276" w:lineRule="auto"/>
              <w:jc w:val="right"/>
              <w:rPr>
                <w:color w:val="000000"/>
                <w:sz w:val="22"/>
                <w:szCs w:val="22"/>
              </w:rPr>
            </w:pPr>
            <w:r w:rsidRPr="00D34F0B">
              <w:rPr>
                <w:color w:val="000000"/>
                <w:sz w:val="22"/>
                <w:szCs w:val="22"/>
              </w:rPr>
              <w:t>(8.0%)</w:t>
            </w:r>
          </w:p>
        </w:tc>
      </w:tr>
    </w:tbl>
    <w:p w:rsidR="006856EE" w:rsidRDefault="006856EE" w:rsidP="006856EE">
      <w:pPr>
        <w:pStyle w:val="FootnoteText"/>
      </w:pPr>
      <w:r>
        <w:t xml:space="preserve">Source: Document No. </w:t>
      </w:r>
      <w:r w:rsidRPr="00D34F0B">
        <w:t>01648-2024.</w:t>
      </w:r>
    </w:p>
    <w:p w:rsidR="00A95ED8" w:rsidRDefault="00A95ED8" w:rsidP="006856EE">
      <w:pPr>
        <w:pStyle w:val="FootnoteText"/>
      </w:pPr>
    </w:p>
    <w:p w:rsidR="006856EE" w:rsidRDefault="006856EE" w:rsidP="008E4391">
      <w:pPr>
        <w:pStyle w:val="BodyText"/>
        <w:spacing w:after="0"/>
      </w:pPr>
      <w:r w:rsidRPr="006856EE">
        <w:t xml:space="preserve">TECO’s proposed fuel </w:t>
      </w:r>
      <w:r w:rsidR="00B53E64">
        <w:t xml:space="preserve">charge decrease results in a residential fuel charge, </w:t>
      </w:r>
      <w:r w:rsidRPr="006856EE">
        <w:t xml:space="preserve">i.e., residential charge for the </w:t>
      </w:r>
      <w:r w:rsidR="00B53E64">
        <w:t>first 1,000 kWh of energy sales,</w:t>
      </w:r>
      <w:r w:rsidRPr="006856EE">
        <w:t xml:space="preserve"> of 2.850 cents per kWh. This factor produces a corresponding monthly fuel charge of $28.50. With respect to the </w:t>
      </w:r>
      <w:r w:rsidR="001004E0">
        <w:t>optional period</w:t>
      </w:r>
      <w:r w:rsidR="00B53E64">
        <w:t xml:space="preserve"> scenario, the associated </w:t>
      </w:r>
      <w:r w:rsidRPr="006856EE">
        <w:t>residential factor would be 2.410 cents per kWh.</w:t>
      </w:r>
      <w:r w:rsidRPr="006856EE">
        <w:rPr>
          <w:vertAlign w:val="superscript"/>
        </w:rPr>
        <w:footnoteReference w:id="29"/>
      </w:r>
      <w:r w:rsidRPr="006856EE">
        <w:t xml:space="preserve"> This would result in a fuel charge of $24.10 for the first 1,000 kWh of energy usage. The estimated decrease in the monthly first-tier residential fuel charge under this scenario is approximately $11.26 (opposed to the as-filed proposal of $6.86), </w:t>
      </w:r>
      <w:r w:rsidR="004D023B">
        <w:t>or going from $35.36 to $24.10.</w:t>
      </w:r>
      <w:r w:rsidR="00D47DDD">
        <w:t xml:space="preserve"> In percentage terms, the total bill decrease would be approximately 8.0 percent under the optional period scenario. </w:t>
      </w:r>
    </w:p>
    <w:p w:rsidR="008E4391" w:rsidRPr="006856EE" w:rsidRDefault="008E4391" w:rsidP="008E4391">
      <w:pPr>
        <w:pStyle w:val="BodyText"/>
        <w:spacing w:after="0"/>
      </w:pPr>
    </w:p>
    <w:p w:rsidR="00300CE6" w:rsidRDefault="006856EE" w:rsidP="008E4391">
      <w:pPr>
        <w:pStyle w:val="BodyText"/>
        <w:spacing w:after="0"/>
      </w:pPr>
      <w:r w:rsidRPr="006856EE">
        <w:t xml:space="preserve">For non-residential </w:t>
      </w:r>
      <w:r w:rsidR="00B53E64">
        <w:t>customers</w:t>
      </w:r>
      <w:r w:rsidRPr="006856EE">
        <w:t>, based on average levels of usage and specific rate schedules, TECO reported that bill decreases for General Service customers would range from approximately 6.9 to 7.8 percent, and for General Service demand customers, decreases would range from approximately 12.8 to 18.0 percent.</w:t>
      </w:r>
      <w:r w:rsidRPr="006856EE">
        <w:rPr>
          <w:vertAlign w:val="superscript"/>
        </w:rPr>
        <w:footnoteReference w:id="30"/>
      </w:r>
      <w:r w:rsidRPr="006856EE">
        <w:t xml:space="preserve"> </w:t>
      </w:r>
    </w:p>
    <w:p w:rsidR="008E4391" w:rsidRDefault="008E4391" w:rsidP="008E4391">
      <w:pPr>
        <w:pStyle w:val="BodyText"/>
        <w:spacing w:after="0"/>
      </w:pPr>
    </w:p>
    <w:p w:rsidR="006856EE" w:rsidRDefault="006856EE" w:rsidP="008E4391">
      <w:pPr>
        <w:pStyle w:val="BodyText"/>
        <w:spacing w:after="0"/>
      </w:pPr>
      <w:r w:rsidRPr="006856EE">
        <w:t xml:space="preserve">The hypothetical tariff associated with the </w:t>
      </w:r>
      <w:r w:rsidR="001004E0">
        <w:t>optional period</w:t>
      </w:r>
      <w:r w:rsidRPr="006856EE">
        <w:t xml:space="preserve"> scenario was provided in response to Staff’s First Data Request, No. 11.</w:t>
      </w:r>
      <w:r w:rsidRPr="006856EE">
        <w:rPr>
          <w:vertAlign w:val="superscript"/>
        </w:rPr>
        <w:footnoteReference w:id="31"/>
      </w:r>
      <w:r w:rsidRPr="006856EE">
        <w:t xml:space="preserve"> </w:t>
      </w:r>
      <w:r w:rsidR="00B713BE" w:rsidRPr="00B713BE">
        <w:t>However, the tariff was not included as an attachment to this recommendation</w:t>
      </w:r>
      <w:r w:rsidRPr="006856EE">
        <w:t>.</w:t>
      </w:r>
    </w:p>
    <w:p w:rsidR="00BB72B6" w:rsidRDefault="00BB72B6" w:rsidP="006856EE">
      <w:pPr>
        <w:pStyle w:val="BodyText"/>
      </w:pPr>
    </w:p>
    <w:p w:rsidR="008E4391" w:rsidRPr="006856EE" w:rsidRDefault="008E4391" w:rsidP="006856EE">
      <w:pPr>
        <w:pStyle w:val="BodyText"/>
      </w:pPr>
    </w:p>
    <w:p w:rsidR="006856EE" w:rsidRPr="001828A2" w:rsidRDefault="001828A2" w:rsidP="001828A2">
      <w:pPr>
        <w:pStyle w:val="First-LevelSubheading"/>
        <w:rPr>
          <w:i/>
        </w:rPr>
      </w:pPr>
      <w:r w:rsidRPr="001828A2">
        <w:rPr>
          <w:i/>
        </w:rPr>
        <w:lastRenderedPageBreak/>
        <w:t>Summary</w:t>
      </w:r>
    </w:p>
    <w:p w:rsidR="001828A2" w:rsidRDefault="001828A2" w:rsidP="00964C27">
      <w:pPr>
        <w:pStyle w:val="BodyText"/>
        <w:spacing w:after="0"/>
      </w:pPr>
      <w:r w:rsidRPr="001828A2">
        <w:t>TECO’s MCC Petition indicates a need for its fuel cost recovery factors to be revised. More specifically, the Company’s underlying 2024 projected fuel-related revenue requirement has been reduced by $107,520,994. Additionally, the Company proposes to incorporate its</w:t>
      </w:r>
      <w:r w:rsidR="009F114E">
        <w:t xml:space="preserve"> </w:t>
      </w:r>
      <w:r w:rsidR="009F114E" w:rsidRPr="009F114E">
        <w:t>2023</w:t>
      </w:r>
      <w:r w:rsidRPr="001828A2">
        <w:t xml:space="preserve"> period-specifi</w:t>
      </w:r>
      <w:r w:rsidR="00592581">
        <w:t>c final over-recovery</w:t>
      </w:r>
      <w:r w:rsidRPr="001828A2">
        <w:t xml:space="preserve"> of $30,397,837 into the current period. Thus, TECO’s current fuel cost re</w:t>
      </w:r>
      <w:r w:rsidRPr="00F9132B">
        <w:t>covery factors should be reduced by $137,918,831</w:t>
      </w:r>
      <w:r w:rsidR="004E27DF">
        <w:t>.</w:t>
      </w:r>
      <w:r w:rsidR="004E27DF" w:rsidRPr="004E27DF">
        <w:t xml:space="preserve"> Sales from June 2024 through May 2025 should be used to develop th</w:t>
      </w:r>
      <w:r w:rsidR="004E27DF">
        <w:t>e revised/mid-course correction</w:t>
      </w:r>
      <w:r w:rsidR="00B53E64">
        <w:t xml:space="preserve"> fuel</w:t>
      </w:r>
      <w:r w:rsidR="004E27DF">
        <w:t xml:space="preserve"> factors</w:t>
      </w:r>
      <w:r w:rsidR="00F9132B" w:rsidRPr="00F9132B">
        <w:t>.</w:t>
      </w:r>
      <w:r w:rsidRPr="00F9132B">
        <w:t xml:space="preserve"> </w:t>
      </w:r>
      <w:r w:rsidR="00B713BE" w:rsidRPr="00F9132B">
        <w:t>T</w:t>
      </w:r>
      <w:r w:rsidR="00A95ED8" w:rsidRPr="00F9132B">
        <w:t>he</w:t>
      </w:r>
      <w:r w:rsidR="00592581" w:rsidRPr="00F9132B">
        <w:t xml:space="preserve"> revised fuel cost recovery factors associated with staff’s recommendation are shown on Appendix A.</w:t>
      </w:r>
    </w:p>
    <w:p w:rsidR="00964C27" w:rsidRPr="001828A2" w:rsidRDefault="00964C27" w:rsidP="00964C27">
      <w:pPr>
        <w:pStyle w:val="BodyText"/>
        <w:spacing w:after="0"/>
      </w:pPr>
    </w:p>
    <w:p w:rsidR="001828A2" w:rsidRDefault="001828A2" w:rsidP="00964C27">
      <w:pPr>
        <w:pStyle w:val="First-LevelSubheading"/>
      </w:pPr>
      <w:r w:rsidRPr="001828A2">
        <w:t>Conclusion</w:t>
      </w:r>
    </w:p>
    <w:p w:rsidR="001828A2" w:rsidRDefault="001828A2">
      <w:pPr>
        <w:pStyle w:val="BodyText"/>
      </w:pPr>
      <w:r w:rsidRPr="001828A2">
        <w:t>Staff recommends the Commission authorize adjustments to TECO’s fuel cost recovery factors for the purpose of incorp</w:t>
      </w:r>
      <w:r w:rsidR="00F9132B">
        <w:t xml:space="preserve">orating the Company’s currently </w:t>
      </w:r>
      <w:r w:rsidRPr="001828A2">
        <w:t>projected net 2024 fuel cost reduction. Accordingly, TECO’s currently</w:t>
      </w:r>
      <w:r w:rsidR="00F9132B">
        <w:t xml:space="preserve"> </w:t>
      </w:r>
      <w:r w:rsidRPr="001828A2">
        <w:t>authorized 2024 fuel cost recovery factors should be reduced by $137,918,831.</w:t>
      </w:r>
    </w:p>
    <w:p w:rsidR="00E06484" w:rsidRDefault="00E06484" w:rsidP="00E275D8">
      <w:pPr>
        <w:pStyle w:val="BodyText"/>
      </w:pPr>
    </w:p>
    <w:p w:rsidR="006856EE" w:rsidRDefault="006856EE" w:rsidP="00E275D8">
      <w:pPr>
        <w:pStyle w:val="BodyText"/>
      </w:pPr>
    </w:p>
    <w:p w:rsidR="001828A2" w:rsidRDefault="001828A2">
      <w:pPr>
        <w:pStyle w:val="IssueHeading"/>
        <w:rPr>
          <w:vanish/>
          <w:specVanish/>
        </w:rPr>
      </w:pPr>
      <w:r w:rsidRPr="004C3641">
        <w:rPr>
          <w:b w:val="0"/>
          <w:i w:val="0"/>
        </w:rPr>
        <w:br w:type="page"/>
      </w:r>
      <w:r w:rsidRPr="004C3641">
        <w:lastRenderedPageBreak/>
        <w:t xml:space="preserve">Issue </w:t>
      </w:r>
      <w:fldSimple w:instr=" SEQ Issue \* MERGEFORMAT ">
        <w:r w:rsidR="001609D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609DD">
        <w:rPr>
          <w:noProof/>
        </w:rPr>
        <w:instrText>2</w:instrText>
      </w:r>
      <w:r>
        <w:fldChar w:fldCharType="end"/>
      </w:r>
      <w:r>
        <w:tab/>
        <w:instrText xml:space="preserve">(Zaslow, Hampson, Brownless)" \l 1 </w:instrText>
      </w:r>
      <w:r>
        <w:fldChar w:fldCharType="end"/>
      </w:r>
      <w:r>
        <w:t> </w:t>
      </w:r>
    </w:p>
    <w:p w:rsidR="001828A2" w:rsidRDefault="001828A2">
      <w:pPr>
        <w:pStyle w:val="BodyText"/>
      </w:pPr>
      <w:r>
        <w:t> If approved by the Commission, what is the appr</w:t>
      </w:r>
      <w:r w:rsidR="00FC0632">
        <w:t>opriate effective date for TECO’</w:t>
      </w:r>
      <w:r>
        <w:t>s revised fuel cost recovery factors?</w:t>
      </w:r>
    </w:p>
    <w:p w:rsidR="001828A2" w:rsidRPr="004C3641" w:rsidRDefault="001828A2">
      <w:pPr>
        <w:pStyle w:val="IssueSubsectionHeading"/>
        <w:rPr>
          <w:vanish/>
          <w:specVanish/>
        </w:rPr>
      </w:pPr>
      <w:r w:rsidRPr="004C3641">
        <w:t>Recommendation: </w:t>
      </w:r>
    </w:p>
    <w:p w:rsidR="001828A2" w:rsidRDefault="001828A2">
      <w:pPr>
        <w:pStyle w:val="BodyText"/>
      </w:pPr>
      <w:r>
        <w:t> </w:t>
      </w:r>
      <w:r w:rsidRPr="001828A2">
        <w:t>The fuel cost recovery factors, as shown on Appendix A, should become effective with the first billing cycle of June 2024.</w:t>
      </w:r>
      <w:r w:rsidR="00FC0632">
        <w:t xml:space="preserve"> (</w:t>
      </w:r>
      <w:r w:rsidR="00023E09">
        <w:t xml:space="preserve">P. Kelley, </w:t>
      </w:r>
      <w:r>
        <w:t xml:space="preserve">Hampson, </w:t>
      </w:r>
      <w:proofErr w:type="spellStart"/>
      <w:r>
        <w:t>Brownless</w:t>
      </w:r>
      <w:proofErr w:type="spellEnd"/>
      <w:r w:rsidR="00AC5870">
        <w:t>, Sandy</w:t>
      </w:r>
      <w:r>
        <w:t>)</w:t>
      </w:r>
    </w:p>
    <w:p w:rsidR="001828A2" w:rsidRPr="004C3641" w:rsidRDefault="001828A2">
      <w:pPr>
        <w:pStyle w:val="IssueSubsectionHeading"/>
        <w:rPr>
          <w:vanish/>
          <w:specVanish/>
        </w:rPr>
      </w:pPr>
      <w:r w:rsidRPr="004C3641">
        <w:t>Staff Analysis: </w:t>
      </w:r>
    </w:p>
    <w:p w:rsidR="00050328" w:rsidRDefault="001828A2" w:rsidP="00964C27">
      <w:pPr>
        <w:pStyle w:val="BodyText"/>
        <w:spacing w:after="0"/>
      </w:pPr>
      <w:r>
        <w:t> </w:t>
      </w:r>
      <w:r w:rsidRPr="001828A2">
        <w:t>Over the last 20 years in the Fuel Clause docket, the Commission has considered the effective date of rates and charges of revised fuel cost factors on a case-by-case basis. The Commission has approved rate decreases to be effective less than 30 days after the date of the Commission vote because the rate decrease was in the customers’ best interest to be implemented as soon as possible.</w:t>
      </w:r>
      <w:r w:rsidRPr="001828A2">
        <w:rPr>
          <w:vertAlign w:val="superscript"/>
        </w:rPr>
        <w:footnoteReference w:id="32"/>
      </w:r>
      <w:r w:rsidRPr="001828A2">
        <w:t xml:space="preserve"> In its MCC Petition, TECO proposes to decrease its 2024 fuel factors beginning with the first billing cycle of June 2024. </w:t>
      </w:r>
    </w:p>
    <w:p w:rsidR="00050328" w:rsidRDefault="00050328" w:rsidP="00964C27">
      <w:pPr>
        <w:pStyle w:val="BodyText"/>
        <w:spacing w:after="0"/>
      </w:pPr>
    </w:p>
    <w:p w:rsidR="001828A2" w:rsidRDefault="001828A2" w:rsidP="00964C27">
      <w:pPr>
        <w:pStyle w:val="BodyText"/>
        <w:spacing w:after="0"/>
      </w:pPr>
      <w:r w:rsidRPr="001828A2">
        <w:t>In response to Staff’s First Data Request, TECO state</w:t>
      </w:r>
      <w:r w:rsidR="00B53E64">
        <w:t>d that it would</w:t>
      </w:r>
      <w:r w:rsidR="00BD5D25">
        <w:t xml:space="preserve"> </w:t>
      </w:r>
      <w:r w:rsidR="00B53E64">
        <w:t>-</w:t>
      </w:r>
      <w:r w:rsidR="00D920F7">
        <w:t xml:space="preserve"> contingent on C</w:t>
      </w:r>
      <w:r w:rsidR="00B53E64">
        <w:t>ommission approval</w:t>
      </w:r>
      <w:r w:rsidR="00BD5D25">
        <w:t xml:space="preserve"> </w:t>
      </w:r>
      <w:r w:rsidR="00B53E64">
        <w:t>-</w:t>
      </w:r>
      <w:r w:rsidRPr="001828A2">
        <w:t xml:space="preserve"> include a message on</w:t>
      </w:r>
      <w:r w:rsidR="00B53E64">
        <w:t xml:space="preserve"> May</w:t>
      </w:r>
      <w:r w:rsidRPr="001828A2">
        <w:t xml:space="preserve"> customer bills explaining that the </w:t>
      </w:r>
      <w:r w:rsidR="004F155F">
        <w:t>Company</w:t>
      </w:r>
      <w:r w:rsidRPr="00050328">
        <w:t>’s proposed rate decrease is set to begin in June billing cycle.</w:t>
      </w:r>
      <w:r w:rsidRPr="00050328">
        <w:rPr>
          <w:vertAlign w:val="superscript"/>
        </w:rPr>
        <w:footnoteReference w:id="33"/>
      </w:r>
      <w:r w:rsidR="00D920F7" w:rsidRPr="00050328">
        <w:t xml:space="preserve"> </w:t>
      </w:r>
      <w:r w:rsidR="00DE1687" w:rsidRPr="00050328">
        <w:t>Following the</w:t>
      </w:r>
      <w:r w:rsidR="00D920F7" w:rsidRPr="00050328">
        <w:t xml:space="preserve"> Commission</w:t>
      </w:r>
      <w:r w:rsidR="00DE1687" w:rsidRPr="00050328">
        <w:t>’s</w:t>
      </w:r>
      <w:r w:rsidR="00D920F7" w:rsidRPr="00050328">
        <w:t xml:space="preserve"> </w:t>
      </w:r>
      <w:r w:rsidR="00DE1687" w:rsidRPr="00050328">
        <w:t>determination on this matter</w:t>
      </w:r>
      <w:r w:rsidR="002949D9" w:rsidRPr="00050328">
        <w:t>, TECO will update</w:t>
      </w:r>
      <w:r w:rsidR="00583FD2">
        <w:t xml:space="preserve"> its</w:t>
      </w:r>
      <w:r w:rsidR="00DE1687" w:rsidRPr="00050328">
        <w:t xml:space="preserve"> bill </w:t>
      </w:r>
      <w:r w:rsidR="002949D9" w:rsidRPr="00050328">
        <w:t xml:space="preserve">notices </w:t>
      </w:r>
      <w:r w:rsidR="00DE1687" w:rsidRPr="00050328">
        <w:t>inform</w:t>
      </w:r>
      <w:r w:rsidR="002949D9" w:rsidRPr="00050328">
        <w:t xml:space="preserve">ing </w:t>
      </w:r>
      <w:r w:rsidR="00D920F7" w:rsidRPr="00050328">
        <w:t>customers o</w:t>
      </w:r>
      <w:r w:rsidR="002949D9" w:rsidRPr="00050328">
        <w:t>f</w:t>
      </w:r>
      <w:r w:rsidR="00DE1687" w:rsidRPr="00050328">
        <w:t xml:space="preserve"> the </w:t>
      </w:r>
      <w:r w:rsidR="008E779F" w:rsidRPr="00050328">
        <w:t xml:space="preserve">forthcoming </w:t>
      </w:r>
      <w:r w:rsidR="00DE1687" w:rsidRPr="00050328">
        <w:t>rate</w:t>
      </w:r>
      <w:r w:rsidR="00D920F7" w:rsidRPr="00050328">
        <w:t xml:space="preserve"> changes.</w:t>
      </w:r>
      <w:r w:rsidR="00050328" w:rsidRPr="00050328">
        <w:t xml:space="preserve"> T</w:t>
      </w:r>
      <w:r w:rsidRPr="00050328">
        <w:t>he</w:t>
      </w:r>
      <w:r w:rsidRPr="001828A2">
        <w:t xml:space="preserve"> Company has </w:t>
      </w:r>
      <w:r w:rsidR="00050328">
        <w:t xml:space="preserve">also </w:t>
      </w:r>
      <w:r w:rsidRPr="001828A2">
        <w:t xml:space="preserve">engaged in </w:t>
      </w:r>
      <w:r w:rsidR="00ED12EA">
        <w:t xml:space="preserve">several </w:t>
      </w:r>
      <w:r w:rsidR="00050328">
        <w:t xml:space="preserve">other </w:t>
      </w:r>
      <w:r w:rsidRPr="001828A2">
        <w:t>outreach efforts regarding the potential bill impacts of the proceeding. Specifically, TECO i</w:t>
      </w:r>
      <w:r w:rsidR="00583FD2">
        <w:t xml:space="preserve">ssued a press release on April </w:t>
      </w:r>
      <w:r w:rsidRPr="001828A2">
        <w:t xml:space="preserve">2, 2024, informing its customers of the potential adjustments related to the mid-course </w:t>
      </w:r>
      <w:r w:rsidR="00583FD2">
        <w:t>correction through the Company’s</w:t>
      </w:r>
      <w:r w:rsidRPr="001828A2">
        <w:t xml:space="preserve"> online media center</w:t>
      </w:r>
      <w:r w:rsidR="00AE5491">
        <w:t xml:space="preserve">. </w:t>
      </w:r>
      <w:r w:rsidR="00AE5491" w:rsidRPr="00583FD2">
        <w:t xml:space="preserve">The Company also separately contacted numerous </w:t>
      </w:r>
      <w:r w:rsidR="00583FD2" w:rsidRPr="00583FD2">
        <w:t xml:space="preserve">large </w:t>
      </w:r>
      <w:r w:rsidR="00B219DF">
        <w:t>account</w:t>
      </w:r>
      <w:r w:rsidR="00583FD2" w:rsidRPr="00583FD2">
        <w:t xml:space="preserve"> customers </w:t>
      </w:r>
      <w:r w:rsidR="00AE5491" w:rsidRPr="00583FD2">
        <w:t xml:space="preserve">via </w:t>
      </w:r>
      <w:r w:rsidR="00583FD2" w:rsidRPr="00583FD2">
        <w:t>telephone, voicemail, and email</w:t>
      </w:r>
      <w:r w:rsidR="00AE5491" w:rsidRPr="00583FD2">
        <w:t xml:space="preserve"> to inform them of the proposal and the potential impact.</w:t>
      </w:r>
      <w:r w:rsidRPr="00583FD2">
        <w:rPr>
          <w:vertAlign w:val="superscript"/>
        </w:rPr>
        <w:footnoteReference w:id="34"/>
      </w:r>
    </w:p>
    <w:p w:rsidR="00964C27" w:rsidRPr="001828A2" w:rsidRDefault="00964C27" w:rsidP="00964C27">
      <w:pPr>
        <w:pStyle w:val="BodyText"/>
        <w:spacing w:after="0"/>
      </w:pPr>
    </w:p>
    <w:p w:rsidR="001828A2" w:rsidRDefault="001828A2" w:rsidP="00964C27">
      <w:pPr>
        <w:pStyle w:val="First-LevelSubheading"/>
      </w:pPr>
      <w:r w:rsidRPr="001828A2">
        <w:t>Conclusion</w:t>
      </w:r>
    </w:p>
    <w:p w:rsidR="001828A2" w:rsidRPr="001828A2" w:rsidRDefault="001828A2" w:rsidP="00964C27">
      <w:pPr>
        <w:pStyle w:val="BodyText"/>
        <w:spacing w:after="0"/>
      </w:pPr>
      <w:r w:rsidRPr="001828A2">
        <w:t>Staff recommends that the fuel cost recovery factors, as shown on Appendix A, become effective with the first billing cycle of June 2024.</w:t>
      </w:r>
    </w:p>
    <w:p w:rsidR="008A7B0E" w:rsidRDefault="008A7B0E">
      <w:pPr>
        <w:pStyle w:val="IssueHeading"/>
        <w:rPr>
          <w:vanish/>
          <w:specVanish/>
        </w:rPr>
      </w:pPr>
      <w:r w:rsidRPr="004C3641">
        <w:rPr>
          <w:b w:val="0"/>
          <w:i w:val="0"/>
        </w:rPr>
        <w:br w:type="page"/>
      </w:r>
      <w:r w:rsidRPr="004C3641">
        <w:lastRenderedPageBreak/>
        <w:t xml:space="preserve">Issue </w:t>
      </w:r>
      <w:fldSimple w:instr=" SEQ Issue \* MERGEFORMAT ">
        <w:r w:rsidR="001609DD">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1609DD">
        <w:rPr>
          <w:noProof/>
        </w:rPr>
        <w:instrText>3</w:instrText>
      </w:r>
      <w:r>
        <w:fldChar w:fldCharType="end"/>
      </w:r>
      <w:r>
        <w:tab/>
        <w:instrText xml:space="preserve">(Brownless, Sandy)" \l 1 </w:instrText>
      </w:r>
      <w:r>
        <w:fldChar w:fldCharType="end"/>
      </w:r>
      <w:r>
        <w:t> </w:t>
      </w:r>
    </w:p>
    <w:p w:rsidR="008A7B0E" w:rsidRDefault="008A7B0E">
      <w:pPr>
        <w:pStyle w:val="BodyText"/>
      </w:pPr>
      <w:r>
        <w:t> Should this docket be closed?</w:t>
      </w:r>
    </w:p>
    <w:p w:rsidR="008A7B0E" w:rsidRPr="004C3641" w:rsidRDefault="008A7B0E">
      <w:pPr>
        <w:pStyle w:val="IssueSubsectionHeading"/>
        <w:rPr>
          <w:vanish/>
          <w:specVanish/>
        </w:rPr>
      </w:pPr>
      <w:r w:rsidRPr="004C3641">
        <w:t>Recommendation: </w:t>
      </w:r>
    </w:p>
    <w:p w:rsidR="008A7B0E" w:rsidRDefault="008A7B0E">
      <w:pPr>
        <w:pStyle w:val="BodyText"/>
      </w:pPr>
      <w:r>
        <w:t> </w:t>
      </w:r>
      <w:r w:rsidRPr="008A7B0E">
        <w:t>No. The 20240001-EI docket is an on-going proceeding and should remain open.</w:t>
      </w:r>
      <w:r>
        <w:t xml:space="preserve"> (</w:t>
      </w:r>
      <w:proofErr w:type="spellStart"/>
      <w:r>
        <w:t>Brownless</w:t>
      </w:r>
      <w:proofErr w:type="spellEnd"/>
      <w:r>
        <w:t>, Sandy)</w:t>
      </w:r>
    </w:p>
    <w:p w:rsidR="008A7B0E" w:rsidRPr="004C3641" w:rsidRDefault="008A7B0E">
      <w:pPr>
        <w:pStyle w:val="IssueSubsectionHeading"/>
        <w:rPr>
          <w:vanish/>
          <w:specVanish/>
        </w:rPr>
      </w:pPr>
      <w:r w:rsidRPr="004C3641">
        <w:t>Staff Analysis: </w:t>
      </w:r>
    </w:p>
    <w:p w:rsidR="008A7B0E" w:rsidRDefault="008A7B0E">
      <w:pPr>
        <w:pStyle w:val="BodyText"/>
      </w:pPr>
      <w:r>
        <w:t> </w:t>
      </w:r>
      <w:r w:rsidRPr="008A7B0E">
        <w:t>The fuel docket is an on-going proceeding and should remain open.</w:t>
      </w:r>
    </w:p>
    <w:p w:rsidR="008A7B0E" w:rsidRDefault="008A7B0E" w:rsidP="008A7B0E">
      <w:pPr>
        <w:pStyle w:val="BodyText"/>
        <w:rPr>
          <w:sz w:val="16"/>
          <w:szCs w:val="16"/>
        </w:rPr>
        <w:sectPr w:rsidR="008A7B0E"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6856EE" w:rsidRPr="0034689D" w:rsidRDefault="008A7B0E" w:rsidP="008A7B0E">
      <w:pPr>
        <w:pStyle w:val="BodyText"/>
        <w:rPr>
          <w:sz w:val="16"/>
          <w:szCs w:val="16"/>
        </w:rPr>
      </w:pPr>
      <w:r>
        <w:rPr>
          <w:noProof/>
        </w:rPr>
        <w:lastRenderedPageBreak/>
        <w:drawing>
          <wp:inline distT="0" distB="0" distL="0" distR="0">
            <wp:extent cx="5941060" cy="7685405"/>
            <wp:effectExtent l="0" t="0" r="2540" b="0"/>
            <wp:docPr id="4" name="Picture 4" descr="01529-2024, filing MCC 2024 page 1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529-2024, filing MCC 2024 page 1 revis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1060" cy="7685405"/>
                    </a:xfrm>
                    <a:prstGeom prst="rect">
                      <a:avLst/>
                    </a:prstGeom>
                    <a:noFill/>
                    <a:ln>
                      <a:noFill/>
                    </a:ln>
                  </pic:spPr>
                </pic:pic>
              </a:graphicData>
            </a:graphic>
          </wp:inline>
        </w:drawing>
      </w:r>
    </w:p>
    <w:sectPr w:rsidR="006856EE" w:rsidRPr="0034689D" w:rsidSect="0068481F">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4B4" w:rsidRDefault="008644B4">
      <w:r>
        <w:separator/>
      </w:r>
    </w:p>
  </w:endnote>
  <w:endnote w:type="continuationSeparator" w:id="0">
    <w:p w:rsidR="008644B4" w:rsidRDefault="0086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246FE">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4B4" w:rsidRDefault="008644B4">
      <w:r>
        <w:separator/>
      </w:r>
    </w:p>
  </w:footnote>
  <w:footnote w:type="continuationSeparator" w:id="0">
    <w:p w:rsidR="008644B4" w:rsidRDefault="008644B4">
      <w:r>
        <w:continuationSeparator/>
      </w:r>
    </w:p>
  </w:footnote>
  <w:footnote w:id="1">
    <w:p w:rsidR="004604EE" w:rsidRDefault="004604EE" w:rsidP="004604EE">
      <w:pPr>
        <w:pStyle w:val="FootnoteText"/>
      </w:pPr>
      <w:r>
        <w:rPr>
          <w:rStyle w:val="FootnoteReference"/>
        </w:rPr>
        <w:footnoteRef/>
      </w:r>
      <w:r>
        <w:t>Document No</w:t>
      </w:r>
      <w:r w:rsidRPr="00920879">
        <w:t>. 01529-2024.</w:t>
      </w:r>
    </w:p>
  </w:footnote>
  <w:footnote w:id="2">
    <w:p w:rsidR="004604EE" w:rsidRDefault="004604EE" w:rsidP="004604EE">
      <w:pPr>
        <w:pStyle w:val="FootnoteText"/>
      </w:pPr>
      <w:r>
        <w:rPr>
          <w:rStyle w:val="FootnoteReference"/>
        </w:rPr>
        <w:footnoteRef/>
      </w:r>
      <w:r w:rsidRPr="00BC7666">
        <w:t>Order No. PSC-2023-0</w:t>
      </w:r>
      <w:r>
        <w:t>343</w:t>
      </w:r>
      <w:r w:rsidRPr="00BC7666">
        <w:t xml:space="preserve">-FOF-EI, issued </w:t>
      </w:r>
      <w:r>
        <w:t>November</w:t>
      </w:r>
      <w:r w:rsidRPr="00BC7666">
        <w:t xml:space="preserve"> </w:t>
      </w:r>
      <w:r>
        <w:t>1</w:t>
      </w:r>
      <w:r w:rsidRPr="00BC7666">
        <w:t xml:space="preserve">6, 2023, in Docket No. 20230001-EI, </w:t>
      </w:r>
      <w:r w:rsidRPr="00BC7666">
        <w:rPr>
          <w:i/>
        </w:rPr>
        <w:t>In re: Fuel and purchased power cost recovery clause with generating performance incentive factor</w:t>
      </w:r>
      <w:r w:rsidRPr="00BC7666">
        <w:t>.</w:t>
      </w:r>
      <w:r w:rsidRPr="003176DE">
        <w:tab/>
      </w:r>
    </w:p>
  </w:footnote>
  <w:footnote w:id="3">
    <w:p w:rsidR="006856EE" w:rsidRDefault="006856EE" w:rsidP="006856EE">
      <w:pPr>
        <w:pStyle w:val="FootnoteText"/>
        <w:rPr>
          <w:highlight w:val="yellow"/>
        </w:rPr>
      </w:pPr>
      <w:r w:rsidRPr="000A7D2E">
        <w:rPr>
          <w:rStyle w:val="FootnoteReference"/>
        </w:rPr>
        <w:footnoteRef/>
      </w:r>
      <w:r w:rsidR="0094076D" w:rsidRPr="0094076D">
        <w:rPr>
          <w:i/>
        </w:rPr>
        <w:t>Id</w:t>
      </w:r>
      <w:r w:rsidRPr="000A7D2E">
        <w:t>.</w:t>
      </w:r>
    </w:p>
  </w:footnote>
  <w:footnote w:id="4">
    <w:p w:rsidR="006856EE" w:rsidRDefault="006856EE" w:rsidP="006856EE">
      <w:pPr>
        <w:pStyle w:val="FootnoteText"/>
      </w:pPr>
      <w:r>
        <w:rPr>
          <w:rStyle w:val="FootnoteReference"/>
        </w:rPr>
        <w:footnoteRef/>
      </w:r>
      <w:r w:rsidRPr="00C007D5">
        <w:t>Document No. 04814-2023.</w:t>
      </w:r>
    </w:p>
  </w:footnote>
  <w:footnote w:id="5">
    <w:p w:rsidR="006856EE" w:rsidRDefault="006856EE" w:rsidP="006856EE">
      <w:pPr>
        <w:pStyle w:val="FootnoteText"/>
      </w:pPr>
      <w:r w:rsidRPr="0056594C">
        <w:rPr>
          <w:rStyle w:val="FootnoteReference"/>
        </w:rPr>
        <w:footnoteRef/>
      </w:r>
      <w:hyperlink r:id="rId1" w:history="1">
        <w:r w:rsidR="00AF7879" w:rsidRPr="005D6562">
          <w:rPr>
            <w:rStyle w:val="Hyperlink"/>
          </w:rPr>
          <w:t>https://www.eia.gov/outlooks/steo/archives/apr24.pdf</w:t>
        </w:r>
      </w:hyperlink>
    </w:p>
  </w:footnote>
  <w:footnote w:id="6">
    <w:p w:rsidR="006856EE" w:rsidRPr="00925C38" w:rsidRDefault="006856EE" w:rsidP="006856EE">
      <w:pPr>
        <w:pStyle w:val="FootnoteText"/>
      </w:pPr>
      <w:r w:rsidRPr="00925C38">
        <w:rPr>
          <w:rStyle w:val="FootnoteReference"/>
        </w:rPr>
        <w:footnoteRef/>
      </w:r>
      <w:r>
        <w:t>Document No. 01529-2024</w:t>
      </w:r>
      <w:r w:rsidRPr="00BC7666">
        <w:t>.</w:t>
      </w:r>
    </w:p>
  </w:footnote>
  <w:footnote w:id="7">
    <w:p w:rsidR="00203F0F" w:rsidRDefault="00203F0F">
      <w:pPr>
        <w:pStyle w:val="FootnoteText"/>
      </w:pPr>
      <w:r>
        <w:rPr>
          <w:rStyle w:val="FootnoteReference"/>
        </w:rPr>
        <w:footnoteRef/>
      </w:r>
      <w:r>
        <w:t>Document No. 01008-2023.</w:t>
      </w:r>
    </w:p>
  </w:footnote>
  <w:footnote w:id="8">
    <w:p w:rsidR="00203F0F" w:rsidRDefault="00203F0F" w:rsidP="00203F0F">
      <w:pPr>
        <w:pStyle w:val="FootnoteText"/>
      </w:pPr>
      <w:r w:rsidRPr="004D023B">
        <w:rPr>
          <w:rStyle w:val="FootnoteReference"/>
        </w:rPr>
        <w:footnoteRef/>
      </w:r>
      <w:r w:rsidRPr="004D023B">
        <w:t xml:space="preserve">Document No. </w:t>
      </w:r>
      <w:r w:rsidR="007167E5" w:rsidRPr="00B219DF">
        <w:t>04317</w:t>
      </w:r>
      <w:r w:rsidRPr="00B219DF">
        <w:t>-2023.</w:t>
      </w:r>
      <w:r w:rsidRPr="004D023B">
        <w:t xml:space="preserve"> Further, st</w:t>
      </w:r>
      <w:r>
        <w:t>aff notes the Company’s estimated end-of-period 2023</w:t>
      </w:r>
      <w:r w:rsidR="002F11A9">
        <w:t xml:space="preserve"> total</w:t>
      </w:r>
      <w:r>
        <w:t xml:space="preserve"> under-recover</w:t>
      </w:r>
      <w:r w:rsidR="0041464F">
        <w:t>y in the amount of ($112,834,024</w:t>
      </w:r>
      <w:r>
        <w:t>) is embedded in current rates per Order No. PSC-2023-0343-FOF-EI. This amount const</w:t>
      </w:r>
      <w:r w:rsidR="00C033D5">
        <w:t>itutes the remainder of the</w:t>
      </w:r>
      <w:r w:rsidR="003569C3">
        <w:t xml:space="preserve"> approximate</w:t>
      </w:r>
      <w:r w:rsidR="00C033D5">
        <w:t xml:space="preserve"> </w:t>
      </w:r>
      <w:r w:rsidRPr="00A3586C">
        <w:t>($</w:t>
      </w:r>
      <w:r w:rsidR="0041464F" w:rsidRPr="00A3586C">
        <w:t>518</w:t>
      </w:r>
      <w:r w:rsidRPr="00A3586C">
        <w:t xml:space="preserve"> </w:t>
      </w:r>
      <w:r w:rsidR="0041464F" w:rsidRPr="00A3586C">
        <w:t>m</w:t>
      </w:r>
      <w:r w:rsidRPr="00A3586C">
        <w:t>illion)</w:t>
      </w:r>
      <w:r w:rsidR="003569C3">
        <w:t xml:space="preserve"> net</w:t>
      </w:r>
      <w:r>
        <w:t xml:space="preserve"> under-recovery of 2022 fuel costs ordered to be collected in 2023 an</w:t>
      </w:r>
      <w:r w:rsidRPr="004D023B">
        <w:t>d 2024</w:t>
      </w:r>
      <w:r w:rsidR="00C033D5">
        <w:t xml:space="preserve"> and is net of TECO’s 2023 mid-course true-up amount of </w:t>
      </w:r>
      <w:r w:rsidR="00C1443C">
        <w:t>(</w:t>
      </w:r>
      <w:r w:rsidR="00C033D5">
        <w:t>$64,989,253</w:t>
      </w:r>
      <w:r w:rsidR="00C1443C">
        <w:t>)</w:t>
      </w:r>
      <w:r w:rsidRPr="004D023B">
        <w:t xml:space="preserve">. </w:t>
      </w:r>
      <w:r w:rsidRPr="00AC5870">
        <w:rPr>
          <w:i/>
        </w:rPr>
        <w:t>See</w:t>
      </w:r>
      <w:r w:rsidRPr="004D023B">
        <w:t xml:space="preserve"> Order No. </w:t>
      </w:r>
      <w:r w:rsidR="00237FDF" w:rsidRPr="004D023B">
        <w:t>PSC-2023-0107</w:t>
      </w:r>
      <w:r w:rsidRPr="004D023B">
        <w:t>-PCO-EI, issued March 2</w:t>
      </w:r>
      <w:r w:rsidR="004507C9" w:rsidRPr="004D023B">
        <w:t>3</w:t>
      </w:r>
      <w:r w:rsidRPr="004D023B">
        <w:t>, 2023, in Dock</w:t>
      </w:r>
      <w:r>
        <w:t xml:space="preserve">et No. 20230001-EI, </w:t>
      </w:r>
      <w:r>
        <w:rPr>
          <w:i/>
        </w:rPr>
        <w:t>In re: Fuel and purchased power cost recovery clause with generating performance incentive factor</w:t>
      </w:r>
      <w:r>
        <w:t xml:space="preserve">.           </w:t>
      </w:r>
    </w:p>
  </w:footnote>
  <w:footnote w:id="9">
    <w:p w:rsidR="00203F0F" w:rsidRDefault="00203F0F" w:rsidP="00203F0F">
      <w:pPr>
        <w:pStyle w:val="FootnoteText"/>
      </w:pPr>
      <w:r w:rsidRPr="00206EC3">
        <w:rPr>
          <w:rStyle w:val="FootnoteReference"/>
        </w:rPr>
        <w:footnoteRef/>
      </w:r>
      <w:r w:rsidR="007139C7" w:rsidRPr="00206EC3">
        <w:t>Document No. 01582</w:t>
      </w:r>
      <w:r w:rsidRPr="00206EC3">
        <w:t>-2024.</w:t>
      </w:r>
    </w:p>
  </w:footnote>
  <w:footnote w:id="10">
    <w:p w:rsidR="006856EE" w:rsidRDefault="006856EE" w:rsidP="006856EE">
      <w:pPr>
        <w:pStyle w:val="FootnoteText"/>
      </w:pPr>
      <w:r w:rsidRPr="00206EC3">
        <w:rPr>
          <w:rStyle w:val="FootnoteReference"/>
        </w:rPr>
        <w:footnoteRef/>
      </w:r>
      <w:r w:rsidR="008E241E" w:rsidRPr="00206EC3">
        <w:t>Document No. 0</w:t>
      </w:r>
      <w:r w:rsidR="00206EC3" w:rsidRPr="00206EC3">
        <w:t>5966</w:t>
      </w:r>
      <w:r w:rsidRPr="00206EC3">
        <w:t>-2023.</w:t>
      </w:r>
    </w:p>
  </w:footnote>
  <w:footnote w:id="11">
    <w:p w:rsidR="006856EE" w:rsidRDefault="006856EE" w:rsidP="006856EE">
      <w:pPr>
        <w:pStyle w:val="FootnoteText"/>
      </w:pPr>
      <w:r w:rsidRPr="002D23B6">
        <w:rPr>
          <w:rStyle w:val="FootnoteReference"/>
        </w:rPr>
        <w:footnoteRef/>
      </w:r>
      <w:r w:rsidRPr="008C60DC">
        <w:t>Document No. 00322-2024.</w:t>
      </w:r>
    </w:p>
  </w:footnote>
  <w:footnote w:id="12">
    <w:p w:rsidR="006856EE" w:rsidRDefault="006856EE" w:rsidP="006856EE">
      <w:pPr>
        <w:pStyle w:val="FootnoteText"/>
      </w:pPr>
      <w:r>
        <w:rPr>
          <w:rStyle w:val="FootnoteReference"/>
        </w:rPr>
        <w:footnoteRef/>
      </w:r>
      <w:r w:rsidRPr="004C5D92">
        <w:rPr>
          <w:i/>
        </w:rPr>
        <w:t>Id</w:t>
      </w:r>
      <w:r>
        <w:t>.</w:t>
      </w:r>
    </w:p>
  </w:footnote>
  <w:footnote w:id="13">
    <w:p w:rsidR="006856EE" w:rsidRDefault="006856EE" w:rsidP="006856EE">
      <w:pPr>
        <w:pStyle w:val="FootnoteText"/>
      </w:pPr>
      <w:r>
        <w:rPr>
          <w:rStyle w:val="FootnoteReference"/>
        </w:rPr>
        <w:footnoteRef/>
      </w:r>
      <w:r w:rsidRPr="00C007D5">
        <w:t>Document No. 04814-2023.</w:t>
      </w:r>
    </w:p>
  </w:footnote>
  <w:footnote w:id="14">
    <w:p w:rsidR="006856EE" w:rsidRDefault="006856EE" w:rsidP="006856EE">
      <w:pPr>
        <w:pStyle w:val="FootnoteText"/>
      </w:pPr>
      <w:r w:rsidRPr="00C007D5">
        <w:rPr>
          <w:rStyle w:val="FootnoteReference"/>
        </w:rPr>
        <w:footnoteRef/>
      </w:r>
      <w:r w:rsidRPr="00C007D5">
        <w:t>Document No. 01529-2024.</w:t>
      </w:r>
    </w:p>
  </w:footnote>
  <w:footnote w:id="15">
    <w:p w:rsidR="006856EE" w:rsidRPr="006D61A0" w:rsidRDefault="006856EE" w:rsidP="006856EE">
      <w:pPr>
        <w:pStyle w:val="FootnoteText"/>
        <w:rPr>
          <w:highlight w:val="yellow"/>
        </w:rPr>
      </w:pPr>
      <w:r w:rsidRPr="00C007D5">
        <w:rPr>
          <w:rStyle w:val="FootnoteReference"/>
        </w:rPr>
        <w:footnoteRef/>
      </w:r>
      <w:r w:rsidRPr="00C007D5">
        <w:t>Hearing Exhibit No. 70, entered in Docket No. 20230001-EI.</w:t>
      </w:r>
    </w:p>
  </w:footnote>
  <w:footnote w:id="16">
    <w:p w:rsidR="006856EE" w:rsidRPr="00E86F85" w:rsidRDefault="006856EE" w:rsidP="006856EE">
      <w:pPr>
        <w:pStyle w:val="FootnoteText"/>
        <w:rPr>
          <w:highlight w:val="yellow"/>
        </w:rPr>
      </w:pPr>
      <w:r w:rsidRPr="00C007D5">
        <w:rPr>
          <w:rStyle w:val="FootnoteReference"/>
        </w:rPr>
        <w:footnoteRef/>
      </w:r>
      <w:r w:rsidRPr="00C007D5">
        <w:t>Document No. 04814-2023.</w:t>
      </w:r>
    </w:p>
  </w:footnote>
  <w:footnote w:id="17">
    <w:p w:rsidR="006856EE" w:rsidRPr="006D61A0" w:rsidRDefault="006856EE" w:rsidP="006856EE">
      <w:pPr>
        <w:pStyle w:val="FootnoteText"/>
        <w:rPr>
          <w:highlight w:val="yellow"/>
        </w:rPr>
      </w:pPr>
      <w:r w:rsidRPr="003C2E62">
        <w:rPr>
          <w:rStyle w:val="FootnoteReference"/>
        </w:rPr>
        <w:footnoteRef/>
      </w:r>
      <w:r w:rsidRPr="002A1C7A">
        <w:t>Document No. 01529-2024.</w:t>
      </w:r>
    </w:p>
  </w:footnote>
  <w:footnote w:id="18">
    <w:p w:rsidR="006856EE" w:rsidRPr="006D61A0" w:rsidRDefault="006856EE" w:rsidP="006856EE">
      <w:pPr>
        <w:pStyle w:val="FootnoteText"/>
        <w:tabs>
          <w:tab w:val="left" w:pos="3307"/>
        </w:tabs>
        <w:rPr>
          <w:highlight w:val="yellow"/>
        </w:rPr>
      </w:pPr>
      <w:r w:rsidRPr="00E42C84">
        <w:rPr>
          <w:rStyle w:val="FootnoteReference"/>
        </w:rPr>
        <w:footnoteRef/>
      </w:r>
      <w:r w:rsidRPr="004A3E59">
        <w:t>Document No. 01648-2024.</w:t>
      </w:r>
    </w:p>
  </w:footnote>
  <w:footnote w:id="19">
    <w:p w:rsidR="006856EE" w:rsidRDefault="006856EE" w:rsidP="006856EE">
      <w:pPr>
        <w:pStyle w:val="FootnoteText"/>
      </w:pPr>
      <w:r>
        <w:rPr>
          <w:rStyle w:val="FootnoteReference"/>
        </w:rPr>
        <w:footnoteRef/>
      </w:r>
      <w:r w:rsidRPr="002A1C7A">
        <w:t>Document No. 01529-2024.</w:t>
      </w:r>
    </w:p>
  </w:footnote>
  <w:footnote w:id="20">
    <w:p w:rsidR="006856EE" w:rsidRDefault="006856EE" w:rsidP="006856EE">
      <w:pPr>
        <w:pStyle w:val="FootnoteText"/>
      </w:pPr>
      <w:r>
        <w:rPr>
          <w:rStyle w:val="FootnoteReference"/>
        </w:rPr>
        <w:footnoteRef/>
      </w:r>
      <w:r w:rsidRPr="003461E3">
        <w:rPr>
          <w:i/>
        </w:rPr>
        <w:t>Id</w:t>
      </w:r>
      <w:r>
        <w:t>.</w:t>
      </w:r>
    </w:p>
  </w:footnote>
  <w:footnote w:id="21">
    <w:p w:rsidR="00230D42" w:rsidRDefault="00230D42">
      <w:pPr>
        <w:pStyle w:val="FootnoteText"/>
      </w:pPr>
      <w:r>
        <w:rPr>
          <w:rStyle w:val="FootnoteReference"/>
        </w:rPr>
        <w:footnoteRef/>
      </w:r>
      <w:r w:rsidR="00D25B19" w:rsidRPr="00D25B19">
        <w:rPr>
          <w:i/>
        </w:rPr>
        <w:t>Id</w:t>
      </w:r>
      <w:r w:rsidR="00D25B19" w:rsidRPr="00D25B19">
        <w:t>.</w:t>
      </w:r>
    </w:p>
  </w:footnote>
  <w:footnote w:id="22">
    <w:p w:rsidR="006856EE" w:rsidRPr="00B219DF" w:rsidRDefault="006856EE" w:rsidP="006856EE">
      <w:pPr>
        <w:pStyle w:val="FootnoteText"/>
      </w:pPr>
      <w:r w:rsidRPr="00B219DF">
        <w:rPr>
          <w:rStyle w:val="FootnoteReference"/>
        </w:rPr>
        <w:footnoteRef/>
      </w:r>
      <w:r w:rsidRPr="00B219DF">
        <w:t xml:space="preserve">Document No. 01687-2024, and The Federal Reserve System (U.S. Federal Reserve) published Commercial Paper Rates which can be located via the following link:  </w:t>
      </w:r>
      <w:hyperlink r:id="rId2" w:history="1">
        <w:r w:rsidRPr="00B219DF">
          <w:rPr>
            <w:rStyle w:val="Hyperlink"/>
          </w:rPr>
          <w:t>https://www.federalreserve.gov/releases/cp/</w:t>
        </w:r>
      </w:hyperlink>
    </w:p>
  </w:footnote>
  <w:footnote w:id="23">
    <w:p w:rsidR="006856EE" w:rsidRDefault="006856EE" w:rsidP="006856EE">
      <w:pPr>
        <w:pStyle w:val="FootnoteText"/>
      </w:pPr>
      <w:r w:rsidRPr="001609DD">
        <w:rPr>
          <w:rStyle w:val="FootnoteReference"/>
        </w:rPr>
        <w:footnoteRef/>
      </w:r>
      <w:r w:rsidR="00B20598" w:rsidRPr="001609DD">
        <w:t>Document No</w:t>
      </w:r>
      <w:r w:rsidR="001609DD" w:rsidRPr="001609DD">
        <w:t>s</w:t>
      </w:r>
      <w:r w:rsidR="00B20598" w:rsidRPr="001609DD">
        <w:t xml:space="preserve">. </w:t>
      </w:r>
      <w:r w:rsidR="001609DD" w:rsidRPr="001609DD">
        <w:t>01529-2024 and</w:t>
      </w:r>
      <w:r w:rsidR="00B20598" w:rsidRPr="001609DD">
        <w:t xml:space="preserve"> 01687-2024.</w:t>
      </w:r>
    </w:p>
  </w:footnote>
  <w:footnote w:id="24">
    <w:p w:rsidR="006856EE" w:rsidRDefault="006856EE" w:rsidP="006856EE">
      <w:pPr>
        <w:pStyle w:val="FootnoteText"/>
      </w:pPr>
      <w:r>
        <w:rPr>
          <w:rStyle w:val="FootnoteReference"/>
        </w:rPr>
        <w:footnoteRef/>
      </w:r>
      <w:r>
        <w:t xml:space="preserve">Document No. 01529-2024, Schedule </w:t>
      </w:r>
      <w:r w:rsidRPr="0082134F">
        <w:t>E2.</w:t>
      </w:r>
    </w:p>
  </w:footnote>
  <w:footnote w:id="25">
    <w:p w:rsidR="006856EE" w:rsidRPr="006D61A0" w:rsidRDefault="006856EE" w:rsidP="006856EE">
      <w:pPr>
        <w:pStyle w:val="FootnoteText"/>
        <w:rPr>
          <w:highlight w:val="yellow"/>
        </w:rPr>
      </w:pPr>
      <w:r w:rsidRPr="00803FCC">
        <w:rPr>
          <w:rStyle w:val="FootnoteReference"/>
        </w:rPr>
        <w:footnoteRef/>
      </w:r>
      <w:r w:rsidRPr="00803FCC">
        <w:t>Order No. PSC-2023-0343-FOF-EI.</w:t>
      </w:r>
    </w:p>
  </w:footnote>
  <w:footnote w:id="26">
    <w:p w:rsidR="006856EE" w:rsidRDefault="006856EE" w:rsidP="006856EE">
      <w:pPr>
        <w:pStyle w:val="FootnoteText"/>
      </w:pPr>
      <w:r w:rsidRPr="00803FCC">
        <w:rPr>
          <w:rStyle w:val="FootnoteReference"/>
        </w:rPr>
        <w:footnoteRef/>
      </w:r>
      <w:r w:rsidRPr="00803FCC">
        <w:t>Document No. 01529-2024.</w:t>
      </w:r>
    </w:p>
  </w:footnote>
  <w:footnote w:id="27">
    <w:p w:rsidR="006856EE" w:rsidRPr="00CE7065" w:rsidRDefault="006856EE" w:rsidP="006856EE">
      <w:pPr>
        <w:pStyle w:val="FootnoteText"/>
      </w:pPr>
      <w:r w:rsidRPr="00576318">
        <w:rPr>
          <w:rStyle w:val="FootnoteReference"/>
        </w:rPr>
        <w:footnoteRef/>
      </w:r>
      <w:r w:rsidRPr="00576318">
        <w:t>Order No. PSC-2023-0343-FOF-EI.</w:t>
      </w:r>
    </w:p>
  </w:footnote>
  <w:footnote w:id="28">
    <w:p w:rsidR="006856EE" w:rsidRPr="002F60CF" w:rsidRDefault="006856EE" w:rsidP="006856EE">
      <w:pPr>
        <w:pStyle w:val="FootnoteText"/>
      </w:pPr>
      <w:r w:rsidRPr="00C61D53">
        <w:rPr>
          <w:rStyle w:val="FootnoteReference"/>
        </w:rPr>
        <w:footnoteRef/>
      </w:r>
      <w:r w:rsidRPr="00C61D53">
        <w:t>Document No. 01648-2024.</w:t>
      </w:r>
    </w:p>
  </w:footnote>
  <w:footnote w:id="29">
    <w:p w:rsidR="006856EE" w:rsidRPr="004C046D" w:rsidRDefault="006856EE" w:rsidP="006856EE">
      <w:pPr>
        <w:pStyle w:val="FootnoteText"/>
      </w:pPr>
      <w:r w:rsidRPr="00DA4D07">
        <w:rPr>
          <w:rStyle w:val="FootnoteReference"/>
        </w:rPr>
        <w:footnoteRef/>
      </w:r>
      <w:r w:rsidRPr="00DA4D07">
        <w:t>D</w:t>
      </w:r>
      <w:r w:rsidRPr="004C046D">
        <w:t>ocument No. 01648-2024.</w:t>
      </w:r>
    </w:p>
  </w:footnote>
  <w:footnote w:id="30">
    <w:p w:rsidR="006856EE" w:rsidRDefault="006856EE" w:rsidP="006856EE">
      <w:pPr>
        <w:pStyle w:val="FootnoteText"/>
        <w:rPr>
          <w:highlight w:val="yellow"/>
        </w:rPr>
      </w:pPr>
      <w:r w:rsidRPr="004C046D">
        <w:rPr>
          <w:rStyle w:val="FootnoteReference"/>
        </w:rPr>
        <w:footnoteRef/>
      </w:r>
      <w:r w:rsidR="004C046D" w:rsidRPr="004C046D">
        <w:rPr>
          <w:i/>
        </w:rPr>
        <w:t>Id</w:t>
      </w:r>
      <w:r w:rsidRPr="004C046D">
        <w:t>.</w:t>
      </w:r>
    </w:p>
  </w:footnote>
  <w:footnote w:id="31">
    <w:p w:rsidR="006856EE" w:rsidRDefault="006856EE" w:rsidP="006856EE">
      <w:pPr>
        <w:pStyle w:val="FootnoteText"/>
      </w:pPr>
      <w:r>
        <w:rPr>
          <w:rStyle w:val="FootnoteReference"/>
        </w:rPr>
        <w:footnoteRef/>
      </w:r>
      <w:r w:rsidRPr="00A41036">
        <w:rPr>
          <w:i/>
        </w:rPr>
        <w:t>Id</w:t>
      </w:r>
      <w:r>
        <w:t xml:space="preserve">. </w:t>
      </w:r>
    </w:p>
  </w:footnote>
  <w:footnote w:id="32">
    <w:p w:rsidR="001828A2" w:rsidRDefault="001828A2" w:rsidP="001828A2">
      <w:pPr>
        <w:pStyle w:val="FootnoteText"/>
      </w:pPr>
      <w:r>
        <w:rPr>
          <w:rStyle w:val="FootnoteReference"/>
        </w:rPr>
        <w:footnoteRef/>
      </w:r>
      <w:r w:rsidR="00023E09">
        <w:t>Order No. PSC-2024</w:t>
      </w:r>
      <w:r w:rsidRPr="00425D11">
        <w:t>-0</w:t>
      </w:r>
      <w:r w:rsidR="00023E09">
        <w:t>091</w:t>
      </w:r>
      <w:r>
        <w:t>-PCO</w:t>
      </w:r>
      <w:r w:rsidRPr="00425D11">
        <w:t>-EI</w:t>
      </w:r>
      <w:r>
        <w:t xml:space="preserve">, issued </w:t>
      </w:r>
      <w:r w:rsidR="00023E09">
        <w:t>April 10</w:t>
      </w:r>
      <w:r>
        <w:t>, 202</w:t>
      </w:r>
      <w:r w:rsidR="00023E09">
        <w:t>4</w:t>
      </w:r>
      <w:r>
        <w:t>, in Docket No. 202</w:t>
      </w:r>
      <w:r w:rsidR="00C1443C">
        <w:t>4</w:t>
      </w:r>
      <w:r>
        <w:t xml:space="preserve">0001-EI, </w:t>
      </w:r>
      <w:r>
        <w:rPr>
          <w:i/>
        </w:rPr>
        <w:t>In re: Fuel and purchased power cost recovery clause with generating performance incentive factor</w:t>
      </w:r>
      <w:r w:rsidRPr="00425D11">
        <w:t>.</w:t>
      </w:r>
    </w:p>
  </w:footnote>
  <w:footnote w:id="33">
    <w:p w:rsidR="001828A2" w:rsidRDefault="001828A2" w:rsidP="001828A2">
      <w:pPr>
        <w:pStyle w:val="FootnoteText"/>
      </w:pPr>
      <w:r w:rsidRPr="008738CC">
        <w:rPr>
          <w:rStyle w:val="FootnoteReference"/>
        </w:rPr>
        <w:footnoteRef/>
      </w:r>
      <w:r w:rsidRPr="008738CC">
        <w:t>Document No. 01648-2024.</w:t>
      </w:r>
    </w:p>
  </w:footnote>
  <w:footnote w:id="34">
    <w:p w:rsidR="001828A2" w:rsidRDefault="001828A2" w:rsidP="001828A2">
      <w:pPr>
        <w:pStyle w:val="FootnoteText"/>
      </w:pPr>
      <w:r>
        <w:rPr>
          <w:rStyle w:val="FootnoteReference"/>
        </w:rPr>
        <w:footnoteRef/>
      </w:r>
      <w:r w:rsidRPr="0094105D">
        <w:rPr>
          <w:i/>
        </w:rPr>
        <w:t>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8644B4"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20240001-EI</w:t>
    </w:r>
    <w:bookmarkEnd w:id="14"/>
  </w:p>
  <w:p w:rsidR="00BC402E" w:rsidRDefault="00BC402E">
    <w:pPr>
      <w:pStyle w:val="Header"/>
    </w:pPr>
    <w:r>
      <w:t xml:space="preserve">Date: </w:t>
    </w:r>
    <w:fldSimple w:instr=" REF FilingDate ">
      <w:r w:rsidR="001609DD">
        <w:t>April 25,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87" w:rsidRDefault="00DE1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609DD">
      <w:t>Docket No.</w:t>
    </w:r>
    <w:r>
      <w:fldChar w:fldCharType="end"/>
    </w:r>
    <w:r>
      <w:t xml:space="preserve"> </w:t>
    </w:r>
    <w:r>
      <w:fldChar w:fldCharType="begin"/>
    </w:r>
    <w:r>
      <w:instrText xml:space="preserve"> REF DocketList</w:instrText>
    </w:r>
    <w:r>
      <w:fldChar w:fldCharType="separate"/>
    </w:r>
    <w:r w:rsidR="001609DD">
      <w:t>20240001-EI</w:t>
    </w:r>
    <w:r>
      <w:fldChar w:fldCharType="end"/>
    </w:r>
    <w:r>
      <w:tab/>
      <w:t xml:space="preserve">Issue </w:t>
    </w:r>
    <w:fldSimple w:instr=" Seq Issue \c \* Arabic ">
      <w:r w:rsidR="00E246FE">
        <w:rPr>
          <w:noProof/>
        </w:rPr>
        <w:t>3</w:t>
      </w:r>
    </w:fldSimple>
  </w:p>
  <w:p w:rsidR="00BC402E" w:rsidRDefault="00BC402E">
    <w:pPr>
      <w:pStyle w:val="Header"/>
    </w:pPr>
    <w:r>
      <w:t xml:space="preserve">Date: </w:t>
    </w:r>
    <w:fldSimple w:instr=" REF FilingDate ">
      <w:r w:rsidR="001609DD">
        <w:t>April 25, 2024</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87" w:rsidRDefault="00DE16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0E" w:rsidRDefault="008A7B0E" w:rsidP="00220732">
    <w:pPr>
      <w:pStyle w:val="Header"/>
      <w:tabs>
        <w:tab w:val="clear" w:pos="4320"/>
        <w:tab w:val="clear" w:pos="8640"/>
        <w:tab w:val="right" w:pos="9360"/>
      </w:tabs>
    </w:pPr>
    <w:r>
      <w:fldChar w:fldCharType="begin"/>
    </w:r>
    <w:r>
      <w:instrText xml:space="preserve"> REF DocketLabel</w:instrText>
    </w:r>
    <w:r>
      <w:fldChar w:fldCharType="separate"/>
    </w:r>
    <w:r w:rsidR="001609DD">
      <w:t>Docket No.</w:t>
    </w:r>
    <w:r>
      <w:fldChar w:fldCharType="end"/>
    </w:r>
    <w:r>
      <w:t xml:space="preserve"> </w:t>
    </w:r>
    <w:r>
      <w:fldChar w:fldCharType="begin"/>
    </w:r>
    <w:r>
      <w:instrText xml:space="preserve"> REF DocketList</w:instrText>
    </w:r>
    <w:r>
      <w:fldChar w:fldCharType="separate"/>
    </w:r>
    <w:r w:rsidR="001609DD">
      <w:t>20240001-EI</w:t>
    </w:r>
    <w:r>
      <w:fldChar w:fldCharType="end"/>
    </w:r>
    <w:r>
      <w:tab/>
      <w:t>Appendix A</w:t>
    </w:r>
  </w:p>
  <w:p w:rsidR="008A7B0E" w:rsidRDefault="008A7B0E">
    <w:pPr>
      <w:pStyle w:val="Header"/>
    </w:pPr>
    <w:r>
      <w:t xml:space="preserve">Date: </w:t>
    </w:r>
    <w:fldSimple w:instr=" REF FilingDate ">
      <w:r w:rsidR="001609DD">
        <w:t>April 25, 2024</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87" w:rsidRDefault="00DE1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644B4"/>
    <w:rsid w:val="00001D99"/>
    <w:rsid w:val="000043D5"/>
    <w:rsid w:val="00006170"/>
    <w:rsid w:val="00010E37"/>
    <w:rsid w:val="000172DA"/>
    <w:rsid w:val="00022337"/>
    <w:rsid w:val="00023A0E"/>
    <w:rsid w:val="00023E09"/>
    <w:rsid w:val="000247C5"/>
    <w:rsid w:val="000277C2"/>
    <w:rsid w:val="00035B48"/>
    <w:rsid w:val="00036CE2"/>
    <w:rsid w:val="000437FE"/>
    <w:rsid w:val="00050328"/>
    <w:rsid w:val="000513BE"/>
    <w:rsid w:val="00051573"/>
    <w:rsid w:val="0005451B"/>
    <w:rsid w:val="00065A06"/>
    <w:rsid w:val="000666F3"/>
    <w:rsid w:val="00070DCB"/>
    <w:rsid w:val="00071F60"/>
    <w:rsid w:val="00072CCA"/>
    <w:rsid w:val="00073120"/>
    <w:rsid w:val="000764D0"/>
    <w:rsid w:val="000828D3"/>
    <w:rsid w:val="000A09DC"/>
    <w:rsid w:val="000A2B57"/>
    <w:rsid w:val="000A418B"/>
    <w:rsid w:val="000B0ACE"/>
    <w:rsid w:val="000C4431"/>
    <w:rsid w:val="000C6607"/>
    <w:rsid w:val="000D1C06"/>
    <w:rsid w:val="000D3043"/>
    <w:rsid w:val="000D4319"/>
    <w:rsid w:val="000E24FA"/>
    <w:rsid w:val="000E2ED8"/>
    <w:rsid w:val="000E338A"/>
    <w:rsid w:val="000E4392"/>
    <w:rsid w:val="000F374A"/>
    <w:rsid w:val="000F4DAF"/>
    <w:rsid w:val="001004E0"/>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09DD"/>
    <w:rsid w:val="00163031"/>
    <w:rsid w:val="001654C4"/>
    <w:rsid w:val="00171A90"/>
    <w:rsid w:val="00180254"/>
    <w:rsid w:val="001828A2"/>
    <w:rsid w:val="00191E1F"/>
    <w:rsid w:val="00191EE8"/>
    <w:rsid w:val="00192943"/>
    <w:rsid w:val="00193BAF"/>
    <w:rsid w:val="00194791"/>
    <w:rsid w:val="001A7406"/>
    <w:rsid w:val="001A7AE4"/>
    <w:rsid w:val="001B1EDC"/>
    <w:rsid w:val="001B4053"/>
    <w:rsid w:val="001B4FEE"/>
    <w:rsid w:val="001B51C5"/>
    <w:rsid w:val="001B672A"/>
    <w:rsid w:val="001B6F3F"/>
    <w:rsid w:val="001C4711"/>
    <w:rsid w:val="001C52B5"/>
    <w:rsid w:val="001D0D3E"/>
    <w:rsid w:val="001D2817"/>
    <w:rsid w:val="001D2899"/>
    <w:rsid w:val="001E14A3"/>
    <w:rsid w:val="001E390F"/>
    <w:rsid w:val="001E7FF4"/>
    <w:rsid w:val="001F2245"/>
    <w:rsid w:val="001F2C63"/>
    <w:rsid w:val="001F48C7"/>
    <w:rsid w:val="001F6DA1"/>
    <w:rsid w:val="00200178"/>
    <w:rsid w:val="00203F0F"/>
    <w:rsid w:val="00204200"/>
    <w:rsid w:val="002044E6"/>
    <w:rsid w:val="00205C82"/>
    <w:rsid w:val="00205DC2"/>
    <w:rsid w:val="00206EC3"/>
    <w:rsid w:val="00212B17"/>
    <w:rsid w:val="002163B6"/>
    <w:rsid w:val="00217215"/>
    <w:rsid w:val="00220732"/>
    <w:rsid w:val="0022121F"/>
    <w:rsid w:val="00221D32"/>
    <w:rsid w:val="00222AC1"/>
    <w:rsid w:val="00225C3F"/>
    <w:rsid w:val="00230D42"/>
    <w:rsid w:val="00237FDF"/>
    <w:rsid w:val="00263D44"/>
    <w:rsid w:val="002702AD"/>
    <w:rsid w:val="00272D43"/>
    <w:rsid w:val="00281EB4"/>
    <w:rsid w:val="00292D82"/>
    <w:rsid w:val="00293EE7"/>
    <w:rsid w:val="002949D9"/>
    <w:rsid w:val="002963CB"/>
    <w:rsid w:val="002B05EC"/>
    <w:rsid w:val="002B2DAC"/>
    <w:rsid w:val="002B4A01"/>
    <w:rsid w:val="002C291B"/>
    <w:rsid w:val="002C677A"/>
    <w:rsid w:val="002C746A"/>
    <w:rsid w:val="002C7E4E"/>
    <w:rsid w:val="002D226D"/>
    <w:rsid w:val="002D74E3"/>
    <w:rsid w:val="002F11A9"/>
    <w:rsid w:val="002F6030"/>
    <w:rsid w:val="003001AC"/>
    <w:rsid w:val="00300CE6"/>
    <w:rsid w:val="003037E1"/>
    <w:rsid w:val="00303897"/>
    <w:rsid w:val="00307E51"/>
    <w:rsid w:val="003103EC"/>
    <w:rsid w:val="00312132"/>
    <w:rsid w:val="003130BA"/>
    <w:rsid w:val="003144EF"/>
    <w:rsid w:val="0031480E"/>
    <w:rsid w:val="00316877"/>
    <w:rsid w:val="00322F74"/>
    <w:rsid w:val="00325E15"/>
    <w:rsid w:val="00340073"/>
    <w:rsid w:val="003411D8"/>
    <w:rsid w:val="003445B0"/>
    <w:rsid w:val="0034689D"/>
    <w:rsid w:val="00353B66"/>
    <w:rsid w:val="00355934"/>
    <w:rsid w:val="003569C3"/>
    <w:rsid w:val="00357928"/>
    <w:rsid w:val="003632FD"/>
    <w:rsid w:val="00365368"/>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C4E25"/>
    <w:rsid w:val="003E0463"/>
    <w:rsid w:val="003E0EFC"/>
    <w:rsid w:val="003E18CC"/>
    <w:rsid w:val="003E33E1"/>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1464F"/>
    <w:rsid w:val="004242E6"/>
    <w:rsid w:val="00427B35"/>
    <w:rsid w:val="00431598"/>
    <w:rsid w:val="004319AD"/>
    <w:rsid w:val="0043491E"/>
    <w:rsid w:val="004426B8"/>
    <w:rsid w:val="00444432"/>
    <w:rsid w:val="00447D5C"/>
    <w:rsid w:val="00450202"/>
    <w:rsid w:val="004502B2"/>
    <w:rsid w:val="004507C9"/>
    <w:rsid w:val="00455499"/>
    <w:rsid w:val="004604EE"/>
    <w:rsid w:val="004649A7"/>
    <w:rsid w:val="00471860"/>
    <w:rsid w:val="00477026"/>
    <w:rsid w:val="00477730"/>
    <w:rsid w:val="004A744D"/>
    <w:rsid w:val="004B60BD"/>
    <w:rsid w:val="004C046D"/>
    <w:rsid w:val="004C3150"/>
    <w:rsid w:val="004C3641"/>
    <w:rsid w:val="004C3873"/>
    <w:rsid w:val="004C4390"/>
    <w:rsid w:val="004C4AF7"/>
    <w:rsid w:val="004C7501"/>
    <w:rsid w:val="004D020C"/>
    <w:rsid w:val="004D023B"/>
    <w:rsid w:val="004D2881"/>
    <w:rsid w:val="004D2D7D"/>
    <w:rsid w:val="004D385F"/>
    <w:rsid w:val="004D5B39"/>
    <w:rsid w:val="004D71BC"/>
    <w:rsid w:val="004D7976"/>
    <w:rsid w:val="004E0CEA"/>
    <w:rsid w:val="004E27DF"/>
    <w:rsid w:val="004E330D"/>
    <w:rsid w:val="004E4985"/>
    <w:rsid w:val="004E5147"/>
    <w:rsid w:val="004E69B5"/>
    <w:rsid w:val="004F155F"/>
    <w:rsid w:val="004F4B46"/>
    <w:rsid w:val="004F50D1"/>
    <w:rsid w:val="004F5C43"/>
    <w:rsid w:val="00500148"/>
    <w:rsid w:val="005050A2"/>
    <w:rsid w:val="00506030"/>
    <w:rsid w:val="0050652D"/>
    <w:rsid w:val="00506C03"/>
    <w:rsid w:val="00511A11"/>
    <w:rsid w:val="00516496"/>
    <w:rsid w:val="00522E7D"/>
    <w:rsid w:val="00523B11"/>
    <w:rsid w:val="0052455B"/>
    <w:rsid w:val="0052572A"/>
    <w:rsid w:val="00532DFB"/>
    <w:rsid w:val="00537A54"/>
    <w:rsid w:val="00543CB3"/>
    <w:rsid w:val="005442E4"/>
    <w:rsid w:val="00547652"/>
    <w:rsid w:val="0055529B"/>
    <w:rsid w:val="00560FF0"/>
    <w:rsid w:val="005614BD"/>
    <w:rsid w:val="0057154F"/>
    <w:rsid w:val="00574F4C"/>
    <w:rsid w:val="00580F69"/>
    <w:rsid w:val="00581CA3"/>
    <w:rsid w:val="00583FD2"/>
    <w:rsid w:val="00585031"/>
    <w:rsid w:val="00586E8B"/>
    <w:rsid w:val="00587090"/>
    <w:rsid w:val="00587A44"/>
    <w:rsid w:val="00592581"/>
    <w:rsid w:val="00597730"/>
    <w:rsid w:val="005977EC"/>
    <w:rsid w:val="00597DE7"/>
    <w:rsid w:val="005A1CD3"/>
    <w:rsid w:val="005A4AA2"/>
    <w:rsid w:val="005B34B6"/>
    <w:rsid w:val="005B606A"/>
    <w:rsid w:val="005B6C8F"/>
    <w:rsid w:val="005B6EC3"/>
    <w:rsid w:val="005C17D7"/>
    <w:rsid w:val="005C33CE"/>
    <w:rsid w:val="005C415D"/>
    <w:rsid w:val="005C56F3"/>
    <w:rsid w:val="005D0F74"/>
    <w:rsid w:val="005D2E7D"/>
    <w:rsid w:val="005D4A8F"/>
    <w:rsid w:val="005D561B"/>
    <w:rsid w:val="005D578F"/>
    <w:rsid w:val="005D5ECF"/>
    <w:rsid w:val="005E1E42"/>
    <w:rsid w:val="005F468D"/>
    <w:rsid w:val="005F69A3"/>
    <w:rsid w:val="00604CC7"/>
    <w:rsid w:val="006108F2"/>
    <w:rsid w:val="00613441"/>
    <w:rsid w:val="00615423"/>
    <w:rsid w:val="006165B2"/>
    <w:rsid w:val="00617276"/>
    <w:rsid w:val="0062527B"/>
    <w:rsid w:val="00625D97"/>
    <w:rsid w:val="00625F1C"/>
    <w:rsid w:val="0062658E"/>
    <w:rsid w:val="006279E1"/>
    <w:rsid w:val="00630CEB"/>
    <w:rsid w:val="00632264"/>
    <w:rsid w:val="006355F2"/>
    <w:rsid w:val="00636AFB"/>
    <w:rsid w:val="006470BC"/>
    <w:rsid w:val="006554D3"/>
    <w:rsid w:val="006603F4"/>
    <w:rsid w:val="00661708"/>
    <w:rsid w:val="00666522"/>
    <w:rsid w:val="00667036"/>
    <w:rsid w:val="00667B89"/>
    <w:rsid w:val="00673BDB"/>
    <w:rsid w:val="00673D72"/>
    <w:rsid w:val="00674341"/>
    <w:rsid w:val="006771B8"/>
    <w:rsid w:val="00682631"/>
    <w:rsid w:val="00683A89"/>
    <w:rsid w:val="006843B6"/>
    <w:rsid w:val="0068481F"/>
    <w:rsid w:val="006856EE"/>
    <w:rsid w:val="00693EA1"/>
    <w:rsid w:val="0069636F"/>
    <w:rsid w:val="00696F5D"/>
    <w:rsid w:val="00697249"/>
    <w:rsid w:val="006A06F3"/>
    <w:rsid w:val="006A1A67"/>
    <w:rsid w:val="006B09C4"/>
    <w:rsid w:val="006B1D30"/>
    <w:rsid w:val="006B3947"/>
    <w:rsid w:val="006B4293"/>
    <w:rsid w:val="006B4A8A"/>
    <w:rsid w:val="006B624F"/>
    <w:rsid w:val="006C0C95"/>
    <w:rsid w:val="006C31E3"/>
    <w:rsid w:val="006D02A6"/>
    <w:rsid w:val="006D18D3"/>
    <w:rsid w:val="006D1EE9"/>
    <w:rsid w:val="006D3BD1"/>
    <w:rsid w:val="006E010E"/>
    <w:rsid w:val="006E08CB"/>
    <w:rsid w:val="006E540D"/>
    <w:rsid w:val="006E598D"/>
    <w:rsid w:val="0070437D"/>
    <w:rsid w:val="00704CF1"/>
    <w:rsid w:val="00705B04"/>
    <w:rsid w:val="0071040E"/>
    <w:rsid w:val="007139C7"/>
    <w:rsid w:val="007167E5"/>
    <w:rsid w:val="00717EE9"/>
    <w:rsid w:val="00724992"/>
    <w:rsid w:val="00724F64"/>
    <w:rsid w:val="00727F90"/>
    <w:rsid w:val="00734820"/>
    <w:rsid w:val="007349DC"/>
    <w:rsid w:val="007377DD"/>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C5CF2"/>
    <w:rsid w:val="007D0F35"/>
    <w:rsid w:val="007D1783"/>
    <w:rsid w:val="007D4546"/>
    <w:rsid w:val="007D4FEB"/>
    <w:rsid w:val="007D6146"/>
    <w:rsid w:val="007E0CE7"/>
    <w:rsid w:val="007E18A4"/>
    <w:rsid w:val="007F1193"/>
    <w:rsid w:val="007F417F"/>
    <w:rsid w:val="007F719B"/>
    <w:rsid w:val="007F7644"/>
    <w:rsid w:val="007F7936"/>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629DE"/>
    <w:rsid w:val="008644B4"/>
    <w:rsid w:val="008731AB"/>
    <w:rsid w:val="00874344"/>
    <w:rsid w:val="0087505D"/>
    <w:rsid w:val="00877703"/>
    <w:rsid w:val="00882155"/>
    <w:rsid w:val="0088233B"/>
    <w:rsid w:val="0088270F"/>
    <w:rsid w:val="0088599E"/>
    <w:rsid w:val="00886C37"/>
    <w:rsid w:val="008915FC"/>
    <w:rsid w:val="00892D99"/>
    <w:rsid w:val="00893315"/>
    <w:rsid w:val="00894C09"/>
    <w:rsid w:val="008A7B0E"/>
    <w:rsid w:val="008B5C68"/>
    <w:rsid w:val="008B62AE"/>
    <w:rsid w:val="008C04B5"/>
    <w:rsid w:val="008C14FA"/>
    <w:rsid w:val="008C7B0B"/>
    <w:rsid w:val="008D2414"/>
    <w:rsid w:val="008D4057"/>
    <w:rsid w:val="008E1F19"/>
    <w:rsid w:val="008E241E"/>
    <w:rsid w:val="008E4391"/>
    <w:rsid w:val="008E779F"/>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076D"/>
    <w:rsid w:val="009429FF"/>
    <w:rsid w:val="009444D1"/>
    <w:rsid w:val="00945BD6"/>
    <w:rsid w:val="009479FB"/>
    <w:rsid w:val="00951C45"/>
    <w:rsid w:val="00951DD8"/>
    <w:rsid w:val="00955CF3"/>
    <w:rsid w:val="00964C27"/>
    <w:rsid w:val="009656F2"/>
    <w:rsid w:val="00966A08"/>
    <w:rsid w:val="009701B7"/>
    <w:rsid w:val="00971207"/>
    <w:rsid w:val="00971495"/>
    <w:rsid w:val="00975CB4"/>
    <w:rsid w:val="009863B0"/>
    <w:rsid w:val="00987DE1"/>
    <w:rsid w:val="00990571"/>
    <w:rsid w:val="00991905"/>
    <w:rsid w:val="009926B2"/>
    <w:rsid w:val="0099673A"/>
    <w:rsid w:val="009A3291"/>
    <w:rsid w:val="009A3330"/>
    <w:rsid w:val="009A548F"/>
    <w:rsid w:val="009A5750"/>
    <w:rsid w:val="009A7C96"/>
    <w:rsid w:val="009B61BF"/>
    <w:rsid w:val="009C3253"/>
    <w:rsid w:val="009C3DB9"/>
    <w:rsid w:val="009C5968"/>
    <w:rsid w:val="009D0436"/>
    <w:rsid w:val="009D46E5"/>
    <w:rsid w:val="009D568A"/>
    <w:rsid w:val="009F04EC"/>
    <w:rsid w:val="009F114E"/>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3586C"/>
    <w:rsid w:val="00A41CA6"/>
    <w:rsid w:val="00A431ED"/>
    <w:rsid w:val="00A47927"/>
    <w:rsid w:val="00A47FFC"/>
    <w:rsid w:val="00A5442F"/>
    <w:rsid w:val="00A54FF9"/>
    <w:rsid w:val="00A56765"/>
    <w:rsid w:val="00A6455F"/>
    <w:rsid w:val="00A675AC"/>
    <w:rsid w:val="00A7097D"/>
    <w:rsid w:val="00A7581F"/>
    <w:rsid w:val="00A81274"/>
    <w:rsid w:val="00A86ACA"/>
    <w:rsid w:val="00A92439"/>
    <w:rsid w:val="00A92FB1"/>
    <w:rsid w:val="00A95980"/>
    <w:rsid w:val="00A95A0C"/>
    <w:rsid w:val="00A95ED8"/>
    <w:rsid w:val="00AA0236"/>
    <w:rsid w:val="00AA2765"/>
    <w:rsid w:val="00AA77B5"/>
    <w:rsid w:val="00AB6C5D"/>
    <w:rsid w:val="00AC3401"/>
    <w:rsid w:val="00AC51A7"/>
    <w:rsid w:val="00AC5870"/>
    <w:rsid w:val="00AC603B"/>
    <w:rsid w:val="00AD0E89"/>
    <w:rsid w:val="00AD444B"/>
    <w:rsid w:val="00AD5614"/>
    <w:rsid w:val="00AD6C78"/>
    <w:rsid w:val="00AE03F0"/>
    <w:rsid w:val="00AE2EAB"/>
    <w:rsid w:val="00AE5491"/>
    <w:rsid w:val="00AF00C7"/>
    <w:rsid w:val="00AF13D0"/>
    <w:rsid w:val="00AF5E0E"/>
    <w:rsid w:val="00AF5F89"/>
    <w:rsid w:val="00AF6FB4"/>
    <w:rsid w:val="00AF73CB"/>
    <w:rsid w:val="00AF7879"/>
    <w:rsid w:val="00B002D6"/>
    <w:rsid w:val="00B02EF0"/>
    <w:rsid w:val="00B03379"/>
    <w:rsid w:val="00B03FA5"/>
    <w:rsid w:val="00B04110"/>
    <w:rsid w:val="00B05B51"/>
    <w:rsid w:val="00B14E5A"/>
    <w:rsid w:val="00B15370"/>
    <w:rsid w:val="00B16DA4"/>
    <w:rsid w:val="00B17BEB"/>
    <w:rsid w:val="00B20598"/>
    <w:rsid w:val="00B219DF"/>
    <w:rsid w:val="00B21A3C"/>
    <w:rsid w:val="00B223C0"/>
    <w:rsid w:val="00B234ED"/>
    <w:rsid w:val="00B244B5"/>
    <w:rsid w:val="00B249B2"/>
    <w:rsid w:val="00B25CA3"/>
    <w:rsid w:val="00B2765A"/>
    <w:rsid w:val="00B3109A"/>
    <w:rsid w:val="00B32D37"/>
    <w:rsid w:val="00B41AA8"/>
    <w:rsid w:val="00B42B45"/>
    <w:rsid w:val="00B516ED"/>
    <w:rsid w:val="00B53E64"/>
    <w:rsid w:val="00B565DA"/>
    <w:rsid w:val="00B57A6A"/>
    <w:rsid w:val="00B62D0D"/>
    <w:rsid w:val="00B713BE"/>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2B6"/>
    <w:rsid w:val="00BB7468"/>
    <w:rsid w:val="00BC0514"/>
    <w:rsid w:val="00BC188A"/>
    <w:rsid w:val="00BC402E"/>
    <w:rsid w:val="00BC5D42"/>
    <w:rsid w:val="00BC70C6"/>
    <w:rsid w:val="00BD0F48"/>
    <w:rsid w:val="00BD14E5"/>
    <w:rsid w:val="00BD5D25"/>
    <w:rsid w:val="00BE0E50"/>
    <w:rsid w:val="00BE6DDB"/>
    <w:rsid w:val="00BF03E0"/>
    <w:rsid w:val="00BF5010"/>
    <w:rsid w:val="00C03009"/>
    <w:rsid w:val="00C033D5"/>
    <w:rsid w:val="00C03D5F"/>
    <w:rsid w:val="00C13791"/>
    <w:rsid w:val="00C1443C"/>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9A1"/>
    <w:rsid w:val="00CF5D94"/>
    <w:rsid w:val="00CF7E0F"/>
    <w:rsid w:val="00D00893"/>
    <w:rsid w:val="00D034D7"/>
    <w:rsid w:val="00D04BE4"/>
    <w:rsid w:val="00D06FC7"/>
    <w:rsid w:val="00D076C4"/>
    <w:rsid w:val="00D12565"/>
    <w:rsid w:val="00D140C1"/>
    <w:rsid w:val="00D14127"/>
    <w:rsid w:val="00D25B19"/>
    <w:rsid w:val="00D479AE"/>
    <w:rsid w:val="00D47DDD"/>
    <w:rsid w:val="00D50FCD"/>
    <w:rsid w:val="00D533E3"/>
    <w:rsid w:val="00D60B16"/>
    <w:rsid w:val="00D60C1E"/>
    <w:rsid w:val="00D60F02"/>
    <w:rsid w:val="00D61A05"/>
    <w:rsid w:val="00D66E49"/>
    <w:rsid w:val="00D70D71"/>
    <w:rsid w:val="00D72F74"/>
    <w:rsid w:val="00D81563"/>
    <w:rsid w:val="00D81D58"/>
    <w:rsid w:val="00D837C1"/>
    <w:rsid w:val="00D85907"/>
    <w:rsid w:val="00D860AC"/>
    <w:rsid w:val="00D9073E"/>
    <w:rsid w:val="00D920F7"/>
    <w:rsid w:val="00D9221D"/>
    <w:rsid w:val="00D9253C"/>
    <w:rsid w:val="00D958DF"/>
    <w:rsid w:val="00D96DA1"/>
    <w:rsid w:val="00DA51E7"/>
    <w:rsid w:val="00DA7DA7"/>
    <w:rsid w:val="00DB0260"/>
    <w:rsid w:val="00DB1C78"/>
    <w:rsid w:val="00DB7D96"/>
    <w:rsid w:val="00DC23FE"/>
    <w:rsid w:val="00DC59E6"/>
    <w:rsid w:val="00DD0014"/>
    <w:rsid w:val="00DD150B"/>
    <w:rsid w:val="00DD3356"/>
    <w:rsid w:val="00DD5025"/>
    <w:rsid w:val="00DD5464"/>
    <w:rsid w:val="00DD6F85"/>
    <w:rsid w:val="00DE1687"/>
    <w:rsid w:val="00DE254E"/>
    <w:rsid w:val="00DE32C0"/>
    <w:rsid w:val="00DE76A7"/>
    <w:rsid w:val="00DF1510"/>
    <w:rsid w:val="00DF63F1"/>
    <w:rsid w:val="00E02F1F"/>
    <w:rsid w:val="00E05454"/>
    <w:rsid w:val="00E06484"/>
    <w:rsid w:val="00E06B24"/>
    <w:rsid w:val="00E20A7D"/>
    <w:rsid w:val="00E23FE4"/>
    <w:rsid w:val="00E246FE"/>
    <w:rsid w:val="00E275D8"/>
    <w:rsid w:val="00E30F6A"/>
    <w:rsid w:val="00E3117C"/>
    <w:rsid w:val="00E31288"/>
    <w:rsid w:val="00E34307"/>
    <w:rsid w:val="00E34511"/>
    <w:rsid w:val="00E3635B"/>
    <w:rsid w:val="00E36529"/>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12EA"/>
    <w:rsid w:val="00ED3A87"/>
    <w:rsid w:val="00ED5B67"/>
    <w:rsid w:val="00ED6D2B"/>
    <w:rsid w:val="00EE1A5C"/>
    <w:rsid w:val="00EE35A0"/>
    <w:rsid w:val="00EE5A79"/>
    <w:rsid w:val="00EE5F5A"/>
    <w:rsid w:val="00EF264C"/>
    <w:rsid w:val="00EF3FEE"/>
    <w:rsid w:val="00EF6B41"/>
    <w:rsid w:val="00F049F0"/>
    <w:rsid w:val="00F04B59"/>
    <w:rsid w:val="00F07B69"/>
    <w:rsid w:val="00F11741"/>
    <w:rsid w:val="00F117B0"/>
    <w:rsid w:val="00F12B1C"/>
    <w:rsid w:val="00F13CF8"/>
    <w:rsid w:val="00F15855"/>
    <w:rsid w:val="00F200B2"/>
    <w:rsid w:val="00F227DC"/>
    <w:rsid w:val="00F263B9"/>
    <w:rsid w:val="00F30701"/>
    <w:rsid w:val="00F32978"/>
    <w:rsid w:val="00F45423"/>
    <w:rsid w:val="00F45CB2"/>
    <w:rsid w:val="00F511F3"/>
    <w:rsid w:val="00F544C0"/>
    <w:rsid w:val="00F55332"/>
    <w:rsid w:val="00F6156E"/>
    <w:rsid w:val="00F6455D"/>
    <w:rsid w:val="00F6504A"/>
    <w:rsid w:val="00F65519"/>
    <w:rsid w:val="00F66D9F"/>
    <w:rsid w:val="00F713C0"/>
    <w:rsid w:val="00F75DDC"/>
    <w:rsid w:val="00F7792F"/>
    <w:rsid w:val="00F842AA"/>
    <w:rsid w:val="00F8476F"/>
    <w:rsid w:val="00F853E1"/>
    <w:rsid w:val="00F85604"/>
    <w:rsid w:val="00F85B52"/>
    <w:rsid w:val="00F9132B"/>
    <w:rsid w:val="00F93809"/>
    <w:rsid w:val="00F943B4"/>
    <w:rsid w:val="00F94B7A"/>
    <w:rsid w:val="00FA17AC"/>
    <w:rsid w:val="00FA32DE"/>
    <w:rsid w:val="00FA3382"/>
    <w:rsid w:val="00FA59CD"/>
    <w:rsid w:val="00FA753A"/>
    <w:rsid w:val="00FB0CDC"/>
    <w:rsid w:val="00FB1740"/>
    <w:rsid w:val="00FB4235"/>
    <w:rsid w:val="00FC0632"/>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5D7DFC7-C91D-4EC7-9CCF-81922F56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8644B4"/>
    <w:rPr>
      <w:vertAlign w:val="superscript"/>
    </w:rPr>
  </w:style>
  <w:style w:type="character" w:styleId="FollowedHyperlink">
    <w:name w:val="FollowedHyperlink"/>
    <w:basedOn w:val="DefaultParagraphFont"/>
    <w:semiHidden/>
    <w:unhideWhenUsed/>
    <w:rsid w:val="006856EE"/>
    <w:rPr>
      <w:color w:val="800080" w:themeColor="followedHyperlink"/>
      <w:u w:val="single"/>
    </w:rPr>
  </w:style>
  <w:style w:type="character" w:customStyle="1" w:styleId="FootnoteTextChar">
    <w:name w:val="Footnote Text Char"/>
    <w:basedOn w:val="DefaultParagraphFont"/>
    <w:link w:val="FootnoteText"/>
    <w:uiPriority w:val="99"/>
    <w:rsid w:val="00685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6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serve.gov/releases/cp/" TargetMode="External"/><Relationship Id="rId1" Type="http://schemas.openxmlformats.org/officeDocument/2006/relationships/hyperlink" Target="https://www.eia.gov/outlooks/steo/archives/apr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54B9-433B-4E3C-9317-F600AD75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2454</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Aaron Zaslow</dc:creator>
  <cp:lastModifiedBy>Lauren Smith</cp:lastModifiedBy>
  <cp:revision>2</cp:revision>
  <cp:lastPrinted>2024-04-22T16:54:00Z</cp:lastPrinted>
  <dcterms:created xsi:type="dcterms:W3CDTF">2024-04-25T11:33:00Z</dcterms:created>
  <dcterms:modified xsi:type="dcterms:W3CDTF">2024-04-25T11:33:00Z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20240001-EI</vt:lpwstr>
  </property>
  <property fmtid="{D5CDD505-2E9C-101B-9397-08002B2CF9AE}" pid="3" name="MasterDocument">
    <vt:bool>false</vt:bool>
  </property>
</Properties>
</file>