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24951">
            <w:pPr>
              <w:pStyle w:val="MemoHeading"/>
            </w:pPr>
            <w:bookmarkStart w:id="1" w:name="FilingDate"/>
            <w:r>
              <w:t>April 25,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24951" w:rsidRDefault="00A24951">
            <w:pPr>
              <w:pStyle w:val="MemoHeading"/>
            </w:pPr>
            <w:bookmarkStart w:id="2" w:name="From"/>
            <w:r>
              <w:t>Division of Accounting and Finance (Ferrer,</w:t>
            </w:r>
            <w:r w:rsidR="00F86646">
              <w:t xml:space="preserve"> D. </w:t>
            </w:r>
            <w:r w:rsidR="00687C07">
              <w:t>Buys</w:t>
            </w:r>
            <w:r>
              <w:t>)</w:t>
            </w:r>
          </w:p>
          <w:p w:rsidR="007C0528" w:rsidRDefault="00A24951">
            <w:pPr>
              <w:pStyle w:val="MemoHeading"/>
            </w:pPr>
            <w:r>
              <w:t>Office of the General Counsel (</w:t>
            </w:r>
            <w:r w:rsidR="00950361">
              <w:t xml:space="preserve">M. </w:t>
            </w:r>
            <w:r>
              <w:t>Thompson)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24951">
            <w:pPr>
              <w:pStyle w:val="MemoHeadingRe"/>
            </w:pPr>
            <w:bookmarkStart w:id="3" w:name="Re"/>
            <w:r>
              <w:t>Docket No. 20240035-GU – Petition for approval of change in rate used to capitalize allowance for funds used during construction from 6.00% to 7.08%, effective January 1, 2024, by Peoples Gas System,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24951">
            <w:pPr>
              <w:pStyle w:val="MemoHeading"/>
            </w:pPr>
            <w:bookmarkStart w:id="4" w:name="AgendaDate"/>
            <w:r>
              <w:t>05/07/24</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2495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2495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2495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2495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A24951">
      <w:pPr>
        <w:pStyle w:val="BodyText"/>
      </w:pPr>
      <w:r>
        <w:t>Peoples Gas System, Inc.</w:t>
      </w:r>
      <w:r w:rsidR="00E65948">
        <w:t xml:space="preserve"> (PGS</w:t>
      </w:r>
      <w:r>
        <w:t xml:space="preserve"> or Company</w:t>
      </w:r>
      <w:r w:rsidRPr="00A24951">
        <w:t>) current Allowance for Funds Used During C</w:t>
      </w:r>
      <w:r>
        <w:t>onstruction (AFUDC) rate of 6.00</w:t>
      </w:r>
      <w:r w:rsidRPr="00A24951">
        <w:t xml:space="preserve"> percent wa</w:t>
      </w:r>
      <w:r>
        <w:t>s approved by Order No. PSC-2021-0170-PAA-GU, issued May 14, 2021.</w:t>
      </w:r>
      <w:r w:rsidR="00D033EE">
        <w:rPr>
          <w:rStyle w:val="FootnoteReference"/>
        </w:rPr>
        <w:footnoteReference w:id="1"/>
      </w:r>
      <w:r>
        <w:t xml:space="preserve"> On February 16</w:t>
      </w:r>
      <w:r w:rsidRPr="00A24951">
        <w:t>,</w:t>
      </w:r>
      <w:r>
        <w:t xml:space="preserve"> 2024,</w:t>
      </w:r>
      <w:r w:rsidRPr="00A24951">
        <w:t xml:space="preserve"> PGS filed a petition for approval to</w:t>
      </w:r>
      <w:r>
        <w:t xml:space="preserve"> change its AFUDC rate from 6.00</w:t>
      </w:r>
      <w:r w:rsidRPr="00A24951">
        <w:t xml:space="preserve"> percent t</w:t>
      </w:r>
      <w:r>
        <w:t>o 7.08</w:t>
      </w:r>
      <w:r w:rsidRPr="00A24951">
        <w:t xml:space="preserve"> pe</w:t>
      </w:r>
      <w:r>
        <w:t>rcent, effective January 1, 2024</w:t>
      </w:r>
      <w:r w:rsidRPr="00A24951">
        <w:t>. As required by Rule 25-7.0141(5), Florida Administrative Code (F.A.C.), PGS filed with its petition Schedules A, B, and C identifying the capital structure, capital structure adjustments, and the methodology used to calculate the monthly AFUDC rate. The Commission has jurisdiction over this matter pursuant to Chapter 366, Florida Statutes (F.S.), including Sections 366.04, 366.05, and 366.06, F.S</w:t>
      </w:r>
      <w:r>
        <w:t>.</w:t>
      </w:r>
    </w:p>
    <w:p w:rsidR="007C0528" w:rsidRDefault="007C0528" w:rsidP="0068481F"/>
    <w:bookmarkEnd w:id="12"/>
    <w:p w:rsidR="00EA2273" w:rsidRDefault="00EA2273">
      <w:pPr>
        <w:pStyle w:val="RecommendationMajorSectionHeading"/>
        <w:sectPr w:rsidR="00EA2273" w:rsidSect="00ED33CB">
          <w:headerReference w:type="default" r:id="rId9"/>
          <w:footerReference w:type="default" r:id="rId10"/>
          <w:type w:val="continuous"/>
          <w:pgSz w:w="12240" w:h="15840" w:code="1"/>
          <w:pgMar w:top="1440" w:right="1440" w:bottom="576"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65948" w:rsidRDefault="00E65948">
      <w:pPr>
        <w:pStyle w:val="IssueHeading"/>
        <w:rPr>
          <w:vanish/>
          <w:specVanish/>
        </w:rPr>
      </w:pPr>
      <w:r w:rsidRPr="004C3641">
        <w:t xml:space="preserve">Issue </w:t>
      </w:r>
      <w:r w:rsidR="009C5E6A">
        <w:fldChar w:fldCharType="begin"/>
      </w:r>
      <w:r w:rsidR="009C5E6A">
        <w:instrText xml:space="preserve"> SEQ Issue \* MERGEFORMAT </w:instrText>
      </w:r>
      <w:r w:rsidR="009C5E6A">
        <w:fldChar w:fldCharType="separate"/>
      </w:r>
      <w:r w:rsidR="00B4616A">
        <w:rPr>
          <w:noProof/>
        </w:rPr>
        <w:t>1</w:t>
      </w:r>
      <w:r w:rsidR="009C5E6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4616A">
        <w:rPr>
          <w:noProof/>
        </w:rPr>
        <w:instrText>1</w:instrText>
      </w:r>
      <w:r>
        <w:fldChar w:fldCharType="end"/>
      </w:r>
      <w:r>
        <w:tab/>
        <w:instrText xml:space="preserve">" \l 1 </w:instrText>
      </w:r>
      <w:r>
        <w:fldChar w:fldCharType="end"/>
      </w:r>
      <w:r>
        <w:t> </w:t>
      </w:r>
    </w:p>
    <w:p w:rsidR="00E65948" w:rsidRDefault="00E65948">
      <w:pPr>
        <w:pStyle w:val="BodyText"/>
      </w:pPr>
      <w:r>
        <w:t> Should the Commission approve PGS's request  to change its AFUDC rate from 6.00 percent to 7.08 percent?</w:t>
      </w:r>
    </w:p>
    <w:p w:rsidR="00E65948" w:rsidRPr="004C3641" w:rsidRDefault="00E65948">
      <w:pPr>
        <w:pStyle w:val="IssueSubsectionHeading"/>
        <w:rPr>
          <w:vanish/>
          <w:specVanish/>
        </w:rPr>
      </w:pPr>
      <w:r w:rsidRPr="004C3641">
        <w:t>Recommendation: </w:t>
      </w:r>
    </w:p>
    <w:p w:rsidR="00E65948" w:rsidRDefault="00E65948">
      <w:pPr>
        <w:pStyle w:val="BodyText"/>
      </w:pPr>
      <w:r>
        <w:t> Yes. The appropriate AFUDC rate for PGS is 7.08 percent based on a 13-month average capital structure for the period ended December 31, 2023. (Ferrer)</w:t>
      </w:r>
    </w:p>
    <w:p w:rsidR="00E65948" w:rsidRPr="004C3641" w:rsidRDefault="00E65948">
      <w:pPr>
        <w:pStyle w:val="IssueSubsectionHeading"/>
        <w:rPr>
          <w:vanish/>
          <w:specVanish/>
        </w:rPr>
      </w:pPr>
      <w:r w:rsidRPr="004C3641">
        <w:t>Staff Analysis: </w:t>
      </w:r>
    </w:p>
    <w:p w:rsidR="00E65948" w:rsidRDefault="00E65948" w:rsidP="00E65948">
      <w:pPr>
        <w:pStyle w:val="BodyText"/>
      </w:pPr>
      <w:r>
        <w:t xml:space="preserve"> PGS requested an increase in its AFUDC rate from 6.00 percent to 7.08 percent. Rule 25-7.0141(3), </w:t>
      </w:r>
      <w:r w:rsidR="00F41F9A">
        <w:t>F.A.C.</w:t>
      </w:r>
      <w:r>
        <w:t xml:space="preserve">, Allowance for Funds Used During Construction, provides the following guidance: </w:t>
      </w:r>
    </w:p>
    <w:p w:rsidR="00E65948" w:rsidRDefault="00E65948" w:rsidP="00E65948">
      <w:pPr>
        <w:pStyle w:val="BodyText"/>
        <w:ind w:left="720" w:right="720"/>
      </w:pPr>
      <w:r>
        <w:t xml:space="preserve">(3) The applicable AFUDC rate will be determined as follows: </w:t>
      </w:r>
    </w:p>
    <w:p w:rsidR="00E65948" w:rsidRDefault="00E65948" w:rsidP="00E65948">
      <w:pPr>
        <w:pStyle w:val="BodyText"/>
        <w:ind w:left="720" w:right="720"/>
      </w:pPr>
      <w:r>
        <w:t xml:space="preserve">(a) The most recent 13-month average embedded cost of capital, except as noted below, must be derived using all sources of capital and adjusted using adjustments consistent with those used by the Commission in the Company’s last rate case. </w:t>
      </w:r>
    </w:p>
    <w:p w:rsidR="00E65948" w:rsidRDefault="00E65948" w:rsidP="00E65948">
      <w:pPr>
        <w:pStyle w:val="BodyText"/>
        <w:ind w:left="720" w:right="720"/>
      </w:pPr>
      <w:r>
        <w:t xml:space="preserve">(b)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will be calculated to two decimal places. </w:t>
      </w:r>
    </w:p>
    <w:p w:rsidR="00E65948" w:rsidRDefault="00E65948" w:rsidP="00E65948">
      <w:pPr>
        <w:pStyle w:val="BodyText"/>
      </w:pPr>
      <w:r>
        <w:t xml:space="preserve">In support of its requested AFUDC rate of 6.00 percent, PGS provided its calculations and capital structure in Schedules A and B attached to its request. Staff reviewed the schedules and determined that the proposed rate was calculated in accordance with Rule 25-7.0141(3), F.A.C. </w:t>
      </w:r>
      <w:r w:rsidRPr="00EA493D">
        <w:t>The requested increase in th</w:t>
      </w:r>
      <w:r w:rsidR="0037180D" w:rsidRPr="00EA493D">
        <w:t>e AFUDC rate is due to an increase of 27</w:t>
      </w:r>
      <w:r w:rsidRPr="00EA493D">
        <w:t xml:space="preserve"> basis points in the weighted cost of lon</w:t>
      </w:r>
      <w:r w:rsidR="00EA493D" w:rsidRPr="00EA493D">
        <w:t xml:space="preserve">g-term debt, </w:t>
      </w:r>
      <w:r w:rsidR="0037180D" w:rsidRPr="00EA493D">
        <w:t>an increase of 57</w:t>
      </w:r>
      <w:r w:rsidRPr="00EA493D">
        <w:t xml:space="preserve"> basis points in the weighted cost of </w:t>
      </w:r>
      <w:r w:rsidR="0037180D" w:rsidRPr="00EA493D">
        <w:t>short</w:t>
      </w:r>
      <w:r w:rsidR="00F41F9A">
        <w:t>-</w:t>
      </w:r>
      <w:r w:rsidR="0037180D" w:rsidRPr="00EA493D">
        <w:t>term debt, and an increase of 26 basis points</w:t>
      </w:r>
      <w:r w:rsidR="00EA493D" w:rsidRPr="00EA493D">
        <w:t xml:space="preserve"> in the weighted cost of</w:t>
      </w:r>
      <w:r w:rsidR="0037180D" w:rsidRPr="00EA493D">
        <w:t xml:space="preserve"> </w:t>
      </w:r>
      <w:r w:rsidRPr="00EA493D">
        <w:t>common equity, of</w:t>
      </w:r>
      <w:r w:rsidR="00EA493D" w:rsidRPr="00EA493D">
        <w:t>fset by a 2 basis point decrease</w:t>
      </w:r>
      <w:r w:rsidRPr="00EA493D">
        <w:t xml:space="preserve"> in the weighted cost of customer deposits.</w:t>
      </w:r>
      <w:r w:rsidR="00B4616A">
        <w:t xml:space="preserve"> PGS’s c</w:t>
      </w:r>
      <w:r w:rsidR="00F86646">
        <w:t xml:space="preserve">ost rate for short-term debt increased from 1.16 percent in 2020 to 5.84 percent in 2023. </w:t>
      </w:r>
      <w:r w:rsidR="00B4616A">
        <w:t>Over the same period, PGS’s</w:t>
      </w:r>
      <w:r w:rsidR="00F86646">
        <w:t xml:space="preserve"> cost rate for long-term debt increased from 4.69 percent to 5.68 percent.</w:t>
      </w:r>
      <w:r>
        <w:t xml:space="preserve"> </w:t>
      </w:r>
      <w:r w:rsidR="00B4616A">
        <w:t>The debt cost rate increases were</w:t>
      </w:r>
      <w:r w:rsidR="00950361">
        <w:t xml:space="preserve"> primarily</w:t>
      </w:r>
      <w:r w:rsidR="00B4616A">
        <w:t xml:space="preserve"> due to market conditions and the Federal Open Market Committee raising interest rates. </w:t>
      </w:r>
      <w:r>
        <w:t>In its calculation, the Company appropriately used the mid-point return on equity of 10.15 percent, which was approved by Order No. PSC-2023-0388-FOF-GU.</w:t>
      </w:r>
      <w:r>
        <w:rPr>
          <w:rStyle w:val="FootnoteReference"/>
        </w:rPr>
        <w:footnoteReference w:id="2"/>
      </w:r>
      <w:r>
        <w:t xml:space="preserve">  </w:t>
      </w:r>
    </w:p>
    <w:p w:rsidR="00E65948" w:rsidRDefault="00E65948" w:rsidP="00E65948">
      <w:pPr>
        <w:pStyle w:val="BodyText"/>
      </w:pPr>
      <w:r>
        <w:t>Based on its review, staff believes that the requested incr</w:t>
      </w:r>
      <w:r w:rsidR="00F86646">
        <w:t>ease in the AFUDC rate from 6.00 percent to 7.08</w:t>
      </w:r>
      <w:r w:rsidR="00B4616A">
        <w:t xml:space="preserve"> percent is appropriat</w:t>
      </w:r>
      <w:r>
        <w:t>e, consistent with Rule 25-7.0141, F.A.C., and recommends it be approved</w:t>
      </w:r>
      <w:r w:rsidR="00F86646">
        <w:t>.</w:t>
      </w:r>
    </w:p>
    <w:p w:rsidR="00C56D9D" w:rsidRDefault="00C56D9D">
      <w:pPr>
        <w:pStyle w:val="IssueHeading"/>
        <w:rPr>
          <w:vanish/>
          <w:specVanish/>
        </w:rPr>
      </w:pPr>
      <w:r w:rsidRPr="004C3641">
        <w:rPr>
          <w:b w:val="0"/>
          <w:i w:val="0"/>
        </w:rPr>
        <w:br w:type="page"/>
      </w:r>
      <w:r w:rsidRPr="004C3641">
        <w:lastRenderedPageBreak/>
        <w:t xml:space="preserve">Issue </w:t>
      </w:r>
      <w:r w:rsidR="009C5E6A">
        <w:fldChar w:fldCharType="begin"/>
      </w:r>
      <w:r w:rsidR="009C5E6A">
        <w:instrText xml:space="preserve"> SEQ Issue \* MERGEFORMAT </w:instrText>
      </w:r>
      <w:r w:rsidR="009C5E6A">
        <w:fldChar w:fldCharType="separate"/>
      </w:r>
      <w:r w:rsidR="00B4616A">
        <w:rPr>
          <w:noProof/>
        </w:rPr>
        <w:t>2</w:t>
      </w:r>
      <w:r w:rsidR="009C5E6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4616A">
        <w:rPr>
          <w:noProof/>
        </w:rPr>
        <w:instrText>2</w:instrText>
      </w:r>
      <w:r>
        <w:fldChar w:fldCharType="end"/>
      </w:r>
      <w:r>
        <w:tab/>
        <w:instrText xml:space="preserve">" \l 1 </w:instrText>
      </w:r>
      <w:r>
        <w:fldChar w:fldCharType="end"/>
      </w:r>
      <w:r>
        <w:t> </w:t>
      </w:r>
    </w:p>
    <w:p w:rsidR="00C56D9D" w:rsidRDefault="00F86646">
      <w:pPr>
        <w:pStyle w:val="BodyText"/>
      </w:pPr>
      <w:r>
        <w:t> What is the appropriat</w:t>
      </w:r>
      <w:r w:rsidR="00C56D9D">
        <w:t>e monthly compounding rate to achieve PGS's requested annual AFUDC of 7.08 percent?</w:t>
      </w:r>
    </w:p>
    <w:p w:rsidR="00C56D9D" w:rsidRPr="004C3641" w:rsidRDefault="00C56D9D">
      <w:pPr>
        <w:pStyle w:val="IssueSubsectionHeading"/>
        <w:rPr>
          <w:vanish/>
          <w:specVanish/>
        </w:rPr>
      </w:pPr>
      <w:r w:rsidRPr="004C3641">
        <w:t>Recommendation: </w:t>
      </w:r>
    </w:p>
    <w:p w:rsidR="00C56D9D" w:rsidRPr="00C56D9D" w:rsidRDefault="00C56D9D" w:rsidP="00C56D9D">
      <w:pPr>
        <w:pStyle w:val="IssueSubsectionHeading"/>
        <w:rPr>
          <w:rFonts w:ascii="Times New Roman" w:hAnsi="Times New Roman" w:cs="Times New Roman"/>
          <w:b w:val="0"/>
          <w:bCs w:val="0"/>
          <w:i w:val="0"/>
          <w:iCs w:val="0"/>
          <w:szCs w:val="24"/>
        </w:rPr>
      </w:pPr>
      <w:r>
        <w:rPr>
          <w:rFonts w:ascii="Times New Roman" w:hAnsi="Times New Roman" w:cs="Times New Roman"/>
          <w:b w:val="0"/>
          <w:bCs w:val="0"/>
          <w:i w:val="0"/>
          <w:iCs w:val="0"/>
          <w:szCs w:val="24"/>
        </w:rPr>
        <w:t xml:space="preserve"> The appropriate </w:t>
      </w:r>
      <w:r w:rsidR="00CC5318">
        <w:rPr>
          <w:rFonts w:ascii="Times New Roman" w:hAnsi="Times New Roman" w:cs="Times New Roman"/>
          <w:b w:val="0"/>
          <w:bCs w:val="0"/>
          <w:i w:val="0"/>
          <w:iCs w:val="0"/>
          <w:szCs w:val="24"/>
        </w:rPr>
        <w:t>compounding</w:t>
      </w:r>
      <w:r>
        <w:rPr>
          <w:rFonts w:ascii="Times New Roman" w:hAnsi="Times New Roman" w:cs="Times New Roman"/>
          <w:b w:val="0"/>
          <w:bCs w:val="0"/>
          <w:i w:val="0"/>
          <w:iCs w:val="0"/>
          <w:szCs w:val="24"/>
        </w:rPr>
        <w:t xml:space="preserve"> rate to achieve an annual AFUDC </w:t>
      </w:r>
      <w:r w:rsidR="00F86646">
        <w:rPr>
          <w:rFonts w:ascii="Times New Roman" w:hAnsi="Times New Roman" w:cs="Times New Roman"/>
          <w:b w:val="0"/>
          <w:bCs w:val="0"/>
          <w:i w:val="0"/>
          <w:iCs w:val="0"/>
          <w:szCs w:val="24"/>
        </w:rPr>
        <w:t>rate of 7.08 percent is 0.005717</w:t>
      </w:r>
      <w:r>
        <w:rPr>
          <w:rFonts w:ascii="Times New Roman" w:hAnsi="Times New Roman" w:cs="Times New Roman"/>
          <w:b w:val="0"/>
          <w:bCs w:val="0"/>
          <w:i w:val="0"/>
          <w:iCs w:val="0"/>
          <w:szCs w:val="24"/>
        </w:rPr>
        <w:t xml:space="preserve">. </w:t>
      </w:r>
      <w:r w:rsidRPr="00C56D9D">
        <w:rPr>
          <w:rFonts w:ascii="Times New Roman" w:hAnsi="Times New Roman" w:cs="Times New Roman"/>
          <w:b w:val="0"/>
          <w:bCs w:val="0"/>
          <w:i w:val="0"/>
          <w:iCs w:val="0"/>
          <w:szCs w:val="24"/>
        </w:rPr>
        <w:t>(Ferrer)</w:t>
      </w:r>
    </w:p>
    <w:p w:rsidR="00C56D9D" w:rsidRPr="004C3641" w:rsidRDefault="00C56D9D">
      <w:pPr>
        <w:pStyle w:val="IssueSubsectionHeading"/>
        <w:rPr>
          <w:vanish/>
          <w:specVanish/>
        </w:rPr>
      </w:pPr>
      <w:r w:rsidRPr="004C3641">
        <w:t>Staff Analysis: </w:t>
      </w:r>
    </w:p>
    <w:p w:rsidR="00C56D9D" w:rsidRDefault="00C56D9D" w:rsidP="00C56D9D">
      <w:pPr>
        <w:pStyle w:val="BodyText"/>
      </w:pPr>
      <w:r>
        <w:t> PGS requested a mont</w:t>
      </w:r>
      <w:r w:rsidR="00F86646">
        <w:t>hly compounding rate of 0.005717</w:t>
      </w:r>
      <w:r>
        <w:t xml:space="preserve"> to achieve an annual AFUDC rate of 7.08 percent. In support of the requested mont</w:t>
      </w:r>
      <w:r w:rsidR="00F86646">
        <w:t>hly compounding rate of 0.005717</w:t>
      </w:r>
      <w:r>
        <w:t xml:space="preserve">, the Company provided its calculations in Schedule C attached to its request. Rule 25-7.0141(4)(a), F.A.C., provides the following formula for discounting the annual AFUDC rate to reflect monthly compounding. </w:t>
      </w:r>
    </w:p>
    <w:p w:rsidR="00C56D9D" w:rsidRDefault="00C56D9D" w:rsidP="00C56D9D">
      <w:pPr>
        <w:pStyle w:val="BodyText"/>
        <w:ind w:firstLine="720"/>
      </w:pPr>
      <w:r>
        <w:t>M = [((1 + A/100)1/12)-1] x 100</w:t>
      </w:r>
    </w:p>
    <w:p w:rsidR="00C56D9D" w:rsidRDefault="00C56D9D" w:rsidP="00C56D9D">
      <w:pPr>
        <w:pStyle w:val="BodyText"/>
        <w:ind w:firstLine="720"/>
      </w:pPr>
      <w:r>
        <w:t>Where: M = discounted monthly AFUDC rate</w:t>
      </w:r>
    </w:p>
    <w:p w:rsidR="00C56D9D" w:rsidRDefault="00C56D9D" w:rsidP="00C56D9D">
      <w:pPr>
        <w:pStyle w:val="BodyText"/>
      </w:pPr>
      <w:r>
        <w:t xml:space="preserve"> </w:t>
      </w:r>
      <w:r>
        <w:tab/>
        <w:t xml:space="preserve"> A = annual AFUDC rate</w:t>
      </w:r>
    </w:p>
    <w:p w:rsidR="00C56D9D" w:rsidRDefault="00C56D9D" w:rsidP="00C56D9D">
      <w:pPr>
        <w:pStyle w:val="BodyText"/>
      </w:pPr>
      <w:r>
        <w:t xml:space="preserve">The rule also requires that the monthly compounding rate be calculated to six decimal places. </w:t>
      </w:r>
    </w:p>
    <w:p w:rsidR="00C56D9D" w:rsidRDefault="00C56D9D" w:rsidP="00C56D9D">
      <w:pPr>
        <w:pStyle w:val="BodyText"/>
      </w:pPr>
      <w:r>
        <w:t>Staff reviewed the Company’s calculation and determined it was derived in accordance with Rule 25-7.0141(4), F.A.C., as presented in Attachment 2. Therefore, staff recommends that a monthly co</w:t>
      </w:r>
      <w:r w:rsidR="00F86646">
        <w:t>mpounding AFUDC rate of 0.005717</w:t>
      </w:r>
      <w:r>
        <w:t xml:space="preserve"> be approved</w:t>
      </w:r>
      <w:r w:rsidR="00F86646">
        <w:t>.</w:t>
      </w:r>
    </w:p>
    <w:p w:rsidR="00C56D9D" w:rsidRDefault="00C56D9D">
      <w:pPr>
        <w:pStyle w:val="IssueHeading"/>
        <w:rPr>
          <w:vanish/>
          <w:specVanish/>
        </w:rPr>
      </w:pPr>
      <w:r w:rsidRPr="004C3641">
        <w:rPr>
          <w:b w:val="0"/>
          <w:i w:val="0"/>
        </w:rPr>
        <w:br w:type="page"/>
      </w:r>
      <w:r w:rsidRPr="004C3641">
        <w:lastRenderedPageBreak/>
        <w:t xml:space="preserve">Issue </w:t>
      </w:r>
      <w:r w:rsidR="009C5E6A">
        <w:fldChar w:fldCharType="begin"/>
      </w:r>
      <w:r w:rsidR="009C5E6A">
        <w:instrText xml:space="preserve"> SEQ Issue \* MERGEFORMAT </w:instrText>
      </w:r>
      <w:r w:rsidR="009C5E6A">
        <w:fldChar w:fldCharType="separate"/>
      </w:r>
      <w:r w:rsidR="00B4616A">
        <w:rPr>
          <w:noProof/>
        </w:rPr>
        <w:t>3</w:t>
      </w:r>
      <w:r w:rsidR="009C5E6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4616A">
        <w:rPr>
          <w:noProof/>
        </w:rPr>
        <w:instrText>3</w:instrText>
      </w:r>
      <w:r>
        <w:fldChar w:fldCharType="end"/>
      </w:r>
      <w:r>
        <w:tab/>
        <w:instrText xml:space="preserve">" \l 1 </w:instrText>
      </w:r>
      <w:r>
        <w:fldChar w:fldCharType="end"/>
      </w:r>
      <w:r>
        <w:t> </w:t>
      </w:r>
    </w:p>
    <w:p w:rsidR="00C56D9D" w:rsidRDefault="00C56D9D">
      <w:pPr>
        <w:pStyle w:val="BodyText"/>
      </w:pPr>
      <w:r>
        <w:t> Should the Commission approve PGS's requested effective date of January 1, 2024, for implementing the AFUDC rate?</w:t>
      </w:r>
    </w:p>
    <w:p w:rsidR="00C56D9D" w:rsidRPr="004C3641" w:rsidRDefault="00C56D9D">
      <w:pPr>
        <w:pStyle w:val="IssueSubsectionHeading"/>
        <w:rPr>
          <w:vanish/>
          <w:specVanish/>
        </w:rPr>
      </w:pPr>
      <w:r w:rsidRPr="004C3641">
        <w:t>Recommendation: </w:t>
      </w:r>
    </w:p>
    <w:p w:rsidR="00C56D9D" w:rsidRDefault="00D033EE">
      <w:pPr>
        <w:pStyle w:val="BodyText"/>
      </w:pPr>
      <w:r>
        <w:t xml:space="preserve">Yes. The AFUDC rate </w:t>
      </w:r>
      <w:r w:rsidR="00F86646">
        <w:t>should be effective January 1, 2024</w:t>
      </w:r>
      <w:r>
        <w:t>, for all purposes.</w:t>
      </w:r>
      <w:r w:rsidR="00C56D9D">
        <w:t xml:space="preserve"> (Ferrer)</w:t>
      </w:r>
    </w:p>
    <w:p w:rsidR="00C56D9D" w:rsidRPr="004C3641" w:rsidRDefault="00C56D9D">
      <w:pPr>
        <w:pStyle w:val="IssueSubsectionHeading"/>
        <w:rPr>
          <w:vanish/>
          <w:specVanish/>
        </w:rPr>
      </w:pPr>
      <w:r w:rsidRPr="004C3641">
        <w:t>Staff Analysis: </w:t>
      </w:r>
    </w:p>
    <w:p w:rsidR="00D033EE" w:rsidRDefault="00C56D9D" w:rsidP="00D033EE">
      <w:pPr>
        <w:pStyle w:val="BodyText"/>
      </w:pPr>
      <w:r>
        <w:t> </w:t>
      </w:r>
      <w:r w:rsidR="00D033EE">
        <w:t>PGS’s requested AFUDC rate was calculated using the most recent 13-month average capital structure for the period ended December 31, 2023. Rule 25-7.0141(6), F.A.C., provides that:</w:t>
      </w:r>
    </w:p>
    <w:p w:rsidR="00D033EE" w:rsidRDefault="00D033EE" w:rsidP="00D033EE">
      <w:pPr>
        <w:pStyle w:val="BodyText"/>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C56D9D" w:rsidRDefault="00D033EE" w:rsidP="00D033EE">
      <w:pPr>
        <w:pStyle w:val="BodyText"/>
      </w:pPr>
      <w:r>
        <w:t>The Company’s requested effective date of January 1, 2024, complies with the requirement that the effective date does not precede the period used to calculate the rate, and therefore, should be approved.</w:t>
      </w:r>
    </w:p>
    <w:p w:rsidR="00D033EE" w:rsidRDefault="00D033EE">
      <w:pPr>
        <w:pStyle w:val="IssueHeading"/>
        <w:rPr>
          <w:vanish/>
          <w:specVanish/>
        </w:rPr>
      </w:pPr>
      <w:r w:rsidRPr="004C3641">
        <w:rPr>
          <w:b w:val="0"/>
          <w:i w:val="0"/>
        </w:rPr>
        <w:br w:type="page"/>
      </w:r>
      <w:r w:rsidRPr="004C3641">
        <w:lastRenderedPageBreak/>
        <w:t xml:space="preserve">Issue </w:t>
      </w:r>
      <w:r w:rsidR="009C5E6A">
        <w:fldChar w:fldCharType="begin"/>
      </w:r>
      <w:r w:rsidR="009C5E6A">
        <w:instrText xml:space="preserve"> SEQ Issue \* MERGEFORMAT </w:instrText>
      </w:r>
      <w:r w:rsidR="009C5E6A">
        <w:fldChar w:fldCharType="separate"/>
      </w:r>
      <w:r w:rsidR="00B4616A">
        <w:rPr>
          <w:noProof/>
        </w:rPr>
        <w:t>4</w:t>
      </w:r>
      <w:r w:rsidR="009C5E6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4616A">
        <w:rPr>
          <w:noProof/>
        </w:rPr>
        <w:instrText>4</w:instrText>
      </w:r>
      <w:r>
        <w:fldChar w:fldCharType="end"/>
      </w:r>
      <w:r>
        <w:tab/>
        <w:instrText xml:space="preserve">" \l 1 </w:instrText>
      </w:r>
      <w:r>
        <w:fldChar w:fldCharType="end"/>
      </w:r>
      <w:r>
        <w:t> </w:t>
      </w:r>
    </w:p>
    <w:p w:rsidR="00D033EE" w:rsidRDefault="00D033EE">
      <w:pPr>
        <w:pStyle w:val="BodyText"/>
      </w:pPr>
      <w:r>
        <w:t> Should this docket be closed?</w:t>
      </w:r>
    </w:p>
    <w:p w:rsidR="00D033EE" w:rsidRPr="004C3641" w:rsidRDefault="00D033EE">
      <w:pPr>
        <w:pStyle w:val="IssueSubsectionHeading"/>
        <w:rPr>
          <w:vanish/>
          <w:specVanish/>
        </w:rPr>
      </w:pPr>
      <w:r w:rsidRPr="004C3641">
        <w:t>Recommendation: </w:t>
      </w:r>
    </w:p>
    <w:p w:rsidR="00D033EE" w:rsidRDefault="00D033EE">
      <w:pPr>
        <w:pStyle w:val="BodyText"/>
      </w:pPr>
      <w:r>
        <w:t> </w:t>
      </w:r>
      <w:r w:rsidRPr="00D033EE">
        <w:t>If no person whose substantial interests are affected by the proposed agency action files a protest within 21 days of the issuance of the order, this docket should be closed upon the issuance of a consummating order</w:t>
      </w:r>
      <w:r>
        <w:t>. (M. Thompson)</w:t>
      </w:r>
    </w:p>
    <w:p w:rsidR="00D033EE" w:rsidRPr="004C3641" w:rsidRDefault="00D033EE">
      <w:pPr>
        <w:pStyle w:val="IssueSubsectionHeading"/>
        <w:rPr>
          <w:vanish/>
          <w:specVanish/>
        </w:rPr>
      </w:pPr>
      <w:r w:rsidRPr="004C3641">
        <w:t>Staff Analysis: </w:t>
      </w:r>
    </w:p>
    <w:p w:rsidR="009820E9" w:rsidRDefault="00D033EE" w:rsidP="00E275D8">
      <w:pPr>
        <w:pStyle w:val="BodyText"/>
        <w:sectPr w:rsidR="009820E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Pr="00D033EE">
        <w:t>If no person whose substantial interests are affected by the proposed agency action files a protest within 21 days of the issuance of the order, this docket should be closed upon the issuance of a consummating order</w:t>
      </w:r>
      <w:r>
        <w:t>.</w:t>
      </w:r>
    </w:p>
    <w:tbl>
      <w:tblPr>
        <w:tblW w:w="9436" w:type="dxa"/>
        <w:tblInd w:w="108" w:type="dxa"/>
        <w:tblLook w:val="04A0" w:firstRow="1" w:lastRow="0" w:firstColumn="1" w:lastColumn="0" w:noHBand="0" w:noVBand="1"/>
      </w:tblPr>
      <w:tblGrid>
        <w:gridCol w:w="2880"/>
        <w:gridCol w:w="2020"/>
        <w:gridCol w:w="266"/>
        <w:gridCol w:w="1120"/>
        <w:gridCol w:w="266"/>
        <w:gridCol w:w="1188"/>
        <w:gridCol w:w="316"/>
        <w:gridCol w:w="1380"/>
      </w:tblGrid>
      <w:tr w:rsidR="009820E9" w:rsidRPr="000B3D89" w:rsidTr="00802A33">
        <w:trPr>
          <w:trHeight w:val="264"/>
        </w:trPr>
        <w:tc>
          <w:tcPr>
            <w:tcW w:w="9436" w:type="dxa"/>
            <w:gridSpan w:val="8"/>
            <w:tcBorders>
              <w:top w:val="nil"/>
              <w:left w:val="nil"/>
              <w:bottom w:val="nil"/>
              <w:right w:val="nil"/>
            </w:tcBorders>
            <w:shd w:val="clear" w:color="000000" w:fill="FFFFFF"/>
            <w:noWrap/>
            <w:vAlign w:val="bottom"/>
            <w:hideMark/>
          </w:tcPr>
          <w:p w:rsidR="009820E9" w:rsidRPr="000B3D89" w:rsidRDefault="00F86646" w:rsidP="00802A33">
            <w:pPr>
              <w:jc w:val="center"/>
              <w:rPr>
                <w:b/>
                <w:bCs/>
                <w:sz w:val="20"/>
                <w:szCs w:val="20"/>
              </w:rPr>
            </w:pPr>
            <w:r>
              <w:rPr>
                <w:b/>
                <w:bCs/>
                <w:sz w:val="20"/>
                <w:szCs w:val="20"/>
              </w:rPr>
              <w:lastRenderedPageBreak/>
              <w:t>PEOPLES GAS SYSTEM, INC.</w:t>
            </w:r>
          </w:p>
        </w:tc>
      </w:tr>
      <w:tr w:rsidR="009820E9" w:rsidRPr="000B3D89" w:rsidTr="00802A33">
        <w:trPr>
          <w:trHeight w:val="264"/>
        </w:trPr>
        <w:tc>
          <w:tcPr>
            <w:tcW w:w="9436" w:type="dxa"/>
            <w:gridSpan w:val="8"/>
            <w:tcBorders>
              <w:top w:val="nil"/>
              <w:left w:val="nil"/>
              <w:bottom w:val="nil"/>
              <w:right w:val="nil"/>
            </w:tcBorders>
            <w:shd w:val="clear" w:color="000000" w:fill="FFFFFF"/>
            <w:noWrap/>
            <w:vAlign w:val="bottom"/>
            <w:hideMark/>
          </w:tcPr>
          <w:p w:rsidR="009820E9" w:rsidRPr="000B3D89" w:rsidRDefault="009820E9" w:rsidP="00802A33">
            <w:pPr>
              <w:jc w:val="center"/>
              <w:rPr>
                <w:b/>
                <w:bCs/>
                <w:sz w:val="20"/>
                <w:szCs w:val="20"/>
              </w:rPr>
            </w:pPr>
            <w:r w:rsidRPr="000B3D89">
              <w:rPr>
                <w:b/>
                <w:bCs/>
                <w:sz w:val="20"/>
                <w:szCs w:val="20"/>
              </w:rPr>
              <w:t>CAPITAL STRU</w:t>
            </w:r>
            <w:r>
              <w:rPr>
                <w:b/>
                <w:bCs/>
                <w:sz w:val="20"/>
                <w:szCs w:val="20"/>
              </w:rPr>
              <w:t>CTURE USED FOR THE REQUESTED AF</w:t>
            </w:r>
            <w:r w:rsidRPr="000B3D89">
              <w:rPr>
                <w:b/>
                <w:bCs/>
                <w:sz w:val="20"/>
                <w:szCs w:val="20"/>
              </w:rPr>
              <w:t>U</w:t>
            </w:r>
            <w:r>
              <w:rPr>
                <w:b/>
                <w:bCs/>
                <w:sz w:val="20"/>
                <w:szCs w:val="20"/>
              </w:rPr>
              <w:t>D</w:t>
            </w:r>
            <w:r w:rsidRPr="000B3D89">
              <w:rPr>
                <w:b/>
                <w:bCs/>
                <w:sz w:val="20"/>
                <w:szCs w:val="20"/>
              </w:rPr>
              <w:t>C RATE</w:t>
            </w:r>
          </w:p>
        </w:tc>
      </w:tr>
      <w:tr w:rsidR="009820E9" w:rsidRPr="000B3D89" w:rsidTr="00802A33">
        <w:trPr>
          <w:trHeight w:val="264"/>
        </w:trPr>
        <w:tc>
          <w:tcPr>
            <w:tcW w:w="9436" w:type="dxa"/>
            <w:gridSpan w:val="8"/>
            <w:tcBorders>
              <w:top w:val="nil"/>
              <w:left w:val="nil"/>
              <w:bottom w:val="nil"/>
              <w:right w:val="nil"/>
            </w:tcBorders>
            <w:shd w:val="clear" w:color="000000" w:fill="FFFFFF"/>
            <w:noWrap/>
            <w:vAlign w:val="bottom"/>
            <w:hideMark/>
          </w:tcPr>
          <w:p w:rsidR="009820E9" w:rsidRPr="000B3D89" w:rsidRDefault="00F86646" w:rsidP="00802A33">
            <w:pPr>
              <w:jc w:val="center"/>
              <w:rPr>
                <w:b/>
                <w:bCs/>
                <w:sz w:val="20"/>
                <w:szCs w:val="20"/>
              </w:rPr>
            </w:pPr>
            <w:r>
              <w:rPr>
                <w:b/>
                <w:bCs/>
                <w:sz w:val="20"/>
                <w:szCs w:val="20"/>
              </w:rPr>
              <w:t>as of</w:t>
            </w:r>
            <w:r w:rsidR="00802A33">
              <w:rPr>
                <w:b/>
                <w:bCs/>
                <w:sz w:val="20"/>
                <w:szCs w:val="20"/>
              </w:rPr>
              <w:t xml:space="preserve"> December 31</w:t>
            </w:r>
            <w:r w:rsidR="009820E9">
              <w:rPr>
                <w:b/>
                <w:bCs/>
                <w:sz w:val="20"/>
                <w:szCs w:val="20"/>
              </w:rPr>
              <w:t>, 2023</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r>
      <w:tr w:rsidR="009820E9" w:rsidRPr="000B3D89" w:rsidTr="00802A33">
        <w:trPr>
          <w:trHeight w:val="264"/>
        </w:trPr>
        <w:tc>
          <w:tcPr>
            <w:tcW w:w="2880" w:type="dxa"/>
            <w:tcBorders>
              <w:top w:val="nil"/>
              <w:left w:val="nil"/>
              <w:bottom w:val="nil"/>
              <w:right w:val="nil"/>
            </w:tcBorders>
            <w:shd w:val="clear" w:color="000000" w:fill="BFBFBF"/>
            <w:noWrap/>
            <w:vAlign w:val="bottom"/>
            <w:hideMark/>
          </w:tcPr>
          <w:p w:rsidR="009820E9" w:rsidRPr="000B3D89" w:rsidRDefault="009820E9" w:rsidP="00802A33">
            <w:pPr>
              <w:rPr>
                <w:b/>
                <w:bCs/>
                <w:sz w:val="20"/>
                <w:szCs w:val="20"/>
              </w:rPr>
            </w:pPr>
            <w:r>
              <w:rPr>
                <w:b/>
                <w:bCs/>
                <w:sz w:val="20"/>
                <w:szCs w:val="20"/>
              </w:rPr>
              <w:t>STAFF RECOMMENDED</w:t>
            </w:r>
          </w:p>
        </w:tc>
        <w:tc>
          <w:tcPr>
            <w:tcW w:w="2020" w:type="dxa"/>
            <w:tcBorders>
              <w:top w:val="nil"/>
              <w:left w:val="nil"/>
              <w:bottom w:val="nil"/>
              <w:right w:val="nil"/>
            </w:tcBorders>
            <w:shd w:val="clear" w:color="000000" w:fill="BFBFB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9820E9" w:rsidRPr="000B3D89" w:rsidRDefault="009820E9" w:rsidP="00802A33">
            <w:pPr>
              <w:rPr>
                <w:color w:val="000000"/>
                <w:sz w:val="20"/>
                <w:szCs w:val="20"/>
              </w:rPr>
            </w:pPr>
            <w:r w:rsidRPr="000B3D89">
              <w:rPr>
                <w:color w:val="000000"/>
                <w:sz w:val="20"/>
                <w:szCs w:val="20"/>
              </w:rPr>
              <w:t> </w:t>
            </w:r>
          </w:p>
        </w:tc>
      </w:tr>
      <w:tr w:rsidR="009820E9" w:rsidRPr="000B3D89" w:rsidTr="00802A33">
        <w:trPr>
          <w:trHeight w:val="792"/>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9820E9" w:rsidRPr="000B3D89" w:rsidRDefault="009820E9" w:rsidP="00802A33">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9820E9" w:rsidRPr="000B3D89" w:rsidRDefault="009820E9" w:rsidP="00802A33">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9820E9" w:rsidRPr="000B3D89" w:rsidRDefault="009820E9" w:rsidP="00802A33">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9820E9" w:rsidRPr="000B3D89" w:rsidRDefault="009820E9" w:rsidP="00802A33">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Pr>
                <w:sz w:val="20"/>
                <w:szCs w:val="20"/>
              </w:rPr>
              <w:t>$</w:t>
            </w:r>
            <w:r w:rsidR="00F86646">
              <w:rPr>
                <w:sz w:val="20"/>
                <w:szCs w:val="20"/>
              </w:rPr>
              <w:t>942,550,797</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47.40</w:t>
            </w:r>
            <w:r w:rsidR="009820E9" w:rsidRPr="000B3D89">
              <w:rPr>
                <w:sz w:val="20"/>
                <w:szCs w:val="20"/>
              </w:rPr>
              <w:t>%</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10.15</w:t>
            </w:r>
            <w:r w:rsidR="009820E9" w:rsidRPr="000B3D89">
              <w:rPr>
                <w:sz w:val="20"/>
                <w:szCs w:val="20"/>
              </w:rPr>
              <w:t>%</w:t>
            </w: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4.81</w:t>
            </w:r>
            <w:r w:rsidR="009820E9" w:rsidRPr="000B3D89">
              <w:rPr>
                <w:sz w:val="20"/>
                <w:szCs w:val="20"/>
              </w:rPr>
              <w:t>%</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9820E9" w:rsidRPr="000B3D89" w:rsidRDefault="00802A33" w:rsidP="00802A33">
            <w:pPr>
              <w:jc w:val="right"/>
              <w:rPr>
                <w:sz w:val="20"/>
                <w:szCs w:val="20"/>
              </w:rPr>
            </w:pPr>
            <w:r>
              <w:rPr>
                <w:sz w:val="20"/>
                <w:szCs w:val="20"/>
              </w:rPr>
              <w:t>$543,872</w:t>
            </w:r>
            <w:r w:rsidR="00F86646">
              <w:rPr>
                <w:sz w:val="20"/>
                <w:szCs w:val="20"/>
              </w:rPr>
              <w:t>,462</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27.35</w:t>
            </w:r>
            <w:r w:rsidR="009820E9" w:rsidRPr="000B3D89">
              <w:rPr>
                <w:sz w:val="20"/>
                <w:szCs w:val="20"/>
              </w:rPr>
              <w:t>%</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5.68</w:t>
            </w:r>
            <w:r w:rsidR="009820E9" w:rsidRPr="000B3D89">
              <w:rPr>
                <w:sz w:val="20"/>
                <w:szCs w:val="20"/>
              </w:rPr>
              <w:t>%</w:t>
            </w: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p>
        </w:tc>
        <w:tc>
          <w:tcPr>
            <w:tcW w:w="1380"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1.55</w:t>
            </w:r>
            <w:r w:rsidR="009820E9" w:rsidRPr="000B3D89">
              <w:rPr>
                <w:sz w:val="20"/>
                <w:szCs w:val="20"/>
              </w:rPr>
              <w:t>%</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9820E9" w:rsidRPr="000B3D89" w:rsidRDefault="00802A33" w:rsidP="00802A33">
            <w:pPr>
              <w:jc w:val="right"/>
              <w:rPr>
                <w:sz w:val="20"/>
                <w:szCs w:val="20"/>
              </w:rPr>
            </w:pPr>
            <w:r>
              <w:rPr>
                <w:sz w:val="20"/>
                <w:szCs w:val="20"/>
              </w:rPr>
              <w:t>$236,704</w:t>
            </w:r>
            <w:r w:rsidR="00F86646">
              <w:rPr>
                <w:sz w:val="20"/>
                <w:szCs w:val="20"/>
              </w:rPr>
              <w:t>,341</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11.89</w:t>
            </w:r>
            <w:r w:rsidR="009820E9" w:rsidRPr="000B3D89">
              <w:rPr>
                <w:sz w:val="20"/>
                <w:szCs w:val="20"/>
              </w:rPr>
              <w:t>%</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5.84</w:t>
            </w:r>
            <w:r w:rsidR="009820E9" w:rsidRPr="000B3D89">
              <w:rPr>
                <w:sz w:val="20"/>
                <w:szCs w:val="20"/>
              </w:rPr>
              <w:t>%</w:t>
            </w:r>
            <w:r w:rsidR="009820E9">
              <w:rPr>
                <w:sz w:val="20"/>
                <w:szCs w:val="20"/>
              </w:rPr>
              <w:t>*</w:t>
            </w:r>
          </w:p>
        </w:tc>
        <w:tc>
          <w:tcPr>
            <w:tcW w:w="316" w:type="dxa"/>
            <w:tcBorders>
              <w:top w:val="nil"/>
              <w:left w:val="nil"/>
              <w:bottom w:val="nil"/>
              <w:right w:val="nil"/>
            </w:tcBorders>
            <w:shd w:val="clear" w:color="000000" w:fill="FFFFFF"/>
            <w:noWrap/>
            <w:vAlign w:val="bottom"/>
          </w:tcPr>
          <w:p w:rsidR="009820E9" w:rsidRPr="000B3D89" w:rsidRDefault="009820E9" w:rsidP="00802A33">
            <w:pPr>
              <w:rPr>
                <w:sz w:val="20"/>
                <w:szCs w:val="20"/>
              </w:rPr>
            </w:pPr>
            <w:r>
              <w:rPr>
                <w:sz w:val="20"/>
                <w:szCs w:val="20"/>
              </w:rPr>
              <w:t xml:space="preserve"> </w:t>
            </w:r>
          </w:p>
        </w:tc>
        <w:tc>
          <w:tcPr>
            <w:tcW w:w="1380"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0.69</w:t>
            </w:r>
            <w:r w:rsidR="009820E9" w:rsidRPr="000B3D89">
              <w:rPr>
                <w:sz w:val="20"/>
                <w:szCs w:val="20"/>
              </w:rPr>
              <w:t>%</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9820E9" w:rsidRPr="00751411" w:rsidRDefault="00802A33" w:rsidP="00802A33">
            <w:pPr>
              <w:jc w:val="right"/>
              <w:rPr>
                <w:sz w:val="20"/>
                <w:szCs w:val="20"/>
              </w:rPr>
            </w:pPr>
            <w:r>
              <w:rPr>
                <w:sz w:val="20"/>
                <w:szCs w:val="20"/>
              </w:rPr>
              <w:t>$28,387</w:t>
            </w:r>
            <w:r w:rsidR="00F86646">
              <w:rPr>
                <w:sz w:val="20"/>
                <w:szCs w:val="20"/>
              </w:rPr>
              <w:t>,477</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1.43</w:t>
            </w:r>
            <w:r w:rsidR="009820E9" w:rsidRPr="000B3D89">
              <w:rPr>
                <w:sz w:val="20"/>
                <w:szCs w:val="20"/>
              </w:rPr>
              <w:t>%</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2.41</w:t>
            </w:r>
            <w:r w:rsidR="009820E9" w:rsidRPr="000B3D89">
              <w:rPr>
                <w:sz w:val="20"/>
                <w:szCs w:val="20"/>
              </w:rPr>
              <w:t>%</w:t>
            </w:r>
            <w:r w:rsidR="009820E9">
              <w:rPr>
                <w:sz w:val="20"/>
                <w:szCs w:val="20"/>
              </w:rPr>
              <w:t>*</w:t>
            </w: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p>
        </w:tc>
        <w:tc>
          <w:tcPr>
            <w:tcW w:w="138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Pr>
                <w:sz w:val="20"/>
                <w:szCs w:val="20"/>
              </w:rPr>
              <w:t>0.03</w:t>
            </w:r>
            <w:r w:rsidRPr="000B3D89">
              <w:rPr>
                <w:sz w:val="20"/>
                <w:szCs w:val="20"/>
              </w:rPr>
              <w:t>%</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9820E9" w:rsidRPr="000B3D89" w:rsidRDefault="00F86646" w:rsidP="00802A33">
            <w:pPr>
              <w:jc w:val="right"/>
              <w:rPr>
                <w:sz w:val="20"/>
                <w:szCs w:val="20"/>
              </w:rPr>
            </w:pPr>
            <w:r>
              <w:rPr>
                <w:sz w:val="20"/>
                <w:szCs w:val="20"/>
              </w:rPr>
              <w:t>$237,186,904</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E84B21" w:rsidP="00802A33">
            <w:pPr>
              <w:jc w:val="right"/>
              <w:rPr>
                <w:sz w:val="20"/>
                <w:szCs w:val="20"/>
              </w:rPr>
            </w:pPr>
            <w:r>
              <w:rPr>
                <w:sz w:val="20"/>
                <w:szCs w:val="20"/>
              </w:rPr>
              <w:t>11.93</w:t>
            </w:r>
            <w:r w:rsidR="009820E9" w:rsidRPr="000B3D89">
              <w:rPr>
                <w:sz w:val="20"/>
                <w:szCs w:val="20"/>
              </w:rPr>
              <w:t>%</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r w:rsidRPr="000B3D89">
              <w:rPr>
                <w:sz w:val="20"/>
                <w:szCs w:val="20"/>
              </w:rPr>
              <w:t>0.00%</w:t>
            </w: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820E9" w:rsidRPr="000B3D89" w:rsidRDefault="009820E9" w:rsidP="00802A33">
            <w:pPr>
              <w:jc w:val="right"/>
              <w:rPr>
                <w:sz w:val="20"/>
                <w:szCs w:val="20"/>
              </w:rPr>
            </w:pP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p>
        </w:tc>
        <w:tc>
          <w:tcPr>
            <w:tcW w:w="202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9820E9" w:rsidP="00802A33">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9820E9" w:rsidRPr="000B3D89" w:rsidRDefault="009820E9" w:rsidP="00802A33">
            <w:pPr>
              <w:jc w:val="center"/>
              <w:rPr>
                <w:sz w:val="20"/>
                <w:szCs w:val="20"/>
              </w:rPr>
            </w:pPr>
            <w:r w:rsidRPr="000B3D89">
              <w:rPr>
                <w:sz w:val="20"/>
                <w:szCs w:val="20"/>
              </w:rPr>
              <w:t> </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9820E9" w:rsidRPr="000B3D89" w:rsidRDefault="009820E9" w:rsidP="00802A33">
            <w:pPr>
              <w:jc w:val="right"/>
              <w:rPr>
                <w:b/>
                <w:sz w:val="20"/>
                <w:szCs w:val="20"/>
              </w:rPr>
            </w:pPr>
            <w:r w:rsidRPr="000B3D89">
              <w:rPr>
                <w:b/>
                <w:sz w:val="20"/>
                <w:szCs w:val="20"/>
              </w:rPr>
              <w:t>$</w:t>
            </w:r>
            <w:r w:rsidR="00CC5318">
              <w:rPr>
                <w:b/>
                <w:sz w:val="20"/>
                <w:szCs w:val="20"/>
              </w:rPr>
              <w:t>1,988,701,981</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9820E9" w:rsidRPr="000B3D89" w:rsidRDefault="009820E9" w:rsidP="00802A33">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9820E9" w:rsidP="00802A33">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9820E9" w:rsidRPr="000B3D89" w:rsidRDefault="00E84B21" w:rsidP="00802A33">
            <w:pPr>
              <w:jc w:val="right"/>
              <w:rPr>
                <w:b/>
                <w:sz w:val="20"/>
                <w:szCs w:val="20"/>
              </w:rPr>
            </w:pPr>
            <w:r>
              <w:rPr>
                <w:b/>
                <w:sz w:val="20"/>
                <w:szCs w:val="20"/>
              </w:rPr>
              <w:t>7.08</w:t>
            </w:r>
            <w:r w:rsidR="009820E9" w:rsidRPr="000B3D89">
              <w:rPr>
                <w:b/>
                <w:sz w:val="20"/>
                <w:szCs w:val="20"/>
              </w:rPr>
              <w:t>%</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r>
      <w:tr w:rsidR="009820E9" w:rsidRPr="000B3D89" w:rsidTr="00802A33">
        <w:trPr>
          <w:trHeight w:val="264"/>
        </w:trPr>
        <w:tc>
          <w:tcPr>
            <w:tcW w:w="2880" w:type="dxa"/>
            <w:tcBorders>
              <w:top w:val="nil"/>
              <w:left w:val="nil"/>
              <w:bottom w:val="nil"/>
              <w:right w:val="nil"/>
            </w:tcBorders>
            <w:shd w:val="clear" w:color="000000" w:fill="FFFFFF"/>
            <w:noWrap/>
            <w:vAlign w:val="bottom"/>
            <w:hideMark/>
          </w:tcPr>
          <w:p w:rsidR="009820E9" w:rsidRPr="000B3D89" w:rsidRDefault="009820E9" w:rsidP="00802A33">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r>
    </w:tbl>
    <w:p w:rsidR="009820E9" w:rsidRDefault="009820E9" w:rsidP="00E275D8">
      <w:pPr>
        <w:pStyle w:val="BodyText"/>
        <w:sectPr w:rsidR="009820E9" w:rsidSect="0068481F">
          <w:headerReference w:type="default" r:id="rId14"/>
          <w:pgSz w:w="12240" w:h="15840" w:code="1"/>
          <w:pgMar w:top="1584" w:right="1440" w:bottom="1440" w:left="1440" w:header="720" w:footer="720" w:gutter="0"/>
          <w:cols w:space="720"/>
          <w:formProt w:val="0"/>
          <w:docGrid w:linePitch="360"/>
        </w:sectPr>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9820E9" w:rsidRPr="000B3D89" w:rsidTr="00802A33">
        <w:trPr>
          <w:trHeight w:val="274"/>
          <w:jc w:val="center"/>
        </w:trPr>
        <w:tc>
          <w:tcPr>
            <w:tcW w:w="6907" w:type="dxa"/>
            <w:gridSpan w:val="7"/>
            <w:tcBorders>
              <w:top w:val="nil"/>
              <w:left w:val="nil"/>
              <w:bottom w:val="nil"/>
              <w:right w:val="nil"/>
            </w:tcBorders>
            <w:shd w:val="clear" w:color="000000" w:fill="FFFFFF"/>
            <w:noWrap/>
            <w:vAlign w:val="bottom"/>
            <w:hideMark/>
          </w:tcPr>
          <w:p w:rsidR="009820E9" w:rsidRPr="000B3D89" w:rsidRDefault="00CC5318" w:rsidP="00F41F9A">
            <w:pPr>
              <w:jc w:val="center"/>
              <w:rPr>
                <w:b/>
                <w:bCs/>
                <w:color w:val="000000"/>
                <w:sz w:val="20"/>
                <w:szCs w:val="20"/>
              </w:rPr>
            </w:pPr>
            <w:r>
              <w:rPr>
                <w:b/>
                <w:bCs/>
                <w:color w:val="000000"/>
                <w:sz w:val="20"/>
                <w:szCs w:val="20"/>
              </w:rPr>
              <w:lastRenderedPageBreak/>
              <w:t>PEOPLES GAS SYSTEM, INC.</w:t>
            </w:r>
          </w:p>
        </w:tc>
      </w:tr>
      <w:tr w:rsidR="009820E9" w:rsidRPr="000B3D89" w:rsidTr="00802A33">
        <w:trPr>
          <w:trHeight w:val="274"/>
          <w:jc w:val="center"/>
        </w:trPr>
        <w:tc>
          <w:tcPr>
            <w:tcW w:w="6907" w:type="dxa"/>
            <w:gridSpan w:val="7"/>
            <w:tcBorders>
              <w:top w:val="nil"/>
              <w:left w:val="nil"/>
              <w:bottom w:val="nil"/>
              <w:right w:val="nil"/>
            </w:tcBorders>
            <w:shd w:val="clear" w:color="000000" w:fill="FFFFF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xml:space="preserve">METHODOLOGY FOR </w:t>
            </w:r>
            <w:r>
              <w:rPr>
                <w:b/>
                <w:bCs/>
                <w:color w:val="000000"/>
                <w:sz w:val="20"/>
                <w:szCs w:val="20"/>
              </w:rPr>
              <w:t xml:space="preserve">MONTHLY </w:t>
            </w:r>
            <w:r w:rsidRPr="000B3D89">
              <w:rPr>
                <w:b/>
                <w:bCs/>
                <w:color w:val="000000"/>
                <w:sz w:val="20"/>
                <w:szCs w:val="20"/>
              </w:rPr>
              <w:t>COMPOUNDING AFUDC RATE</w:t>
            </w:r>
          </w:p>
        </w:tc>
      </w:tr>
      <w:tr w:rsidR="009820E9" w:rsidRPr="000B3D89" w:rsidTr="00802A33">
        <w:trPr>
          <w:trHeight w:val="274"/>
          <w:jc w:val="center"/>
        </w:trPr>
        <w:tc>
          <w:tcPr>
            <w:tcW w:w="6907" w:type="dxa"/>
            <w:gridSpan w:val="7"/>
            <w:tcBorders>
              <w:top w:val="nil"/>
              <w:left w:val="nil"/>
              <w:bottom w:val="nil"/>
              <w:right w:val="nil"/>
            </w:tcBorders>
            <w:shd w:val="clear" w:color="000000" w:fill="FFFFFF"/>
            <w:noWrap/>
            <w:vAlign w:val="bottom"/>
            <w:hideMark/>
          </w:tcPr>
          <w:p w:rsidR="009820E9" w:rsidRPr="000B3D89" w:rsidRDefault="00CC5318" w:rsidP="00802A33">
            <w:pPr>
              <w:jc w:val="center"/>
              <w:rPr>
                <w:b/>
                <w:bCs/>
                <w:color w:val="000000"/>
                <w:sz w:val="20"/>
                <w:szCs w:val="20"/>
              </w:rPr>
            </w:pPr>
            <w:r>
              <w:rPr>
                <w:b/>
                <w:bCs/>
                <w:color w:val="000000"/>
                <w:sz w:val="20"/>
                <w:szCs w:val="20"/>
              </w:rPr>
              <w:t>as of</w:t>
            </w:r>
            <w:r w:rsidR="00E84B21">
              <w:rPr>
                <w:b/>
                <w:bCs/>
                <w:color w:val="000000"/>
                <w:sz w:val="20"/>
                <w:szCs w:val="20"/>
              </w:rPr>
              <w:t xml:space="preserve"> December 31</w:t>
            </w:r>
            <w:r w:rsidR="009820E9">
              <w:rPr>
                <w:b/>
                <w:bCs/>
                <w:color w:val="000000"/>
                <w:sz w:val="20"/>
                <w:szCs w:val="20"/>
              </w:rPr>
              <w:t>, 2023</w:t>
            </w:r>
          </w:p>
        </w:tc>
      </w:tr>
      <w:tr w:rsidR="009820E9" w:rsidRPr="000B3D89"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w:t>
            </w:r>
          </w:p>
        </w:tc>
      </w:tr>
      <w:tr w:rsidR="009820E9" w:rsidRPr="000B3D89" w:rsidTr="00802A33">
        <w:trPr>
          <w:trHeight w:val="274"/>
          <w:jc w:val="center"/>
        </w:trPr>
        <w:tc>
          <w:tcPr>
            <w:tcW w:w="2910" w:type="dxa"/>
            <w:gridSpan w:val="3"/>
            <w:tcBorders>
              <w:top w:val="nil"/>
              <w:left w:val="nil"/>
              <w:bottom w:val="nil"/>
              <w:right w:val="nil"/>
            </w:tcBorders>
            <w:shd w:val="clear" w:color="000000" w:fill="BFBFBF"/>
            <w:noWrap/>
            <w:vAlign w:val="bottom"/>
            <w:hideMark/>
          </w:tcPr>
          <w:p w:rsidR="009820E9" w:rsidRPr="000B3D89" w:rsidRDefault="009820E9" w:rsidP="00802A33">
            <w:pPr>
              <w:rPr>
                <w:b/>
                <w:bCs/>
                <w:color w:val="000000"/>
                <w:sz w:val="20"/>
                <w:szCs w:val="20"/>
              </w:rPr>
            </w:pPr>
            <w:r>
              <w:rPr>
                <w:b/>
                <w:bCs/>
                <w:color w:val="000000"/>
                <w:sz w:val="20"/>
                <w:szCs w:val="20"/>
              </w:rPr>
              <w:t>STAFF RECOMMENDED</w:t>
            </w:r>
          </w:p>
        </w:tc>
        <w:tc>
          <w:tcPr>
            <w:tcW w:w="266" w:type="dxa"/>
            <w:tcBorders>
              <w:top w:val="nil"/>
              <w:left w:val="nil"/>
              <w:bottom w:val="nil"/>
              <w:right w:val="nil"/>
            </w:tcBorders>
            <w:shd w:val="clear" w:color="000000" w:fill="BFBFB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9820E9" w:rsidRPr="000B3D89" w:rsidRDefault="009820E9" w:rsidP="00802A33">
            <w:pPr>
              <w:jc w:val="center"/>
              <w:rPr>
                <w:b/>
                <w:bCs/>
                <w:color w:val="000000"/>
                <w:sz w:val="20"/>
                <w:szCs w:val="20"/>
              </w:rPr>
            </w:pPr>
            <w:r w:rsidRPr="000B3D89">
              <w:rPr>
                <w:b/>
                <w:bCs/>
                <w:color w:val="000000"/>
                <w:sz w:val="20"/>
                <w:szCs w:val="20"/>
              </w:rPr>
              <w:t> </w:t>
            </w:r>
          </w:p>
        </w:tc>
      </w:tr>
      <w:tr w:rsidR="009820E9" w:rsidRPr="000B3D89" w:rsidTr="00802A33">
        <w:trPr>
          <w:trHeight w:val="788"/>
          <w:jc w:val="center"/>
        </w:trPr>
        <w:tc>
          <w:tcPr>
            <w:tcW w:w="1105" w:type="dxa"/>
            <w:tcBorders>
              <w:top w:val="nil"/>
              <w:left w:val="nil"/>
              <w:bottom w:val="single" w:sz="4" w:space="0" w:color="auto"/>
              <w:right w:val="nil"/>
            </w:tcBorders>
            <w:shd w:val="clear" w:color="000000" w:fill="FFFFFF"/>
            <w:vAlign w:val="bottom"/>
            <w:hideMark/>
          </w:tcPr>
          <w:p w:rsidR="009820E9" w:rsidRPr="000B3D89" w:rsidRDefault="009820E9" w:rsidP="00802A33">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9820E9" w:rsidRPr="000B3D89" w:rsidRDefault="009820E9" w:rsidP="00802A33">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9820E9" w:rsidRPr="000B3D89" w:rsidRDefault="009820E9" w:rsidP="00802A33">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9820E9" w:rsidRPr="000B3D89" w:rsidRDefault="009820E9" w:rsidP="00802A33">
            <w:pPr>
              <w:jc w:val="center"/>
              <w:rPr>
                <w:b/>
                <w:bCs/>
                <w:color w:val="000000"/>
                <w:sz w:val="20"/>
                <w:szCs w:val="20"/>
              </w:rPr>
            </w:pPr>
            <w:r w:rsidRPr="000B3D89">
              <w:rPr>
                <w:b/>
                <w:bCs/>
                <w:color w:val="000000"/>
                <w:sz w:val="20"/>
                <w:szCs w:val="20"/>
              </w:rPr>
              <w:t>CUMULATIVE AFUDC   RATE</w:t>
            </w:r>
          </w:p>
        </w:tc>
      </w:tr>
      <w:tr w:rsidR="009820E9" w:rsidRPr="000B3D89"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9820E9" w:rsidP="00802A33">
            <w:pPr>
              <w:jc w:val="right"/>
              <w:rPr>
                <w:color w:val="000000"/>
                <w:sz w:val="20"/>
                <w:szCs w:val="20"/>
              </w:rPr>
            </w:pPr>
            <w:r w:rsidRPr="0076252B">
              <w:rPr>
                <w:color w:val="000000"/>
                <w:sz w:val="20"/>
                <w:szCs w:val="20"/>
              </w:rPr>
              <w:t>1.000000</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rsidR="009820E9" w:rsidRPr="0076252B" w:rsidRDefault="00E84B21" w:rsidP="00802A33">
            <w:pPr>
              <w:jc w:val="right"/>
              <w:rPr>
                <w:color w:val="000000"/>
                <w:sz w:val="20"/>
                <w:szCs w:val="20"/>
              </w:rPr>
            </w:pPr>
            <w:r>
              <w:rPr>
                <w:color w:val="000000"/>
                <w:sz w:val="20"/>
                <w:szCs w:val="20"/>
              </w:rPr>
              <w:t>0.005717</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E84B21" w:rsidP="00802A33">
            <w:pPr>
              <w:jc w:val="right"/>
              <w:rPr>
                <w:color w:val="000000"/>
                <w:sz w:val="20"/>
                <w:szCs w:val="20"/>
              </w:rPr>
            </w:pPr>
            <w:r>
              <w:rPr>
                <w:color w:val="000000"/>
                <w:sz w:val="20"/>
                <w:szCs w:val="20"/>
              </w:rPr>
              <w:t>0.005717</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1.005717</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rsidR="009820E9" w:rsidRPr="0076252B" w:rsidRDefault="00B36E00" w:rsidP="00802A33">
            <w:pPr>
              <w:jc w:val="right"/>
              <w:rPr>
                <w:color w:val="000000"/>
                <w:sz w:val="20"/>
                <w:szCs w:val="20"/>
              </w:rPr>
            </w:pPr>
            <w:r>
              <w:rPr>
                <w:color w:val="000000"/>
                <w:sz w:val="20"/>
                <w:szCs w:val="20"/>
              </w:rPr>
              <w:t>0.005749</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E84B21" w:rsidP="00802A33">
            <w:pPr>
              <w:jc w:val="right"/>
              <w:rPr>
                <w:color w:val="000000"/>
                <w:sz w:val="20"/>
                <w:szCs w:val="20"/>
              </w:rPr>
            </w:pPr>
            <w:r>
              <w:rPr>
                <w:color w:val="000000"/>
                <w:sz w:val="20"/>
                <w:szCs w:val="20"/>
              </w:rPr>
              <w:t>0.011</w:t>
            </w:r>
            <w:r w:rsidR="00B36E00">
              <w:rPr>
                <w:color w:val="000000"/>
                <w:sz w:val="20"/>
                <w:szCs w:val="20"/>
              </w:rPr>
              <w:t>466</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1.011466</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rsidR="009820E9" w:rsidRPr="0076252B" w:rsidRDefault="00B36E00" w:rsidP="00802A33">
            <w:pPr>
              <w:jc w:val="right"/>
              <w:rPr>
                <w:color w:val="000000"/>
                <w:sz w:val="20"/>
                <w:szCs w:val="20"/>
              </w:rPr>
            </w:pPr>
            <w:r>
              <w:rPr>
                <w:color w:val="000000"/>
                <w:sz w:val="20"/>
                <w:szCs w:val="20"/>
              </w:rPr>
              <w:t>0.005782</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B36E00" w:rsidP="00802A33">
            <w:pPr>
              <w:jc w:val="right"/>
              <w:rPr>
                <w:color w:val="000000"/>
                <w:sz w:val="20"/>
                <w:szCs w:val="20"/>
              </w:rPr>
            </w:pPr>
            <w:r>
              <w:rPr>
                <w:color w:val="000000"/>
                <w:sz w:val="20"/>
                <w:szCs w:val="20"/>
              </w:rPr>
              <w:t>0.017249</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1.017249</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0.005815</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B36E00" w:rsidP="00802A33">
            <w:pPr>
              <w:jc w:val="right"/>
              <w:rPr>
                <w:color w:val="000000"/>
                <w:sz w:val="20"/>
                <w:szCs w:val="20"/>
              </w:rPr>
            </w:pPr>
            <w:r>
              <w:rPr>
                <w:color w:val="000000"/>
                <w:sz w:val="20"/>
                <w:szCs w:val="20"/>
              </w:rPr>
              <w:t>0.023064</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1.023064</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0.005849</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9820E9" w:rsidP="00802A33">
            <w:pPr>
              <w:jc w:val="right"/>
              <w:rPr>
                <w:color w:val="000000"/>
                <w:sz w:val="20"/>
                <w:szCs w:val="20"/>
              </w:rPr>
            </w:pPr>
            <w:r w:rsidRPr="0076252B">
              <w:rPr>
                <w:color w:val="000000"/>
                <w:sz w:val="20"/>
                <w:szCs w:val="20"/>
              </w:rPr>
              <w:t>0.02</w:t>
            </w:r>
            <w:r w:rsidR="00B36E00">
              <w:rPr>
                <w:color w:val="000000"/>
                <w:sz w:val="20"/>
                <w:szCs w:val="20"/>
              </w:rPr>
              <w:t>8913</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1.028913</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0.005882</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B36E00" w:rsidP="00802A33">
            <w:pPr>
              <w:jc w:val="right"/>
              <w:rPr>
                <w:color w:val="000000"/>
                <w:sz w:val="20"/>
                <w:szCs w:val="20"/>
              </w:rPr>
            </w:pPr>
            <w:r>
              <w:rPr>
                <w:color w:val="000000"/>
                <w:sz w:val="20"/>
                <w:szCs w:val="20"/>
              </w:rPr>
              <w:t>0.034795</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1.034795</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0.005916</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B36E00" w:rsidP="00802A33">
            <w:pPr>
              <w:jc w:val="right"/>
              <w:rPr>
                <w:color w:val="000000"/>
                <w:sz w:val="20"/>
                <w:szCs w:val="20"/>
              </w:rPr>
            </w:pPr>
            <w:r>
              <w:rPr>
                <w:color w:val="000000"/>
                <w:sz w:val="20"/>
                <w:szCs w:val="20"/>
              </w:rPr>
              <w:t>0.040710</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1.040710</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0.005950</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B36E00" w:rsidP="00802A33">
            <w:pPr>
              <w:jc w:val="right"/>
              <w:rPr>
                <w:color w:val="000000"/>
                <w:sz w:val="20"/>
                <w:szCs w:val="20"/>
              </w:rPr>
            </w:pPr>
            <w:r>
              <w:rPr>
                <w:color w:val="000000"/>
                <w:sz w:val="20"/>
                <w:szCs w:val="20"/>
              </w:rPr>
              <w:t>0.046660</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1.046660</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0.005984</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B36E00" w:rsidP="00802A33">
            <w:pPr>
              <w:jc w:val="right"/>
              <w:rPr>
                <w:color w:val="000000"/>
                <w:sz w:val="20"/>
                <w:szCs w:val="20"/>
              </w:rPr>
            </w:pPr>
            <w:r>
              <w:rPr>
                <w:color w:val="000000"/>
                <w:sz w:val="20"/>
                <w:szCs w:val="20"/>
              </w:rPr>
              <w:t>0.052643</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1.052643</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0.006018</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B36E00" w:rsidP="00802A33">
            <w:pPr>
              <w:jc w:val="right"/>
              <w:rPr>
                <w:color w:val="000000"/>
                <w:sz w:val="20"/>
                <w:szCs w:val="20"/>
              </w:rPr>
            </w:pPr>
            <w:r>
              <w:rPr>
                <w:color w:val="000000"/>
                <w:sz w:val="20"/>
                <w:szCs w:val="20"/>
              </w:rPr>
              <w:t>0.058661</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1.058661</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0.006052</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B36E00" w:rsidP="00802A33">
            <w:pPr>
              <w:jc w:val="right"/>
              <w:rPr>
                <w:color w:val="000000"/>
                <w:sz w:val="20"/>
                <w:szCs w:val="20"/>
              </w:rPr>
            </w:pPr>
            <w:r>
              <w:rPr>
                <w:color w:val="000000"/>
                <w:sz w:val="20"/>
                <w:szCs w:val="20"/>
              </w:rPr>
              <w:t>0.064713</w:t>
            </w:r>
          </w:p>
        </w:tc>
      </w:tr>
      <w:tr w:rsidR="009820E9" w:rsidRPr="002A729C"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1.064713</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76252B" w:rsidRDefault="00B36E00" w:rsidP="00802A33">
            <w:pPr>
              <w:jc w:val="right"/>
              <w:rPr>
                <w:color w:val="000000"/>
                <w:sz w:val="20"/>
                <w:szCs w:val="20"/>
              </w:rPr>
            </w:pPr>
            <w:r>
              <w:rPr>
                <w:color w:val="000000"/>
                <w:sz w:val="20"/>
                <w:szCs w:val="20"/>
              </w:rPr>
              <w:t>0.006087</w:t>
            </w:r>
          </w:p>
        </w:tc>
        <w:tc>
          <w:tcPr>
            <w:tcW w:w="266" w:type="dxa"/>
            <w:tcBorders>
              <w:top w:val="nil"/>
              <w:left w:val="nil"/>
              <w:bottom w:val="nil"/>
              <w:right w:val="nil"/>
            </w:tcBorders>
            <w:shd w:val="clear" w:color="000000" w:fill="FFFFFF"/>
            <w:noWrap/>
            <w:vAlign w:val="bottom"/>
            <w:hideMark/>
          </w:tcPr>
          <w:p w:rsidR="009820E9" w:rsidRPr="0076252B" w:rsidRDefault="009820E9" w:rsidP="00802A33">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9820E9" w:rsidRPr="0076252B" w:rsidRDefault="00B36E00" w:rsidP="00802A33">
            <w:pPr>
              <w:jc w:val="right"/>
              <w:rPr>
                <w:b/>
                <w:bCs/>
                <w:color w:val="000000"/>
                <w:sz w:val="20"/>
                <w:szCs w:val="20"/>
              </w:rPr>
            </w:pPr>
            <w:r>
              <w:rPr>
                <w:b/>
                <w:bCs/>
                <w:color w:val="000000"/>
                <w:sz w:val="20"/>
                <w:szCs w:val="20"/>
              </w:rPr>
              <w:t>0.070800</w:t>
            </w:r>
          </w:p>
        </w:tc>
      </w:tr>
      <w:tr w:rsidR="009820E9" w:rsidRPr="000B3D89" w:rsidTr="00802A33">
        <w:trPr>
          <w:trHeight w:val="274"/>
          <w:jc w:val="center"/>
        </w:trPr>
        <w:tc>
          <w:tcPr>
            <w:tcW w:w="1105"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r>
      <w:tr w:rsidR="009820E9" w:rsidRPr="000B3D89" w:rsidTr="00802A33">
        <w:trPr>
          <w:trHeight w:val="274"/>
          <w:jc w:val="center"/>
        </w:trPr>
        <w:tc>
          <w:tcPr>
            <w:tcW w:w="2910" w:type="dxa"/>
            <w:gridSpan w:val="3"/>
            <w:tcBorders>
              <w:top w:val="nil"/>
              <w:left w:val="nil"/>
              <w:bottom w:val="nil"/>
              <w:right w:val="nil"/>
            </w:tcBorders>
            <w:shd w:val="clear" w:color="000000" w:fill="FFFFFF"/>
            <w:noWrap/>
            <w:vAlign w:val="bottom"/>
            <w:hideMark/>
          </w:tcPr>
          <w:p w:rsidR="009820E9" w:rsidRPr="000B3D89" w:rsidRDefault="00B36E00" w:rsidP="00802A33">
            <w:pPr>
              <w:rPr>
                <w:b/>
                <w:bCs/>
                <w:color w:val="000000"/>
                <w:sz w:val="20"/>
                <w:szCs w:val="20"/>
              </w:rPr>
            </w:pPr>
            <w:r>
              <w:rPr>
                <w:b/>
                <w:bCs/>
                <w:color w:val="000000"/>
                <w:sz w:val="20"/>
                <w:szCs w:val="20"/>
              </w:rPr>
              <w:t>Annual Rate (R) = 0.0708</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r>
      <w:tr w:rsidR="009820E9" w:rsidRPr="000B3D89" w:rsidTr="00802A33">
        <w:trPr>
          <w:trHeight w:val="274"/>
          <w:jc w:val="center"/>
        </w:trPr>
        <w:tc>
          <w:tcPr>
            <w:tcW w:w="4865" w:type="dxa"/>
            <w:gridSpan w:val="5"/>
            <w:tcBorders>
              <w:top w:val="nil"/>
              <w:left w:val="nil"/>
              <w:bottom w:val="nil"/>
              <w:right w:val="nil"/>
            </w:tcBorders>
            <w:shd w:val="clear" w:color="000000" w:fill="FFFFFF"/>
            <w:noWrap/>
            <w:vAlign w:val="bottom"/>
            <w:hideMark/>
          </w:tcPr>
          <w:p w:rsidR="009820E9" w:rsidRPr="000B3D89" w:rsidRDefault="009820E9" w:rsidP="00802A33">
            <w:pPr>
              <w:rPr>
                <w:b/>
                <w:bCs/>
                <w:color w:val="000000"/>
                <w:sz w:val="20"/>
                <w:szCs w:val="20"/>
              </w:rPr>
            </w:pPr>
            <w:r w:rsidRPr="000B3D89">
              <w:rPr>
                <w:b/>
                <w:bCs/>
                <w:color w:val="000000"/>
                <w:sz w:val="20"/>
                <w:szCs w:val="20"/>
              </w:rPr>
              <w:t>Monthly Ra</w:t>
            </w:r>
            <w:r w:rsidR="00B36E00">
              <w:rPr>
                <w:b/>
                <w:bCs/>
                <w:color w:val="000000"/>
                <w:sz w:val="20"/>
                <w:szCs w:val="20"/>
              </w:rPr>
              <w:t>te = ((1+R)^(1/12))-1 = 0.005717</w:t>
            </w:r>
          </w:p>
        </w:tc>
        <w:tc>
          <w:tcPr>
            <w:tcW w:w="26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820E9" w:rsidRPr="000B3D89" w:rsidRDefault="009820E9" w:rsidP="00802A33">
            <w:pPr>
              <w:rPr>
                <w:color w:val="000000"/>
                <w:sz w:val="20"/>
                <w:szCs w:val="20"/>
              </w:rPr>
            </w:pPr>
            <w:r w:rsidRPr="000B3D89">
              <w:rPr>
                <w:color w:val="000000"/>
                <w:sz w:val="20"/>
                <w:szCs w:val="20"/>
              </w:rPr>
              <w:t> </w:t>
            </w:r>
          </w:p>
        </w:tc>
      </w:tr>
    </w:tbl>
    <w:p w:rsidR="00E06484" w:rsidRDefault="00E06484" w:rsidP="00E275D8">
      <w:pPr>
        <w:pStyle w:val="BodyText"/>
      </w:pP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33" w:rsidRDefault="00802A33">
      <w:r>
        <w:separator/>
      </w:r>
    </w:p>
  </w:endnote>
  <w:endnote w:type="continuationSeparator" w:id="0">
    <w:p w:rsidR="00802A33" w:rsidRDefault="0080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33" w:rsidRDefault="00802A3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57C03">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33" w:rsidRDefault="00802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33" w:rsidRDefault="00802A33">
      <w:r>
        <w:separator/>
      </w:r>
    </w:p>
  </w:footnote>
  <w:footnote w:type="continuationSeparator" w:id="0">
    <w:p w:rsidR="00802A33" w:rsidRDefault="00802A33">
      <w:r>
        <w:continuationSeparator/>
      </w:r>
    </w:p>
  </w:footnote>
  <w:footnote w:id="1">
    <w:p w:rsidR="00802A33" w:rsidRPr="00D033EE" w:rsidRDefault="00802A33">
      <w:pPr>
        <w:pStyle w:val="FootnoteText"/>
        <w:rPr>
          <w:i/>
        </w:rPr>
      </w:pPr>
      <w:r>
        <w:rPr>
          <w:rStyle w:val="FootnoteReference"/>
        </w:rPr>
        <w:footnoteRef/>
      </w:r>
      <w:r>
        <w:t xml:space="preserve">Order No. PSC-2021-0170-PAA-GU, issued May 14, 2021, in Docket No. 20210040-GU, </w:t>
      </w:r>
      <w:r w:rsidRPr="00F41F9A">
        <w:rPr>
          <w:i/>
        </w:rPr>
        <w:t xml:space="preserve">In re: </w:t>
      </w:r>
      <w:r>
        <w:rPr>
          <w:i/>
        </w:rPr>
        <w:t>Request for approval of change in rate used to capitalize allowance for funds used during construction (AFUDC) from 5.97% to 6.00%, effective 1/1/21, by Peoples Gas System.</w:t>
      </w:r>
    </w:p>
  </w:footnote>
  <w:footnote w:id="2">
    <w:p w:rsidR="00802A33" w:rsidRPr="00C56D9D" w:rsidRDefault="00802A33">
      <w:pPr>
        <w:pStyle w:val="FootnoteText"/>
        <w:rPr>
          <w:i/>
        </w:rPr>
      </w:pPr>
      <w:r>
        <w:rPr>
          <w:rStyle w:val="FootnoteReference"/>
        </w:rPr>
        <w:footnoteRef/>
      </w:r>
      <w:r>
        <w:t xml:space="preserve">Order No. PSC-2023-0388-FOF-GU, issued December 27, 2023, in Docket No. 20230023-GU, </w:t>
      </w:r>
      <w:r w:rsidRPr="00F41F9A">
        <w:rPr>
          <w:i/>
        </w:rPr>
        <w:t>In re:</w:t>
      </w:r>
      <w:r>
        <w:t xml:space="preserve"> </w:t>
      </w:r>
      <w:r>
        <w:rPr>
          <w:i/>
        </w:rPr>
        <w:t>Petition for rate increase by Peoples Gas System,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33" w:rsidRDefault="00802A33"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20240035-GU</w:t>
    </w:r>
    <w:bookmarkEnd w:id="15"/>
  </w:p>
  <w:p w:rsidR="00802A33" w:rsidRDefault="00802A33">
    <w:pPr>
      <w:pStyle w:val="Header"/>
    </w:pPr>
    <w:r>
      <w:t xml:space="preserve">Date: </w:t>
    </w:r>
    <w:r w:rsidR="009C5E6A">
      <w:fldChar w:fldCharType="begin"/>
    </w:r>
    <w:r w:rsidR="009C5E6A">
      <w:instrText xml:space="preserve"> REF FilingDate </w:instrText>
    </w:r>
    <w:r w:rsidR="009C5E6A">
      <w:fldChar w:fldCharType="separate"/>
    </w:r>
    <w:r w:rsidR="00B4616A">
      <w:t>April 25, 2024</w:t>
    </w:r>
    <w:r w:rsidR="009C5E6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33" w:rsidRDefault="00802A33" w:rsidP="00220732">
    <w:pPr>
      <w:pStyle w:val="Header"/>
      <w:tabs>
        <w:tab w:val="clear" w:pos="4320"/>
        <w:tab w:val="clear" w:pos="8640"/>
        <w:tab w:val="right" w:pos="9360"/>
      </w:tabs>
    </w:pPr>
    <w:r>
      <w:fldChar w:fldCharType="begin"/>
    </w:r>
    <w:r>
      <w:instrText xml:space="preserve"> REF DocketLabel</w:instrText>
    </w:r>
    <w:r>
      <w:fldChar w:fldCharType="separate"/>
    </w:r>
    <w:r w:rsidR="00B4616A">
      <w:t>Docket No.</w:t>
    </w:r>
    <w:r>
      <w:fldChar w:fldCharType="end"/>
    </w:r>
    <w:r>
      <w:t xml:space="preserve"> </w:t>
    </w:r>
    <w:r>
      <w:fldChar w:fldCharType="begin"/>
    </w:r>
    <w:r>
      <w:instrText xml:space="preserve"> REF DocketList</w:instrText>
    </w:r>
    <w:r>
      <w:fldChar w:fldCharType="separate"/>
    </w:r>
    <w:r w:rsidR="00B4616A">
      <w:t>20240035-GU</w:t>
    </w:r>
    <w:r>
      <w:fldChar w:fldCharType="end"/>
    </w:r>
    <w:r>
      <w:tab/>
      <w:t xml:space="preserve">Issue </w:t>
    </w:r>
    <w:r w:rsidR="009C5E6A">
      <w:fldChar w:fldCharType="begin"/>
    </w:r>
    <w:r w:rsidR="009C5E6A">
      <w:instrText xml:space="preserve"> Seq Issue \c \* Arabic </w:instrText>
    </w:r>
    <w:r w:rsidR="009C5E6A">
      <w:fldChar w:fldCharType="separate"/>
    </w:r>
    <w:r w:rsidR="00957C03">
      <w:rPr>
        <w:noProof/>
      </w:rPr>
      <w:t>4</w:t>
    </w:r>
    <w:r w:rsidR="009C5E6A">
      <w:rPr>
        <w:noProof/>
      </w:rPr>
      <w:fldChar w:fldCharType="end"/>
    </w:r>
  </w:p>
  <w:p w:rsidR="00802A33" w:rsidRDefault="00802A33">
    <w:pPr>
      <w:pStyle w:val="Header"/>
    </w:pPr>
    <w:r>
      <w:t xml:space="preserve">Date: </w:t>
    </w:r>
    <w:r w:rsidR="009C5E6A">
      <w:fldChar w:fldCharType="begin"/>
    </w:r>
    <w:r w:rsidR="009C5E6A">
      <w:instrText xml:space="preserve"> REF FilingDate </w:instrText>
    </w:r>
    <w:r w:rsidR="009C5E6A">
      <w:fldChar w:fldCharType="separate"/>
    </w:r>
    <w:r w:rsidR="00B4616A">
      <w:t>April 25, 2024</w:t>
    </w:r>
    <w:r w:rsidR="009C5E6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33" w:rsidRDefault="00802A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33" w:rsidRDefault="00802A33" w:rsidP="00220732">
    <w:pPr>
      <w:pStyle w:val="Header"/>
      <w:tabs>
        <w:tab w:val="clear" w:pos="4320"/>
        <w:tab w:val="clear" w:pos="8640"/>
        <w:tab w:val="right" w:pos="9360"/>
      </w:tabs>
    </w:pPr>
    <w:r>
      <w:fldChar w:fldCharType="begin"/>
    </w:r>
    <w:r>
      <w:instrText xml:space="preserve"> REF DocketLabel</w:instrText>
    </w:r>
    <w:r>
      <w:fldChar w:fldCharType="separate"/>
    </w:r>
    <w:r w:rsidR="00B4616A">
      <w:t>Docket No.</w:t>
    </w:r>
    <w:r>
      <w:fldChar w:fldCharType="end"/>
    </w:r>
    <w:r>
      <w:t xml:space="preserve"> </w:t>
    </w:r>
    <w:r>
      <w:fldChar w:fldCharType="begin"/>
    </w:r>
    <w:r>
      <w:instrText xml:space="preserve"> REF DocketList</w:instrText>
    </w:r>
    <w:r>
      <w:fldChar w:fldCharType="separate"/>
    </w:r>
    <w:r w:rsidR="00B4616A">
      <w:t>20240035-GU</w:t>
    </w:r>
    <w:r>
      <w:fldChar w:fldCharType="end"/>
    </w:r>
    <w:r>
      <w:tab/>
      <w:t xml:space="preserve">Attachment </w:t>
    </w:r>
    <w:r w:rsidR="00F86646">
      <w:t>1</w:t>
    </w:r>
  </w:p>
  <w:p w:rsidR="00802A33" w:rsidRDefault="00802A33">
    <w:pPr>
      <w:pStyle w:val="Header"/>
    </w:pPr>
    <w:r>
      <w:t xml:space="preserve">Date: </w:t>
    </w:r>
    <w:r w:rsidR="009C5E6A">
      <w:fldChar w:fldCharType="begin"/>
    </w:r>
    <w:r w:rsidR="009C5E6A">
      <w:instrText xml:space="preserve"> REF FilingDate </w:instrText>
    </w:r>
    <w:r w:rsidR="009C5E6A">
      <w:fldChar w:fldCharType="separate"/>
    </w:r>
    <w:r w:rsidR="00B4616A">
      <w:t>April 25, 2024</w:t>
    </w:r>
    <w:r w:rsidR="009C5E6A">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33" w:rsidRDefault="00802A33" w:rsidP="00220732">
    <w:pPr>
      <w:pStyle w:val="Header"/>
      <w:tabs>
        <w:tab w:val="clear" w:pos="4320"/>
        <w:tab w:val="clear" w:pos="8640"/>
        <w:tab w:val="right" w:pos="9360"/>
      </w:tabs>
    </w:pPr>
    <w:r>
      <w:fldChar w:fldCharType="begin"/>
    </w:r>
    <w:r>
      <w:instrText xml:space="preserve"> REF DocketLabel</w:instrText>
    </w:r>
    <w:r>
      <w:fldChar w:fldCharType="separate"/>
    </w:r>
    <w:r w:rsidR="00B4616A">
      <w:t>Docket No.</w:t>
    </w:r>
    <w:r>
      <w:fldChar w:fldCharType="end"/>
    </w:r>
    <w:r>
      <w:t xml:space="preserve"> </w:t>
    </w:r>
    <w:r>
      <w:fldChar w:fldCharType="begin"/>
    </w:r>
    <w:r>
      <w:instrText xml:space="preserve"> REF DocketList</w:instrText>
    </w:r>
    <w:r>
      <w:fldChar w:fldCharType="separate"/>
    </w:r>
    <w:r w:rsidR="00B4616A">
      <w:t>20240035-GU</w:t>
    </w:r>
    <w:r>
      <w:fldChar w:fldCharType="end"/>
    </w:r>
    <w:r>
      <w:tab/>
      <w:t>Attachment 2</w:t>
    </w:r>
  </w:p>
  <w:p w:rsidR="00802A33" w:rsidRDefault="00802A33">
    <w:pPr>
      <w:pStyle w:val="Header"/>
    </w:pPr>
    <w:r>
      <w:t xml:space="preserve">Date: </w:t>
    </w:r>
    <w:r w:rsidR="009C5E6A">
      <w:fldChar w:fldCharType="begin"/>
    </w:r>
    <w:r w:rsidR="009C5E6A">
      <w:instrText xml:space="preserve"> REF FilingDate </w:instrText>
    </w:r>
    <w:r w:rsidR="009C5E6A">
      <w:fldChar w:fldCharType="separate"/>
    </w:r>
    <w:r w:rsidR="00B4616A">
      <w:t>April 25, 2024</w:t>
    </w:r>
    <w:r w:rsidR="009C5E6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24951"/>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180D"/>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B4B42"/>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787A"/>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87C07"/>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2A33"/>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473"/>
    <w:rsid w:val="0093658B"/>
    <w:rsid w:val="009429FF"/>
    <w:rsid w:val="009444D1"/>
    <w:rsid w:val="00945BD6"/>
    <w:rsid w:val="009479FB"/>
    <w:rsid w:val="00950361"/>
    <w:rsid w:val="00951C45"/>
    <w:rsid w:val="00951DD8"/>
    <w:rsid w:val="00955577"/>
    <w:rsid w:val="00957C03"/>
    <w:rsid w:val="009656F2"/>
    <w:rsid w:val="00966A08"/>
    <w:rsid w:val="009701B7"/>
    <w:rsid w:val="00971207"/>
    <w:rsid w:val="00975CB4"/>
    <w:rsid w:val="009820E9"/>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4951"/>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58ED"/>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36E00"/>
    <w:rsid w:val="00B41AA8"/>
    <w:rsid w:val="00B42B45"/>
    <w:rsid w:val="00B4616A"/>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6D9D"/>
    <w:rsid w:val="00C57869"/>
    <w:rsid w:val="00C60BA3"/>
    <w:rsid w:val="00C623F7"/>
    <w:rsid w:val="00C62A81"/>
    <w:rsid w:val="00C6765A"/>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5318"/>
    <w:rsid w:val="00CD0655"/>
    <w:rsid w:val="00CE2BF8"/>
    <w:rsid w:val="00CE484E"/>
    <w:rsid w:val="00CE4D20"/>
    <w:rsid w:val="00CE656F"/>
    <w:rsid w:val="00CF0DA8"/>
    <w:rsid w:val="00CF2E25"/>
    <w:rsid w:val="00CF4453"/>
    <w:rsid w:val="00CF5589"/>
    <w:rsid w:val="00CF5D94"/>
    <w:rsid w:val="00CF7E0F"/>
    <w:rsid w:val="00D00893"/>
    <w:rsid w:val="00D033EE"/>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948"/>
    <w:rsid w:val="00E65EBC"/>
    <w:rsid w:val="00E6602E"/>
    <w:rsid w:val="00E677FE"/>
    <w:rsid w:val="00E73432"/>
    <w:rsid w:val="00E77B0C"/>
    <w:rsid w:val="00E77FB8"/>
    <w:rsid w:val="00E8346C"/>
    <w:rsid w:val="00E838B0"/>
    <w:rsid w:val="00E84B21"/>
    <w:rsid w:val="00E86A7C"/>
    <w:rsid w:val="00E878E1"/>
    <w:rsid w:val="00E87F2C"/>
    <w:rsid w:val="00E95278"/>
    <w:rsid w:val="00E96A42"/>
    <w:rsid w:val="00EA2273"/>
    <w:rsid w:val="00EA493D"/>
    <w:rsid w:val="00EA7C3C"/>
    <w:rsid w:val="00EB2DB3"/>
    <w:rsid w:val="00EC3FBB"/>
    <w:rsid w:val="00EC6B7A"/>
    <w:rsid w:val="00ED33CB"/>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1F9A"/>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86646"/>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FBE5BB6-4D0D-4532-A4FF-543FE2AF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E65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1F6A3-F5ED-41EB-88B8-0673A904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1177</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Javier Ferrer</dc:creator>
  <cp:lastModifiedBy>Lauren Smith</cp:lastModifiedBy>
  <cp:revision>2</cp:revision>
  <cp:lastPrinted>2024-04-11T17:51:00Z</cp:lastPrinted>
  <dcterms:created xsi:type="dcterms:W3CDTF">2024-04-25T11:51:00Z</dcterms:created>
  <dcterms:modified xsi:type="dcterms:W3CDTF">2024-04-25T11:51:00Z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20240035-GU</vt:lpwstr>
  </property>
  <property fmtid="{D5CDD505-2E9C-101B-9397-08002B2CF9AE}" pid="3" name="MasterDocument">
    <vt:bool>false</vt:bool>
  </property>
</Properties>
</file>