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D241DF">
            <w:pPr>
              <w:pStyle w:val="MemoHeading"/>
            </w:pPr>
            <w:bookmarkStart w:id="1" w:name="FilingDate"/>
            <w:r>
              <w:t>April 25, 2024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proofErr w:type="spellStart"/>
            <w:r w:rsidR="004E69B5">
              <w:t>Teitzman</w:t>
            </w:r>
            <w:proofErr w:type="spellEnd"/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D241DF" w:rsidRDefault="00D241DF">
            <w:pPr>
              <w:pStyle w:val="MemoHeading"/>
            </w:pPr>
            <w:bookmarkStart w:id="2" w:name="From"/>
            <w:r>
              <w:t>Division of Engineering (P. Buys, King, Ramos)</w:t>
            </w:r>
          </w:p>
          <w:p w:rsidR="002F7305" w:rsidRPr="002F7305" w:rsidRDefault="002F7305" w:rsidP="002F7305">
            <w:r>
              <w:t>Division of Economics (Hampson)</w:t>
            </w:r>
          </w:p>
          <w:p w:rsidR="007C0528" w:rsidRDefault="00D241DF">
            <w:pPr>
              <w:pStyle w:val="MemoHeading"/>
            </w:pPr>
            <w:r>
              <w:t>Office of the General Counsel (Sparks, Harper, Marquez)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D241DF">
            <w:pPr>
              <w:pStyle w:val="MemoHeadingRe"/>
            </w:pPr>
            <w:bookmarkStart w:id="3" w:name="Re"/>
            <w:r>
              <w:t>Docket No. 20240026-EI – Petition for rate increase by Tampa Electric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D241DF" w:rsidP="002F7305">
            <w:pPr>
              <w:pStyle w:val="MemoHeading"/>
            </w:pPr>
            <w:bookmarkStart w:id="4" w:name="AgendaDate"/>
            <w:r>
              <w:t>05/07/24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</w:t>
            </w:r>
            <w:r w:rsidR="002F7305">
              <w:t xml:space="preserve"> </w:t>
            </w:r>
            <w:r w:rsidR="00F44EE6">
              <w:t xml:space="preserve">Tariff Suspension - </w:t>
            </w:r>
            <w:r>
              <w:t>Participation is at the discretion of the Commission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D241DF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D241DF">
            <w:pPr>
              <w:pStyle w:val="MemoHeading"/>
            </w:pPr>
            <w:bookmarkStart w:id="7" w:name="PrehearingOfficer"/>
            <w:r>
              <w:t>Clark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B0564" w:rsidP="000C4568">
            <w:pPr>
              <w:pStyle w:val="MemoHeading"/>
            </w:pPr>
            <w:r>
              <w:t>0</w:t>
            </w:r>
            <w:r w:rsidR="000C4568">
              <w:t>6</w:t>
            </w:r>
            <w:r>
              <w:t>/</w:t>
            </w:r>
            <w:r w:rsidR="000C4568">
              <w:t>03</w:t>
            </w:r>
            <w:r>
              <w:t>/2024 (60-Day Suspension Date)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D241DF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D55EE9" w:rsidRDefault="00D55EE9" w:rsidP="00377642">
      <w:pPr>
        <w:jc w:val="both"/>
        <w:rPr>
          <w:rFonts w:eastAsiaTheme="minorHAnsi" w:cstheme="minorBidi"/>
          <w:szCs w:val="22"/>
        </w:rPr>
      </w:pPr>
      <w:r w:rsidRPr="00D55EE9">
        <w:rPr>
          <w:rFonts w:eastAsiaTheme="minorHAnsi" w:cstheme="minorBidi"/>
          <w:szCs w:val="22"/>
        </w:rPr>
        <w:t>On April 2, 2024, Tampa Electric Company (TECO or Company) filed its petition for a permanent rate increase. TECO provides electric service to approximately 84</w:t>
      </w:r>
      <w:r w:rsidR="00514D7B">
        <w:rPr>
          <w:rFonts w:eastAsiaTheme="minorHAnsi" w:cstheme="minorBidi"/>
          <w:szCs w:val="22"/>
        </w:rPr>
        <w:t>4</w:t>
      </w:r>
      <w:r w:rsidRPr="00D55EE9">
        <w:rPr>
          <w:rFonts w:eastAsiaTheme="minorHAnsi" w:cstheme="minorBidi"/>
          <w:szCs w:val="22"/>
        </w:rPr>
        <w:t>,000 customers in Hillsborough and portions of Polk, Pasco, and Pinellas counties.</w:t>
      </w:r>
    </w:p>
    <w:p w:rsidR="00377642" w:rsidRPr="00D55EE9" w:rsidRDefault="00377642" w:rsidP="00377642">
      <w:pPr>
        <w:jc w:val="both"/>
        <w:rPr>
          <w:rFonts w:eastAsiaTheme="minorHAnsi" w:cstheme="minorBidi"/>
          <w:szCs w:val="22"/>
        </w:rPr>
      </w:pPr>
    </w:p>
    <w:p w:rsidR="00D55EE9" w:rsidRDefault="00D55EE9" w:rsidP="00377642">
      <w:pPr>
        <w:jc w:val="both"/>
        <w:rPr>
          <w:rFonts w:eastAsiaTheme="minorHAnsi" w:cstheme="minorBidi"/>
          <w:szCs w:val="22"/>
        </w:rPr>
      </w:pPr>
      <w:r w:rsidRPr="00D55EE9">
        <w:rPr>
          <w:rFonts w:eastAsiaTheme="minorHAnsi" w:cstheme="minorBidi"/>
          <w:szCs w:val="22"/>
        </w:rPr>
        <w:t xml:space="preserve">TECO has requested </w:t>
      </w:r>
      <w:r w:rsidR="00514D7B" w:rsidRPr="00D55EE9">
        <w:rPr>
          <w:rFonts w:eastAsiaTheme="minorHAnsi" w:cstheme="minorBidi"/>
          <w:szCs w:val="22"/>
        </w:rPr>
        <w:t>a</w:t>
      </w:r>
      <w:r w:rsidRPr="00D55EE9">
        <w:rPr>
          <w:rFonts w:eastAsiaTheme="minorHAnsi" w:cstheme="minorBidi"/>
          <w:szCs w:val="22"/>
        </w:rPr>
        <w:t xml:space="preserve"> </w:t>
      </w:r>
      <w:r w:rsidR="00514D7B" w:rsidRPr="00D55EE9">
        <w:rPr>
          <w:rFonts w:eastAsiaTheme="minorHAnsi" w:cstheme="minorBidi"/>
          <w:szCs w:val="22"/>
        </w:rPr>
        <w:t>$</w:t>
      </w:r>
      <w:r w:rsidR="00514D7B">
        <w:rPr>
          <w:rFonts w:eastAsiaTheme="minorHAnsi" w:cstheme="minorBidi"/>
          <w:szCs w:val="22"/>
        </w:rPr>
        <w:t>297</w:t>
      </w:r>
      <w:r w:rsidR="00514D7B" w:rsidRPr="00D55EE9">
        <w:rPr>
          <w:rFonts w:eastAsiaTheme="minorHAnsi" w:cstheme="minorBidi"/>
          <w:szCs w:val="22"/>
        </w:rPr>
        <w:t xml:space="preserve"> million </w:t>
      </w:r>
      <w:r w:rsidRPr="00D55EE9">
        <w:rPr>
          <w:rFonts w:eastAsiaTheme="minorHAnsi" w:cstheme="minorBidi"/>
          <w:szCs w:val="22"/>
        </w:rPr>
        <w:t xml:space="preserve">increase in its </w:t>
      </w:r>
      <w:r w:rsidR="00514D7B">
        <w:rPr>
          <w:rFonts w:eastAsiaTheme="minorHAnsi" w:cstheme="minorBidi"/>
          <w:szCs w:val="22"/>
        </w:rPr>
        <w:t xml:space="preserve">general base </w:t>
      </w:r>
      <w:r w:rsidRPr="00D55EE9">
        <w:rPr>
          <w:rFonts w:eastAsiaTheme="minorHAnsi" w:cstheme="minorBidi"/>
          <w:szCs w:val="22"/>
        </w:rPr>
        <w:t xml:space="preserve">rates and charges, effective January 1, 2025. </w:t>
      </w:r>
      <w:r w:rsidR="002F7305">
        <w:rPr>
          <w:rFonts w:eastAsiaTheme="minorHAnsi" w:cstheme="minorBidi"/>
          <w:szCs w:val="22"/>
        </w:rPr>
        <w:t>In addition, t</w:t>
      </w:r>
      <w:r w:rsidRPr="00D55EE9">
        <w:rPr>
          <w:rFonts w:eastAsiaTheme="minorHAnsi" w:cstheme="minorBidi"/>
          <w:szCs w:val="22"/>
        </w:rPr>
        <w:t xml:space="preserve">he Company requested </w:t>
      </w:r>
      <w:r w:rsidR="002F7305">
        <w:rPr>
          <w:rFonts w:eastAsiaTheme="minorHAnsi" w:cstheme="minorBidi"/>
          <w:szCs w:val="22"/>
        </w:rPr>
        <w:t>incremental rate increases in the amounts of $100 million, e</w:t>
      </w:r>
      <w:r w:rsidRPr="00D55EE9">
        <w:rPr>
          <w:rFonts w:eastAsiaTheme="minorHAnsi" w:cstheme="minorBidi"/>
          <w:szCs w:val="22"/>
        </w:rPr>
        <w:t>ffective January 1, 2026</w:t>
      </w:r>
      <w:r w:rsidR="00377642">
        <w:rPr>
          <w:rFonts w:eastAsiaTheme="minorHAnsi" w:cstheme="minorBidi"/>
          <w:szCs w:val="22"/>
        </w:rPr>
        <w:t>,</w:t>
      </w:r>
      <w:r w:rsidRPr="00D55EE9">
        <w:rPr>
          <w:rFonts w:eastAsiaTheme="minorHAnsi" w:cstheme="minorBidi"/>
          <w:szCs w:val="22"/>
        </w:rPr>
        <w:t xml:space="preserve"> and $7</w:t>
      </w:r>
      <w:r w:rsidR="00514D7B">
        <w:rPr>
          <w:rFonts w:eastAsiaTheme="minorHAnsi" w:cstheme="minorBidi"/>
          <w:szCs w:val="22"/>
        </w:rPr>
        <w:t>2</w:t>
      </w:r>
      <w:r w:rsidRPr="00D55EE9">
        <w:rPr>
          <w:rFonts w:eastAsiaTheme="minorHAnsi" w:cstheme="minorBidi"/>
          <w:szCs w:val="22"/>
        </w:rPr>
        <w:t xml:space="preserve"> million, effective January 1, 2027. TECO request</w:t>
      </w:r>
      <w:r w:rsidR="002F7305">
        <w:rPr>
          <w:rFonts w:eastAsiaTheme="minorHAnsi" w:cstheme="minorBidi"/>
          <w:szCs w:val="22"/>
        </w:rPr>
        <w:t>ed</w:t>
      </w:r>
      <w:r w:rsidRPr="00D55EE9">
        <w:rPr>
          <w:rFonts w:eastAsiaTheme="minorHAnsi" w:cstheme="minorBidi"/>
          <w:szCs w:val="22"/>
        </w:rPr>
        <w:t xml:space="preserve"> that it also be allowed a</w:t>
      </w:r>
      <w:r w:rsidR="00FD078B">
        <w:rPr>
          <w:rFonts w:eastAsiaTheme="minorHAnsi" w:cstheme="minorBidi"/>
          <w:szCs w:val="22"/>
        </w:rPr>
        <w:t xml:space="preserve"> return on common equity (ROE) of 11.5 percent</w:t>
      </w:r>
      <w:r w:rsidRPr="00D55EE9">
        <w:rPr>
          <w:rFonts w:eastAsiaTheme="minorHAnsi" w:cstheme="minorBidi"/>
          <w:szCs w:val="22"/>
        </w:rPr>
        <w:t>.</w:t>
      </w:r>
    </w:p>
    <w:p w:rsidR="00377642" w:rsidRPr="00D55EE9" w:rsidRDefault="00377642" w:rsidP="00377642">
      <w:pPr>
        <w:jc w:val="both"/>
        <w:rPr>
          <w:rFonts w:eastAsiaTheme="minorHAnsi" w:cstheme="minorBidi"/>
          <w:szCs w:val="22"/>
        </w:rPr>
      </w:pPr>
    </w:p>
    <w:p w:rsidR="00F44EE6" w:rsidRDefault="00F44EE6" w:rsidP="00377642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br w:type="page"/>
      </w:r>
    </w:p>
    <w:p w:rsidR="00D55EE9" w:rsidRDefault="00D55EE9" w:rsidP="00377642">
      <w:pPr>
        <w:jc w:val="both"/>
        <w:rPr>
          <w:rFonts w:eastAsiaTheme="minorHAnsi" w:cstheme="minorBidi"/>
          <w:szCs w:val="22"/>
        </w:rPr>
      </w:pPr>
      <w:r w:rsidRPr="00D55EE9">
        <w:rPr>
          <w:rFonts w:eastAsiaTheme="minorHAnsi" w:cstheme="minorBidi"/>
          <w:szCs w:val="22"/>
        </w:rPr>
        <w:lastRenderedPageBreak/>
        <w:t>The Company based its requests on a projected test period of January 1, 2025</w:t>
      </w:r>
      <w:r w:rsidR="00377642">
        <w:rPr>
          <w:rFonts w:eastAsiaTheme="minorHAnsi" w:cstheme="minorBidi"/>
          <w:szCs w:val="22"/>
        </w:rPr>
        <w:t>,</w:t>
      </w:r>
      <w:r w:rsidRPr="00D55EE9">
        <w:rPr>
          <w:rFonts w:eastAsiaTheme="minorHAnsi" w:cstheme="minorBidi"/>
          <w:szCs w:val="22"/>
        </w:rPr>
        <w:t xml:space="preserve"> through December 31, 2025. TECO did not request interim rate relief.</w:t>
      </w:r>
    </w:p>
    <w:p w:rsidR="00F44EE6" w:rsidRDefault="00F44EE6" w:rsidP="00377642">
      <w:pPr>
        <w:jc w:val="both"/>
        <w:rPr>
          <w:rFonts w:eastAsiaTheme="minorHAnsi" w:cstheme="minorBidi"/>
          <w:szCs w:val="22"/>
        </w:rPr>
      </w:pPr>
    </w:p>
    <w:p w:rsidR="00D55EE9" w:rsidRPr="00D55EE9" w:rsidRDefault="00D55EE9" w:rsidP="00377642">
      <w:pPr>
        <w:jc w:val="both"/>
        <w:rPr>
          <w:rFonts w:eastAsiaTheme="minorHAnsi" w:cstheme="minorBidi"/>
          <w:szCs w:val="22"/>
        </w:rPr>
      </w:pPr>
      <w:r w:rsidRPr="00D55EE9">
        <w:rPr>
          <w:rFonts w:eastAsiaTheme="minorHAnsi" w:cstheme="minorBidi"/>
          <w:szCs w:val="22"/>
        </w:rPr>
        <w:t>TECO’s last base rate hearing was in 2021</w:t>
      </w:r>
      <w:r w:rsidR="00F44EE6">
        <w:rPr>
          <w:rFonts w:eastAsiaTheme="minorHAnsi" w:cstheme="minorBidi"/>
          <w:szCs w:val="22"/>
        </w:rPr>
        <w:t xml:space="preserve">. In that case, </w:t>
      </w:r>
      <w:r w:rsidR="002F7305">
        <w:rPr>
          <w:rFonts w:eastAsiaTheme="minorHAnsi" w:cstheme="minorBidi"/>
          <w:szCs w:val="22"/>
        </w:rPr>
        <w:t>the Commission approved a</w:t>
      </w:r>
      <w:r w:rsidR="00F44EE6">
        <w:rPr>
          <w:rFonts w:eastAsiaTheme="minorHAnsi" w:cstheme="minorBidi"/>
          <w:szCs w:val="22"/>
        </w:rPr>
        <w:t xml:space="preserve"> settlement</w:t>
      </w:r>
      <w:r w:rsidRPr="00D55EE9">
        <w:rPr>
          <w:rFonts w:eastAsiaTheme="minorHAnsi" w:cstheme="minorBidi"/>
          <w:szCs w:val="22"/>
        </w:rPr>
        <w:t xml:space="preserve">, which allowed a total base rate increase of </w:t>
      </w:r>
      <w:r w:rsidR="00D4443C">
        <w:rPr>
          <w:rFonts w:eastAsiaTheme="minorHAnsi" w:cstheme="minorBidi"/>
          <w:szCs w:val="22"/>
        </w:rPr>
        <w:t xml:space="preserve">approximately </w:t>
      </w:r>
      <w:r w:rsidRPr="00D55EE9">
        <w:rPr>
          <w:rFonts w:eastAsiaTheme="minorHAnsi" w:cstheme="minorBidi"/>
          <w:szCs w:val="22"/>
        </w:rPr>
        <w:t>$233 million, including $12</w:t>
      </w:r>
      <w:r w:rsidR="00D4443C">
        <w:rPr>
          <w:rFonts w:eastAsiaTheme="minorHAnsi" w:cstheme="minorBidi"/>
          <w:szCs w:val="22"/>
        </w:rPr>
        <w:t>3</w:t>
      </w:r>
      <w:r w:rsidRPr="00D55EE9">
        <w:rPr>
          <w:rFonts w:eastAsiaTheme="minorHAnsi" w:cstheme="minorBidi"/>
          <w:szCs w:val="22"/>
        </w:rPr>
        <w:t xml:space="preserve"> million in 2022, $90 million generation base rate adjustment (GBRA) in 2023, and $21 million GBRA in 2024.</w:t>
      </w:r>
      <w:r w:rsidRPr="00D55EE9">
        <w:rPr>
          <w:rFonts w:eastAsiaTheme="minorHAnsi" w:cstheme="minorBidi"/>
          <w:szCs w:val="22"/>
          <w:vertAlign w:val="superscript"/>
        </w:rPr>
        <w:footnoteReference w:id="1"/>
      </w:r>
      <w:r w:rsidRPr="00D55EE9">
        <w:rPr>
          <w:rFonts w:eastAsiaTheme="minorHAnsi" w:cstheme="minorBidi"/>
          <w:szCs w:val="22"/>
        </w:rPr>
        <w:t xml:space="preserve"> </w:t>
      </w:r>
    </w:p>
    <w:p w:rsidR="00377642" w:rsidRDefault="00377642" w:rsidP="00377642">
      <w:pPr>
        <w:jc w:val="both"/>
        <w:rPr>
          <w:rFonts w:eastAsiaTheme="minorHAnsi" w:cstheme="minorBidi"/>
          <w:szCs w:val="22"/>
        </w:rPr>
      </w:pPr>
    </w:p>
    <w:p w:rsidR="00D55EE9" w:rsidRPr="00D55EE9" w:rsidRDefault="00D55EE9" w:rsidP="00377642">
      <w:pPr>
        <w:jc w:val="both"/>
        <w:rPr>
          <w:rFonts w:eastAsiaTheme="minorHAnsi" w:cstheme="minorBidi"/>
          <w:szCs w:val="22"/>
        </w:rPr>
      </w:pPr>
      <w:r w:rsidRPr="00D55EE9">
        <w:rPr>
          <w:rFonts w:eastAsiaTheme="minorHAnsi" w:cstheme="minorBidi"/>
          <w:szCs w:val="22"/>
        </w:rPr>
        <w:t>On February 26, 2024, the Commission acknowledged the Office of Public Counsel’s Notice of Intervention in this proceeding.</w:t>
      </w:r>
      <w:r w:rsidRPr="00D55EE9">
        <w:rPr>
          <w:rFonts w:eastAsiaTheme="minorHAnsi" w:cstheme="minorBidi"/>
          <w:szCs w:val="22"/>
          <w:vertAlign w:val="superscript"/>
        </w:rPr>
        <w:footnoteReference w:id="2"/>
      </w:r>
      <w:r w:rsidRPr="00D55EE9">
        <w:rPr>
          <w:rFonts w:eastAsiaTheme="minorHAnsi" w:cstheme="minorBidi"/>
          <w:szCs w:val="22"/>
        </w:rPr>
        <w:t xml:space="preserve"> </w:t>
      </w:r>
      <w:r w:rsidR="00EF5DB8">
        <w:rPr>
          <w:rFonts w:eastAsiaTheme="minorHAnsi" w:cstheme="minorBidi"/>
          <w:szCs w:val="22"/>
        </w:rPr>
        <w:t xml:space="preserve">On April 23, 2024, the Commission </w:t>
      </w:r>
      <w:r w:rsidR="00E21778">
        <w:rPr>
          <w:rFonts w:eastAsiaTheme="minorHAnsi" w:cstheme="minorBidi"/>
          <w:szCs w:val="22"/>
        </w:rPr>
        <w:t xml:space="preserve">also </w:t>
      </w:r>
      <w:r w:rsidR="00EF5DB8">
        <w:rPr>
          <w:rFonts w:eastAsiaTheme="minorHAnsi" w:cstheme="minorBidi"/>
          <w:szCs w:val="22"/>
        </w:rPr>
        <w:t xml:space="preserve">acknowledged the </w:t>
      </w:r>
      <w:r w:rsidR="00E21778">
        <w:rPr>
          <w:rFonts w:eastAsiaTheme="minorHAnsi" w:cstheme="minorBidi"/>
          <w:szCs w:val="22"/>
        </w:rPr>
        <w:t xml:space="preserve">Intervention of the following parties: </w:t>
      </w:r>
      <w:r w:rsidR="00514D7B">
        <w:rPr>
          <w:rFonts w:eastAsiaTheme="minorHAnsi" w:cstheme="minorBidi"/>
          <w:szCs w:val="22"/>
        </w:rPr>
        <w:t xml:space="preserve">Florida Industrial Power Users Group, Federal Executive </w:t>
      </w:r>
      <w:r w:rsidR="00F44EE6">
        <w:rPr>
          <w:rFonts w:eastAsiaTheme="minorHAnsi" w:cstheme="minorBidi"/>
          <w:szCs w:val="22"/>
        </w:rPr>
        <w:t>Agencies,</w:t>
      </w:r>
      <w:r w:rsidR="00F44EE6" w:rsidRPr="003C1DF6">
        <w:rPr>
          <w:color w:val="333333"/>
        </w:rPr>
        <w:t xml:space="preserve"> Florida</w:t>
      </w:r>
      <w:r w:rsidR="00F44EE6" w:rsidRPr="001B464D">
        <w:rPr>
          <w:color w:val="333333"/>
        </w:rPr>
        <w:t xml:space="preserve"> Retail Federation</w:t>
      </w:r>
      <w:r w:rsidR="00F44EE6">
        <w:rPr>
          <w:rFonts w:ascii="Helvetica" w:hAnsi="Helvetica"/>
          <w:color w:val="333333"/>
        </w:rPr>
        <w:t xml:space="preserve">, </w:t>
      </w:r>
      <w:r w:rsidR="00F44EE6" w:rsidRPr="001B464D">
        <w:rPr>
          <w:bCs/>
        </w:rPr>
        <w:t xml:space="preserve">Florida Rising, League of United Latin American Citizens of </w:t>
      </w:r>
      <w:r w:rsidR="00F44EE6" w:rsidRPr="003C1DF6">
        <w:rPr>
          <w:bCs/>
        </w:rPr>
        <w:t>Florida</w:t>
      </w:r>
      <w:r w:rsidR="00F44EE6" w:rsidRPr="001B464D">
        <w:rPr>
          <w:bCs/>
        </w:rPr>
        <w:t xml:space="preserve">, </w:t>
      </w:r>
      <w:r w:rsidR="00F44EE6">
        <w:rPr>
          <w:rFonts w:eastAsiaTheme="minorHAnsi" w:cstheme="minorBidi"/>
          <w:szCs w:val="22"/>
        </w:rPr>
        <w:t>and Sierra Club</w:t>
      </w:r>
      <w:r w:rsidR="00CB1C9A">
        <w:rPr>
          <w:rFonts w:eastAsiaTheme="minorHAnsi" w:cstheme="minorBidi"/>
          <w:szCs w:val="22"/>
        </w:rPr>
        <w:t>.</w:t>
      </w:r>
      <w:r w:rsidR="00CB1C9A">
        <w:rPr>
          <w:rStyle w:val="FootnoteReference"/>
          <w:rFonts w:eastAsiaTheme="minorHAnsi" w:cstheme="minorBidi"/>
          <w:szCs w:val="22"/>
        </w:rPr>
        <w:footnoteReference w:id="3"/>
      </w:r>
      <w:r w:rsidR="00CB1C9A">
        <w:rPr>
          <w:rFonts w:eastAsiaTheme="minorHAnsi" w:cstheme="minorBidi"/>
          <w:szCs w:val="22"/>
        </w:rPr>
        <w:t xml:space="preserve"> </w:t>
      </w:r>
      <w:r w:rsidR="003A7EDA">
        <w:rPr>
          <w:rFonts w:eastAsiaTheme="minorHAnsi" w:cstheme="minorBidi"/>
          <w:szCs w:val="22"/>
        </w:rPr>
        <w:t xml:space="preserve">Additionally, on April 24, 2024, </w:t>
      </w:r>
      <w:r w:rsidR="00CC17F8">
        <w:rPr>
          <w:rFonts w:eastAsiaTheme="minorHAnsi" w:cstheme="minorBidi"/>
          <w:szCs w:val="22"/>
        </w:rPr>
        <w:t>Americans for Affordable Clean Energy, Inc., Circle K Stores, Inc., RaceTrac, Inc., and Wawa, Inc. petitioned the Commission to intervene in this proceeding.</w:t>
      </w:r>
      <w:r w:rsidR="00CC17F8">
        <w:rPr>
          <w:rStyle w:val="FootnoteReference"/>
          <w:rFonts w:eastAsiaTheme="minorHAnsi" w:cstheme="minorBidi"/>
          <w:szCs w:val="22"/>
        </w:rPr>
        <w:footnoteReference w:id="4"/>
      </w:r>
      <w:r w:rsidR="00CC17F8">
        <w:rPr>
          <w:rFonts w:eastAsiaTheme="minorHAnsi" w:cstheme="minorBidi"/>
          <w:szCs w:val="22"/>
        </w:rPr>
        <w:t xml:space="preserve"> </w:t>
      </w:r>
      <w:r w:rsidRPr="00D55EE9">
        <w:rPr>
          <w:rFonts w:eastAsiaTheme="minorHAnsi" w:cstheme="minorBidi"/>
          <w:szCs w:val="22"/>
        </w:rPr>
        <w:t xml:space="preserve">This recommendation addresses the suspension of the requested permanent rate increase and all associated tariff revisions. The Commission has jurisdiction over this matter pursuant to Section 366.06, </w:t>
      </w:r>
      <w:r w:rsidR="00637A25">
        <w:rPr>
          <w:rFonts w:eastAsiaTheme="minorHAnsi" w:cstheme="minorBidi"/>
          <w:szCs w:val="22"/>
        </w:rPr>
        <w:t>Florida Statutes (</w:t>
      </w:r>
      <w:r w:rsidRPr="00D55EE9">
        <w:rPr>
          <w:rFonts w:eastAsiaTheme="minorHAnsi" w:cstheme="minorBidi"/>
          <w:szCs w:val="22"/>
        </w:rPr>
        <w:t>F.S.</w:t>
      </w:r>
      <w:r w:rsidR="00637A25">
        <w:rPr>
          <w:rFonts w:eastAsiaTheme="minorHAnsi" w:cstheme="minorBidi"/>
          <w:szCs w:val="22"/>
        </w:rPr>
        <w:t>).</w:t>
      </w:r>
    </w:p>
    <w:p w:rsidR="0068481F" w:rsidRDefault="0068481F">
      <w:pPr>
        <w:pStyle w:val="BodyText"/>
      </w:pP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D241DF" w:rsidRDefault="00D241DF">
      <w:pPr>
        <w:pStyle w:val="IssueHeading"/>
        <w:rPr>
          <w:vanish/>
          <w:specVanish/>
        </w:rPr>
      </w:pPr>
      <w:r w:rsidRPr="004C3641">
        <w:t xml:space="preserve">Issue </w:t>
      </w:r>
      <w:r w:rsidR="00DC4066">
        <w:fldChar w:fldCharType="begin"/>
      </w:r>
      <w:r w:rsidR="00DC4066">
        <w:instrText xml:space="preserve"> SEQ Issue \* MERGEFORMAT </w:instrText>
      </w:r>
      <w:r w:rsidR="00DC4066">
        <w:fldChar w:fldCharType="separate"/>
      </w:r>
      <w:r>
        <w:rPr>
          <w:noProof/>
        </w:rPr>
        <w:t>1</w:t>
      </w:r>
      <w:r w:rsidR="00DC4066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D241DF" w:rsidRDefault="00D241DF">
      <w:pPr>
        <w:pStyle w:val="BodyText"/>
      </w:pPr>
      <w:r>
        <w:t> </w:t>
      </w:r>
      <w:r w:rsidR="00D55EE9">
        <w:t>Should T</w:t>
      </w:r>
      <w:r w:rsidR="002F7305">
        <w:t xml:space="preserve">ampa Electric Company’s proposed tariffs to implement the request for a permanent increase in rates and charges be suspended? </w:t>
      </w:r>
    </w:p>
    <w:p w:rsidR="00D241DF" w:rsidRPr="004C3641" w:rsidRDefault="00D241DF">
      <w:pPr>
        <w:pStyle w:val="IssueSubsectionHeading"/>
        <w:rPr>
          <w:vanish/>
          <w:specVanish/>
        </w:rPr>
      </w:pPr>
      <w:r w:rsidRPr="004C3641">
        <w:t>Recommendation: </w:t>
      </w:r>
    </w:p>
    <w:p w:rsidR="00D241DF" w:rsidRDefault="00D241DF">
      <w:pPr>
        <w:pStyle w:val="BodyText"/>
      </w:pPr>
      <w:r>
        <w:t> </w:t>
      </w:r>
      <w:r w:rsidR="00D55EE9">
        <w:t xml:space="preserve">Yes. </w:t>
      </w:r>
      <w:r w:rsidR="002F7305">
        <w:t xml:space="preserve">Staff recommends that TECO’s proposed tariffs </w:t>
      </w:r>
      <w:r w:rsidR="00FD078B">
        <w:t>be suspended to allow staff and the parties time to analyze the request and for the Commission to conduct an administrative hearing.</w:t>
      </w:r>
      <w:r w:rsidR="00D4443C">
        <w:t xml:space="preserve"> (Hampson</w:t>
      </w:r>
      <w:r w:rsidR="000C4568">
        <w:t>, P. Buys</w:t>
      </w:r>
      <w:r w:rsidR="00D4443C">
        <w:t>)</w:t>
      </w:r>
    </w:p>
    <w:p w:rsidR="00D241DF" w:rsidRPr="00FD078B" w:rsidRDefault="00D241DF">
      <w:pPr>
        <w:pStyle w:val="IssueSubsectionHeading"/>
        <w:rPr>
          <w:rFonts w:ascii="Times New Roman" w:hAnsi="Times New Roman" w:cs="Times New Roman"/>
          <w:b w:val="0"/>
          <w:i w:val="0"/>
          <w:vanish/>
          <w:specVanish/>
        </w:rPr>
      </w:pPr>
      <w:r w:rsidRPr="004C3641">
        <w:t>Staff Analysis:</w:t>
      </w:r>
      <w:r w:rsidRPr="00FD078B">
        <w:rPr>
          <w:rFonts w:ascii="Times New Roman" w:hAnsi="Times New Roman" w:cs="Times New Roman"/>
          <w:b w:val="0"/>
          <w:i w:val="0"/>
        </w:rPr>
        <w:t> </w:t>
      </w:r>
    </w:p>
    <w:p w:rsidR="00D55EE9" w:rsidRPr="00FD078B" w:rsidRDefault="002F7305" w:rsidP="00FD078B">
      <w:pPr>
        <w:pStyle w:val="IssueSubsectionHeading"/>
        <w:rPr>
          <w:rFonts w:ascii="Times New Roman" w:eastAsiaTheme="minorHAnsi" w:hAnsi="Times New Roman" w:cs="Times New Roman"/>
          <w:b w:val="0"/>
          <w:i w:val="0"/>
          <w:szCs w:val="22"/>
        </w:rPr>
      </w:pPr>
      <w:r w:rsidRPr="00FD078B">
        <w:rPr>
          <w:rFonts w:ascii="Times New Roman" w:hAnsi="Times New Roman" w:cs="Times New Roman"/>
          <w:b w:val="0"/>
          <w:i w:val="0"/>
        </w:rPr>
        <w:t xml:space="preserve">Pursuant to Section 366.06(3), F.S. the Commission may withhold consent to the operation of all or any portion of a new rate schedule, delivering to the utility requesting such a change, a reason, or written statement of good cause for doing so within 60 days. </w:t>
      </w:r>
      <w:r w:rsidR="00FD078B" w:rsidRPr="00FD078B">
        <w:rPr>
          <w:rFonts w:ascii="Times New Roman" w:hAnsi="Times New Roman" w:cs="Times New Roman"/>
          <w:b w:val="0"/>
          <w:i w:val="0"/>
        </w:rPr>
        <w:t>Staff recommends that allowing staff and the parties time to analyze the request and for the Commission to conduct an administrative hearing</w:t>
      </w:r>
      <w:r w:rsidR="00FD078B">
        <w:rPr>
          <w:rFonts w:ascii="Times New Roman" w:hAnsi="Times New Roman" w:cs="Times New Roman"/>
          <w:b w:val="0"/>
          <w:i w:val="0"/>
        </w:rPr>
        <w:t xml:space="preserve"> </w:t>
      </w:r>
      <w:r w:rsidRPr="00FD078B">
        <w:rPr>
          <w:rFonts w:ascii="Times New Roman" w:hAnsi="Times New Roman" w:cs="Times New Roman"/>
          <w:b w:val="0"/>
          <w:i w:val="0"/>
        </w:rPr>
        <w:t>is a good cause consistent with the requirement of Section 366.06(3), F.S.</w:t>
      </w:r>
    </w:p>
    <w:p w:rsidR="00D241DF" w:rsidRDefault="00D241DF">
      <w:pPr>
        <w:pStyle w:val="IssueHeading"/>
        <w:rPr>
          <w:vanish/>
          <w:specVanish/>
        </w:rPr>
      </w:pPr>
      <w:r w:rsidRPr="00FD078B">
        <w:rPr>
          <w:rFonts w:ascii="Times New Roman" w:hAnsi="Times New Roman" w:cs="Times New Roman"/>
          <w:b w:val="0"/>
          <w:i w:val="0"/>
        </w:rPr>
        <w:br w:type="page"/>
      </w:r>
      <w:r w:rsidRPr="004C3641">
        <w:lastRenderedPageBreak/>
        <w:t xml:space="preserve">Issue </w:t>
      </w:r>
      <w:r w:rsidR="00DC4066">
        <w:fldChar w:fldCharType="begin"/>
      </w:r>
      <w:r w:rsidR="00DC4066">
        <w:instrText xml:space="preserve"> SEQ Issue \* MERGEFORMAT </w:instrText>
      </w:r>
      <w:r w:rsidR="00DC4066">
        <w:fldChar w:fldCharType="separate"/>
      </w:r>
      <w:r>
        <w:rPr>
          <w:noProof/>
        </w:rPr>
        <w:t>2</w:t>
      </w:r>
      <w:r w:rsidR="00DC4066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D241DF" w:rsidRDefault="00D241DF">
      <w:pPr>
        <w:pStyle w:val="BodyText"/>
      </w:pPr>
      <w:r>
        <w:t> Should this docket be closed?</w:t>
      </w:r>
    </w:p>
    <w:p w:rsidR="00D241DF" w:rsidRPr="004C3641" w:rsidRDefault="00D241DF">
      <w:pPr>
        <w:pStyle w:val="IssueSubsectionHeading"/>
        <w:rPr>
          <w:vanish/>
          <w:specVanish/>
        </w:rPr>
      </w:pPr>
      <w:r w:rsidRPr="004C3641">
        <w:t>Recommendation: </w:t>
      </w:r>
    </w:p>
    <w:p w:rsidR="00377642" w:rsidRPr="00377642" w:rsidRDefault="00377642" w:rsidP="00377642">
      <w:pPr>
        <w:spacing w:after="200" w:line="276" w:lineRule="auto"/>
        <w:rPr>
          <w:rFonts w:eastAsiaTheme="minorHAnsi" w:cstheme="minorBidi"/>
          <w:szCs w:val="22"/>
        </w:rPr>
      </w:pPr>
      <w:r w:rsidRPr="00377642">
        <w:rPr>
          <w:rFonts w:eastAsiaTheme="minorHAnsi" w:cstheme="minorBidi"/>
          <w:szCs w:val="22"/>
        </w:rPr>
        <w:t>No</w:t>
      </w:r>
      <w:r>
        <w:rPr>
          <w:rFonts w:eastAsiaTheme="minorHAnsi" w:cstheme="minorBidi"/>
          <w:szCs w:val="22"/>
        </w:rPr>
        <w:t>. T</w:t>
      </w:r>
      <w:r w:rsidRPr="00377642">
        <w:rPr>
          <w:rFonts w:eastAsiaTheme="minorHAnsi" w:cstheme="minorBidi"/>
          <w:szCs w:val="22"/>
        </w:rPr>
        <w:t>his docket should remain open to process the Company’s revenue increase request.</w:t>
      </w:r>
      <w:r w:rsidR="007E400E">
        <w:rPr>
          <w:rFonts w:eastAsiaTheme="minorHAnsi" w:cstheme="minorBidi"/>
          <w:szCs w:val="22"/>
        </w:rPr>
        <w:t xml:space="preserve"> (Sparks)</w:t>
      </w:r>
    </w:p>
    <w:p w:rsidR="00D241DF" w:rsidRPr="004C3641" w:rsidRDefault="00D241DF">
      <w:pPr>
        <w:pStyle w:val="IssueSubsectionHeading"/>
        <w:rPr>
          <w:vanish/>
          <w:specVanish/>
        </w:rPr>
      </w:pPr>
      <w:r w:rsidRPr="004C3641">
        <w:t>Staff Analysis: </w:t>
      </w:r>
    </w:p>
    <w:p w:rsidR="00D241DF" w:rsidRDefault="00D241DF">
      <w:pPr>
        <w:pStyle w:val="BodyText"/>
      </w:pPr>
      <w:r>
        <w:t> </w:t>
      </w:r>
      <w:r w:rsidR="00377642">
        <w:t>This docket should remain open pending the Commission’s final resolution of the Company’s requested permanent base rate increase.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12" w:rsidRDefault="001B2112">
      <w:r>
        <w:separator/>
      </w:r>
    </w:p>
  </w:endnote>
  <w:endnote w:type="continuationSeparator" w:id="0">
    <w:p w:rsidR="001B2112" w:rsidRDefault="001B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058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12" w:rsidRDefault="001B2112">
      <w:r>
        <w:separator/>
      </w:r>
    </w:p>
  </w:footnote>
  <w:footnote w:type="continuationSeparator" w:id="0">
    <w:p w:rsidR="001B2112" w:rsidRDefault="001B2112">
      <w:r>
        <w:continuationSeparator/>
      </w:r>
    </w:p>
  </w:footnote>
  <w:footnote w:id="1">
    <w:p w:rsidR="00D55EE9" w:rsidRDefault="00D55EE9" w:rsidP="00D55EE9">
      <w:pPr>
        <w:autoSpaceDE w:val="0"/>
        <w:autoSpaceDN w:val="0"/>
        <w:adjustRightInd w:val="0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Order No. PSC-2021-0423-S-EI, issued November 10, 2021, in Docket No. 20210034-EI,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In re: </w:t>
      </w:r>
      <w:r w:rsidR="00D4443C" w:rsidRPr="00D4443C">
        <w:rPr>
          <w:rFonts w:ascii="TimesNewRomanPS-ItalicMT" w:hAnsi="TimesNewRomanPS-ItalicMT" w:cs="TimesNewRomanPS-ItalicMT"/>
          <w:i/>
          <w:iCs/>
          <w:sz w:val="20"/>
          <w:szCs w:val="20"/>
        </w:rPr>
        <w:t>Petition for rate increase by Tampa Electric Company.</w:t>
      </w:r>
    </w:p>
  </w:footnote>
  <w:footnote w:id="2">
    <w:p w:rsidR="00D55EE9" w:rsidRDefault="00D55EE9" w:rsidP="00D55E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NewRomanPSMT" w:hAnsi="TimesNewRomanPSMT" w:cs="TimesNewRomanPSMT"/>
        </w:rPr>
        <w:t xml:space="preserve">Order No. PSC-2024-0048-PCO-EI, issued February 26, 2024, in Docket No. 20240026-EI, </w:t>
      </w:r>
      <w:r>
        <w:rPr>
          <w:rFonts w:ascii="TimesNewRomanPS-ItalicMT" w:hAnsi="TimesNewRomanPS-ItalicMT" w:cs="TimesNewRomanPS-ItalicMT"/>
          <w:i/>
          <w:iCs/>
        </w:rPr>
        <w:t>In re: Petition for rate increase by Tampa Electric Company</w:t>
      </w:r>
      <w:r>
        <w:rPr>
          <w:rFonts w:ascii="TimesNewRomanPSMT" w:hAnsi="TimesNewRomanPSMT" w:cs="TimesNewRomanPSMT"/>
        </w:rPr>
        <w:t>.</w:t>
      </w:r>
    </w:p>
  </w:footnote>
  <w:footnote w:id="3">
    <w:p w:rsidR="00CB1C9A" w:rsidRDefault="00CB1C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5DB8">
        <w:t>Order Nos. PSC-2024-0121-PCO-EI, PSC-2024-0122-PCO-EI, PSC-2024-0123-PCO-EI, PSC-2024-0124-PCO-EI, and PSC-2024-0125-PCO-EI</w:t>
      </w:r>
      <w:r w:rsidR="00CD5133">
        <w:t>,</w:t>
      </w:r>
      <w:r w:rsidR="00EF5DB8">
        <w:t xml:space="preserve"> issued April 23, 2024, </w:t>
      </w:r>
      <w:r w:rsidR="00EF5DB8">
        <w:rPr>
          <w:rFonts w:ascii="TimesNewRomanPSMT" w:hAnsi="TimesNewRomanPSMT" w:cs="TimesNewRomanPSMT"/>
        </w:rPr>
        <w:t xml:space="preserve">in Docket No. 20240026-EI, </w:t>
      </w:r>
      <w:r w:rsidR="00EF5DB8">
        <w:rPr>
          <w:rFonts w:ascii="TimesNewRomanPS-ItalicMT" w:hAnsi="TimesNewRomanPS-ItalicMT" w:cs="TimesNewRomanPS-ItalicMT"/>
          <w:i/>
          <w:iCs/>
        </w:rPr>
        <w:t>In re: Petition for rate increase by Tampa Electric Company</w:t>
      </w:r>
      <w:r w:rsidR="00EF5DB8">
        <w:rPr>
          <w:rFonts w:ascii="TimesNewRomanPSMT" w:hAnsi="TimesNewRomanPSMT" w:cs="TimesNewRomanPSMT"/>
        </w:rPr>
        <w:t>.</w:t>
      </w:r>
    </w:p>
  </w:footnote>
  <w:footnote w:id="4">
    <w:p w:rsidR="00CC17F8" w:rsidRDefault="00CC17F8">
      <w:pPr>
        <w:pStyle w:val="FootnoteText"/>
      </w:pPr>
      <w:r>
        <w:rPr>
          <w:rStyle w:val="FootnoteReference"/>
        </w:rPr>
        <w:footnoteRef/>
      </w:r>
      <w:r>
        <w:t xml:space="preserve"> See Document No. 02357-2024.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D241DF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20240026-EI</w:t>
    </w:r>
    <w:bookmarkEnd w:id="14"/>
  </w:p>
  <w:p w:rsidR="00BC402E" w:rsidRDefault="00BC402E">
    <w:pPr>
      <w:pStyle w:val="Header"/>
    </w:pPr>
    <w:r>
      <w:t xml:space="preserve">Date: </w:t>
    </w:r>
    <w:r w:rsidR="00DC4066">
      <w:fldChar w:fldCharType="begin"/>
    </w:r>
    <w:r w:rsidR="00DC4066">
      <w:instrText xml:space="preserve"> REF FilingDate </w:instrText>
    </w:r>
    <w:r w:rsidR="00DC4066">
      <w:fldChar w:fldCharType="separate"/>
    </w:r>
    <w:r w:rsidR="00D241DF">
      <w:t>April 25, 2024</w:t>
    </w:r>
    <w:r w:rsidR="00DC406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D241DF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D241DF">
      <w:t>20240026-EI</w:t>
    </w:r>
    <w:r>
      <w:fldChar w:fldCharType="end"/>
    </w:r>
    <w:r>
      <w:tab/>
      <w:t xml:space="preserve">Issue </w:t>
    </w:r>
    <w:fldSimple w:instr=" Seq Issue \c \* Arabic ">
      <w:r w:rsidR="00DE058C">
        <w:rPr>
          <w:noProof/>
        </w:rPr>
        <w:t>1</w:t>
      </w:r>
    </w:fldSimple>
  </w:p>
  <w:p w:rsidR="00BC402E" w:rsidRDefault="00BC402E">
    <w:pPr>
      <w:pStyle w:val="Header"/>
    </w:pPr>
    <w:r>
      <w:t xml:space="preserve">Date: </w:t>
    </w:r>
    <w:r w:rsidR="00DC4066">
      <w:fldChar w:fldCharType="begin"/>
    </w:r>
    <w:r w:rsidR="00DC4066">
      <w:instrText xml:space="preserve"> REF FilingDate </w:instrText>
    </w:r>
    <w:r w:rsidR="00DC4066">
      <w:fldChar w:fldCharType="separate"/>
    </w:r>
    <w:r w:rsidR="00D241DF">
      <w:t>April 25, 2024</w:t>
    </w:r>
    <w:r w:rsidR="00DC406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D241DF"/>
    <w:rsid w:val="000043D5"/>
    <w:rsid w:val="00006170"/>
    <w:rsid w:val="00010E37"/>
    <w:rsid w:val="000172DA"/>
    <w:rsid w:val="00022337"/>
    <w:rsid w:val="00023A0E"/>
    <w:rsid w:val="000247C5"/>
    <w:rsid w:val="000277C2"/>
    <w:rsid w:val="00035B48"/>
    <w:rsid w:val="00036CE2"/>
    <w:rsid w:val="000437FE"/>
    <w:rsid w:val="000513BE"/>
    <w:rsid w:val="00051573"/>
    <w:rsid w:val="0005451B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B0ACE"/>
    <w:rsid w:val="000C4431"/>
    <w:rsid w:val="000C4568"/>
    <w:rsid w:val="000C6607"/>
    <w:rsid w:val="000D1C06"/>
    <w:rsid w:val="000D3043"/>
    <w:rsid w:val="000D4319"/>
    <w:rsid w:val="000E24FA"/>
    <w:rsid w:val="000E338A"/>
    <w:rsid w:val="000E4392"/>
    <w:rsid w:val="000F374A"/>
    <w:rsid w:val="000F4DAF"/>
    <w:rsid w:val="00105BA1"/>
    <w:rsid w:val="001076AF"/>
    <w:rsid w:val="001109F6"/>
    <w:rsid w:val="00116C6B"/>
    <w:rsid w:val="00117C8C"/>
    <w:rsid w:val="001239F0"/>
    <w:rsid w:val="00124C38"/>
    <w:rsid w:val="00124E2E"/>
    <w:rsid w:val="00125ED4"/>
    <w:rsid w:val="001303BF"/>
    <w:rsid w:val="001305E9"/>
    <w:rsid w:val="001307AF"/>
    <w:rsid w:val="0013347E"/>
    <w:rsid w:val="00135687"/>
    <w:rsid w:val="00136BD1"/>
    <w:rsid w:val="00146B5D"/>
    <w:rsid w:val="00150ECE"/>
    <w:rsid w:val="0015506E"/>
    <w:rsid w:val="00160BFA"/>
    <w:rsid w:val="00163031"/>
    <w:rsid w:val="001654C4"/>
    <w:rsid w:val="00171A90"/>
    <w:rsid w:val="00180254"/>
    <w:rsid w:val="00191E1F"/>
    <w:rsid w:val="00191EE8"/>
    <w:rsid w:val="00192943"/>
    <w:rsid w:val="00193BAF"/>
    <w:rsid w:val="00194791"/>
    <w:rsid w:val="001A7406"/>
    <w:rsid w:val="001A7AE4"/>
    <w:rsid w:val="001B0564"/>
    <w:rsid w:val="001B1EDC"/>
    <w:rsid w:val="001B2112"/>
    <w:rsid w:val="001B4053"/>
    <w:rsid w:val="001B4FEE"/>
    <w:rsid w:val="001B51C5"/>
    <w:rsid w:val="001B672A"/>
    <w:rsid w:val="001B6F3F"/>
    <w:rsid w:val="001C52B5"/>
    <w:rsid w:val="001D0D3E"/>
    <w:rsid w:val="001D2817"/>
    <w:rsid w:val="001D2899"/>
    <w:rsid w:val="001E14A3"/>
    <w:rsid w:val="001E390F"/>
    <w:rsid w:val="001E7FF4"/>
    <w:rsid w:val="001F2245"/>
    <w:rsid w:val="001F2C63"/>
    <w:rsid w:val="001F48C7"/>
    <w:rsid w:val="001F6DA1"/>
    <w:rsid w:val="00200178"/>
    <w:rsid w:val="00204200"/>
    <w:rsid w:val="002044E6"/>
    <w:rsid w:val="00205C82"/>
    <w:rsid w:val="00205DC2"/>
    <w:rsid w:val="00212B17"/>
    <w:rsid w:val="002163B6"/>
    <w:rsid w:val="00217215"/>
    <w:rsid w:val="00220732"/>
    <w:rsid w:val="0022121F"/>
    <w:rsid w:val="00221D32"/>
    <w:rsid w:val="00222AC1"/>
    <w:rsid w:val="00225C3F"/>
    <w:rsid w:val="00263D44"/>
    <w:rsid w:val="002702AD"/>
    <w:rsid w:val="00281EB4"/>
    <w:rsid w:val="00292D82"/>
    <w:rsid w:val="00293EE7"/>
    <w:rsid w:val="002963CB"/>
    <w:rsid w:val="002B2DAC"/>
    <w:rsid w:val="002B4A01"/>
    <w:rsid w:val="002C291B"/>
    <w:rsid w:val="002C714D"/>
    <w:rsid w:val="002C746A"/>
    <w:rsid w:val="002C7E4E"/>
    <w:rsid w:val="002D226D"/>
    <w:rsid w:val="002D74E3"/>
    <w:rsid w:val="002F6030"/>
    <w:rsid w:val="002F7305"/>
    <w:rsid w:val="003001AC"/>
    <w:rsid w:val="003037E1"/>
    <w:rsid w:val="00307E51"/>
    <w:rsid w:val="003103EC"/>
    <w:rsid w:val="00312132"/>
    <w:rsid w:val="003130BA"/>
    <w:rsid w:val="003144EF"/>
    <w:rsid w:val="0031480E"/>
    <w:rsid w:val="00316877"/>
    <w:rsid w:val="00322F74"/>
    <w:rsid w:val="00325E15"/>
    <w:rsid w:val="00340073"/>
    <w:rsid w:val="003411D8"/>
    <w:rsid w:val="003445B0"/>
    <w:rsid w:val="00353B66"/>
    <w:rsid w:val="00355934"/>
    <w:rsid w:val="00357928"/>
    <w:rsid w:val="003632FD"/>
    <w:rsid w:val="00370F78"/>
    <w:rsid w:val="00372805"/>
    <w:rsid w:val="00373180"/>
    <w:rsid w:val="00375AB9"/>
    <w:rsid w:val="0037691E"/>
    <w:rsid w:val="00377642"/>
    <w:rsid w:val="003821A0"/>
    <w:rsid w:val="00385B04"/>
    <w:rsid w:val="003864CF"/>
    <w:rsid w:val="003948AE"/>
    <w:rsid w:val="003A08C0"/>
    <w:rsid w:val="003A22A6"/>
    <w:rsid w:val="003A32EB"/>
    <w:rsid w:val="003A5494"/>
    <w:rsid w:val="003A7EDA"/>
    <w:rsid w:val="003B2510"/>
    <w:rsid w:val="003B4355"/>
    <w:rsid w:val="003C2CC4"/>
    <w:rsid w:val="003C3710"/>
    <w:rsid w:val="003C42A3"/>
    <w:rsid w:val="003C48F7"/>
    <w:rsid w:val="003E0463"/>
    <w:rsid w:val="003E0EFC"/>
    <w:rsid w:val="003E4A2B"/>
    <w:rsid w:val="003E6FE9"/>
    <w:rsid w:val="003E76C2"/>
    <w:rsid w:val="003F1367"/>
    <w:rsid w:val="003F1679"/>
    <w:rsid w:val="003F21EB"/>
    <w:rsid w:val="003F4A35"/>
    <w:rsid w:val="003F5F03"/>
    <w:rsid w:val="003F7FDD"/>
    <w:rsid w:val="00402101"/>
    <w:rsid w:val="00402481"/>
    <w:rsid w:val="004042B4"/>
    <w:rsid w:val="00410DC4"/>
    <w:rsid w:val="00412DAE"/>
    <w:rsid w:val="0041302D"/>
    <w:rsid w:val="004242E6"/>
    <w:rsid w:val="00427B35"/>
    <w:rsid w:val="00431598"/>
    <w:rsid w:val="004319AD"/>
    <w:rsid w:val="004426B8"/>
    <w:rsid w:val="00444432"/>
    <w:rsid w:val="00447D5C"/>
    <w:rsid w:val="00450202"/>
    <w:rsid w:val="004502B2"/>
    <w:rsid w:val="00455499"/>
    <w:rsid w:val="004649A7"/>
    <w:rsid w:val="00471860"/>
    <w:rsid w:val="00477026"/>
    <w:rsid w:val="00477276"/>
    <w:rsid w:val="00477730"/>
    <w:rsid w:val="004A744D"/>
    <w:rsid w:val="004B60BD"/>
    <w:rsid w:val="004C3150"/>
    <w:rsid w:val="004C3641"/>
    <w:rsid w:val="004C3873"/>
    <w:rsid w:val="004C4390"/>
    <w:rsid w:val="004C4AF7"/>
    <w:rsid w:val="004C7501"/>
    <w:rsid w:val="004D020C"/>
    <w:rsid w:val="004D2881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50D1"/>
    <w:rsid w:val="004F5C43"/>
    <w:rsid w:val="005050A2"/>
    <w:rsid w:val="00506030"/>
    <w:rsid w:val="0050652D"/>
    <w:rsid w:val="00506C03"/>
    <w:rsid w:val="00511A11"/>
    <w:rsid w:val="00514D7B"/>
    <w:rsid w:val="00516496"/>
    <w:rsid w:val="00522E7D"/>
    <w:rsid w:val="00523B11"/>
    <w:rsid w:val="0052455B"/>
    <w:rsid w:val="0052572A"/>
    <w:rsid w:val="00532DFB"/>
    <w:rsid w:val="00543CB3"/>
    <w:rsid w:val="005442E4"/>
    <w:rsid w:val="00547652"/>
    <w:rsid w:val="0055529B"/>
    <w:rsid w:val="00560FF0"/>
    <w:rsid w:val="005614BD"/>
    <w:rsid w:val="0057154F"/>
    <w:rsid w:val="00580F69"/>
    <w:rsid w:val="00581CA3"/>
    <w:rsid w:val="00585031"/>
    <w:rsid w:val="00586E8B"/>
    <w:rsid w:val="00587090"/>
    <w:rsid w:val="00587A44"/>
    <w:rsid w:val="00597730"/>
    <w:rsid w:val="005977EC"/>
    <w:rsid w:val="00597DE7"/>
    <w:rsid w:val="005A1CD3"/>
    <w:rsid w:val="005A4AA2"/>
    <w:rsid w:val="005B34B6"/>
    <w:rsid w:val="005B606A"/>
    <w:rsid w:val="005B6C8F"/>
    <w:rsid w:val="005B6EC3"/>
    <w:rsid w:val="005C17D7"/>
    <w:rsid w:val="005C33CE"/>
    <w:rsid w:val="005D0F74"/>
    <w:rsid w:val="005D2E7D"/>
    <w:rsid w:val="005D4A8F"/>
    <w:rsid w:val="005D561B"/>
    <w:rsid w:val="005D578F"/>
    <w:rsid w:val="005D5ECF"/>
    <w:rsid w:val="005F468D"/>
    <w:rsid w:val="005F69A3"/>
    <w:rsid w:val="00604CC7"/>
    <w:rsid w:val="00613441"/>
    <w:rsid w:val="00615423"/>
    <w:rsid w:val="006165B2"/>
    <w:rsid w:val="00617276"/>
    <w:rsid w:val="0062527B"/>
    <w:rsid w:val="00625D97"/>
    <w:rsid w:val="00625F1C"/>
    <w:rsid w:val="0062658E"/>
    <w:rsid w:val="006279E1"/>
    <w:rsid w:val="00630CEB"/>
    <w:rsid w:val="00632264"/>
    <w:rsid w:val="006355F2"/>
    <w:rsid w:val="00637A25"/>
    <w:rsid w:val="006470BC"/>
    <w:rsid w:val="006554D3"/>
    <w:rsid w:val="006603F4"/>
    <w:rsid w:val="00661708"/>
    <w:rsid w:val="00666522"/>
    <w:rsid w:val="00667036"/>
    <w:rsid w:val="00667B89"/>
    <w:rsid w:val="00673BDB"/>
    <w:rsid w:val="00674341"/>
    <w:rsid w:val="006771B8"/>
    <w:rsid w:val="00682631"/>
    <w:rsid w:val="00683A89"/>
    <w:rsid w:val="006843B6"/>
    <w:rsid w:val="0068481F"/>
    <w:rsid w:val="00693EA1"/>
    <w:rsid w:val="0069636F"/>
    <w:rsid w:val="00696F5D"/>
    <w:rsid w:val="00697249"/>
    <w:rsid w:val="006A06F3"/>
    <w:rsid w:val="006A1A67"/>
    <w:rsid w:val="006B09C4"/>
    <w:rsid w:val="006B3947"/>
    <w:rsid w:val="006B4293"/>
    <w:rsid w:val="006B624F"/>
    <w:rsid w:val="006C0C95"/>
    <w:rsid w:val="006C31E3"/>
    <w:rsid w:val="006D18D3"/>
    <w:rsid w:val="006D1EE9"/>
    <w:rsid w:val="006D3BD1"/>
    <w:rsid w:val="006E010E"/>
    <w:rsid w:val="006E08CB"/>
    <w:rsid w:val="006E598D"/>
    <w:rsid w:val="0070437D"/>
    <w:rsid w:val="00704CF1"/>
    <w:rsid w:val="00705B04"/>
    <w:rsid w:val="0071040E"/>
    <w:rsid w:val="00717EE9"/>
    <w:rsid w:val="00724992"/>
    <w:rsid w:val="00724F64"/>
    <w:rsid w:val="00727F90"/>
    <w:rsid w:val="00734820"/>
    <w:rsid w:val="007349DC"/>
    <w:rsid w:val="0074365E"/>
    <w:rsid w:val="00744B55"/>
    <w:rsid w:val="0074730B"/>
    <w:rsid w:val="007515FD"/>
    <w:rsid w:val="00760D80"/>
    <w:rsid w:val="00761CB4"/>
    <w:rsid w:val="00780C09"/>
    <w:rsid w:val="00780DDF"/>
    <w:rsid w:val="00781B83"/>
    <w:rsid w:val="007834E9"/>
    <w:rsid w:val="00787DBC"/>
    <w:rsid w:val="0079019A"/>
    <w:rsid w:val="00792935"/>
    <w:rsid w:val="007A04A1"/>
    <w:rsid w:val="007A1840"/>
    <w:rsid w:val="007B730C"/>
    <w:rsid w:val="007C0528"/>
    <w:rsid w:val="007C08EA"/>
    <w:rsid w:val="007C3D38"/>
    <w:rsid w:val="007D0F35"/>
    <w:rsid w:val="007D1783"/>
    <w:rsid w:val="007D4546"/>
    <w:rsid w:val="007D4FEB"/>
    <w:rsid w:val="007D6146"/>
    <w:rsid w:val="007E0CE7"/>
    <w:rsid w:val="007E400E"/>
    <w:rsid w:val="007F1193"/>
    <w:rsid w:val="007F417F"/>
    <w:rsid w:val="007F7644"/>
    <w:rsid w:val="008042BD"/>
    <w:rsid w:val="00804E17"/>
    <w:rsid w:val="008050B3"/>
    <w:rsid w:val="00816624"/>
    <w:rsid w:val="00822427"/>
    <w:rsid w:val="00822562"/>
    <w:rsid w:val="00823663"/>
    <w:rsid w:val="00823664"/>
    <w:rsid w:val="008305B7"/>
    <w:rsid w:val="00832DDC"/>
    <w:rsid w:val="008426B0"/>
    <w:rsid w:val="008431BB"/>
    <w:rsid w:val="00845E34"/>
    <w:rsid w:val="00850BAC"/>
    <w:rsid w:val="00854A3E"/>
    <w:rsid w:val="00855D08"/>
    <w:rsid w:val="008618A4"/>
    <w:rsid w:val="00867F7C"/>
    <w:rsid w:val="008731AB"/>
    <w:rsid w:val="00874344"/>
    <w:rsid w:val="0087505D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3BA0"/>
    <w:rsid w:val="008B5C68"/>
    <w:rsid w:val="008B62AE"/>
    <w:rsid w:val="008C04B5"/>
    <w:rsid w:val="008C14FA"/>
    <w:rsid w:val="008C7B0B"/>
    <w:rsid w:val="008D4057"/>
    <w:rsid w:val="008E1F19"/>
    <w:rsid w:val="008F2262"/>
    <w:rsid w:val="008F4D2B"/>
    <w:rsid w:val="008F5B91"/>
    <w:rsid w:val="008F7736"/>
    <w:rsid w:val="0090019E"/>
    <w:rsid w:val="00900435"/>
    <w:rsid w:val="00901086"/>
    <w:rsid w:val="00901C8A"/>
    <w:rsid w:val="00902F66"/>
    <w:rsid w:val="00904F3B"/>
    <w:rsid w:val="00905886"/>
    <w:rsid w:val="009070D6"/>
    <w:rsid w:val="009076C6"/>
    <w:rsid w:val="0091019E"/>
    <w:rsid w:val="009106F1"/>
    <w:rsid w:val="00912404"/>
    <w:rsid w:val="009145D6"/>
    <w:rsid w:val="00915541"/>
    <w:rsid w:val="00920E64"/>
    <w:rsid w:val="00922002"/>
    <w:rsid w:val="009225CB"/>
    <w:rsid w:val="00924020"/>
    <w:rsid w:val="00924BF4"/>
    <w:rsid w:val="009271A7"/>
    <w:rsid w:val="0092762F"/>
    <w:rsid w:val="0093658B"/>
    <w:rsid w:val="009429FF"/>
    <w:rsid w:val="009444D1"/>
    <w:rsid w:val="00945BD6"/>
    <w:rsid w:val="009479FB"/>
    <w:rsid w:val="00951C45"/>
    <w:rsid w:val="00951DD8"/>
    <w:rsid w:val="009656F2"/>
    <w:rsid w:val="00966A08"/>
    <w:rsid w:val="009701B7"/>
    <w:rsid w:val="00971207"/>
    <w:rsid w:val="00975CB4"/>
    <w:rsid w:val="009863B0"/>
    <w:rsid w:val="00987DE1"/>
    <w:rsid w:val="00990571"/>
    <w:rsid w:val="00991905"/>
    <w:rsid w:val="009926B2"/>
    <w:rsid w:val="0099673A"/>
    <w:rsid w:val="009A3291"/>
    <w:rsid w:val="009A3330"/>
    <w:rsid w:val="009A548F"/>
    <w:rsid w:val="009A7C96"/>
    <w:rsid w:val="009B61BF"/>
    <w:rsid w:val="009C3253"/>
    <w:rsid w:val="009C3DB9"/>
    <w:rsid w:val="009C5968"/>
    <w:rsid w:val="009D0436"/>
    <w:rsid w:val="009D46E5"/>
    <w:rsid w:val="009D568A"/>
    <w:rsid w:val="009F04EC"/>
    <w:rsid w:val="009F2A7C"/>
    <w:rsid w:val="009F3B36"/>
    <w:rsid w:val="00A019B9"/>
    <w:rsid w:val="00A03157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7D6E"/>
    <w:rsid w:val="00A328EC"/>
    <w:rsid w:val="00A33A51"/>
    <w:rsid w:val="00A41CA6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2439"/>
    <w:rsid w:val="00A92FB1"/>
    <w:rsid w:val="00A95980"/>
    <w:rsid w:val="00A95A0C"/>
    <w:rsid w:val="00AA2765"/>
    <w:rsid w:val="00AA77B5"/>
    <w:rsid w:val="00AB6C5D"/>
    <w:rsid w:val="00AC3401"/>
    <w:rsid w:val="00AC51A7"/>
    <w:rsid w:val="00AC603B"/>
    <w:rsid w:val="00AD0E89"/>
    <w:rsid w:val="00AD444B"/>
    <w:rsid w:val="00AD5614"/>
    <w:rsid w:val="00AD6C78"/>
    <w:rsid w:val="00AE03F0"/>
    <w:rsid w:val="00AE2EAB"/>
    <w:rsid w:val="00AF13D0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32D37"/>
    <w:rsid w:val="00B41AA8"/>
    <w:rsid w:val="00B42B45"/>
    <w:rsid w:val="00B516ED"/>
    <w:rsid w:val="00B565DA"/>
    <w:rsid w:val="00B57A6A"/>
    <w:rsid w:val="00B62D0D"/>
    <w:rsid w:val="00B760F1"/>
    <w:rsid w:val="00B7669E"/>
    <w:rsid w:val="00B76EBB"/>
    <w:rsid w:val="00B77DA1"/>
    <w:rsid w:val="00B822A0"/>
    <w:rsid w:val="00B82F85"/>
    <w:rsid w:val="00B858AE"/>
    <w:rsid w:val="00B85964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402E"/>
    <w:rsid w:val="00BC70C6"/>
    <w:rsid w:val="00BD0F48"/>
    <w:rsid w:val="00BD14E5"/>
    <w:rsid w:val="00BE0E50"/>
    <w:rsid w:val="00BE6DDB"/>
    <w:rsid w:val="00BF03E0"/>
    <w:rsid w:val="00BF5010"/>
    <w:rsid w:val="00C03009"/>
    <w:rsid w:val="00C03D5F"/>
    <w:rsid w:val="00C13791"/>
    <w:rsid w:val="00C210BD"/>
    <w:rsid w:val="00C2575A"/>
    <w:rsid w:val="00C31BB3"/>
    <w:rsid w:val="00C36977"/>
    <w:rsid w:val="00C46628"/>
    <w:rsid w:val="00C467DA"/>
    <w:rsid w:val="00C477D9"/>
    <w:rsid w:val="00C57869"/>
    <w:rsid w:val="00C60BA3"/>
    <w:rsid w:val="00C623F7"/>
    <w:rsid w:val="00C62A81"/>
    <w:rsid w:val="00C67CD7"/>
    <w:rsid w:val="00C71E00"/>
    <w:rsid w:val="00C75BC5"/>
    <w:rsid w:val="00C81670"/>
    <w:rsid w:val="00C81773"/>
    <w:rsid w:val="00C82861"/>
    <w:rsid w:val="00C86896"/>
    <w:rsid w:val="00C907A8"/>
    <w:rsid w:val="00C91670"/>
    <w:rsid w:val="00C93211"/>
    <w:rsid w:val="00C93DB8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1C9A"/>
    <w:rsid w:val="00CB33E9"/>
    <w:rsid w:val="00CC10A9"/>
    <w:rsid w:val="00CC17F8"/>
    <w:rsid w:val="00CD0655"/>
    <w:rsid w:val="00CD5133"/>
    <w:rsid w:val="00CE2BF8"/>
    <w:rsid w:val="00CE484E"/>
    <w:rsid w:val="00CE4D20"/>
    <w:rsid w:val="00CE656F"/>
    <w:rsid w:val="00CF0DA8"/>
    <w:rsid w:val="00CF2E25"/>
    <w:rsid w:val="00CF4453"/>
    <w:rsid w:val="00CF5589"/>
    <w:rsid w:val="00CF5D94"/>
    <w:rsid w:val="00CF7E0F"/>
    <w:rsid w:val="00D00893"/>
    <w:rsid w:val="00D034D7"/>
    <w:rsid w:val="00D04BE4"/>
    <w:rsid w:val="00D06FC7"/>
    <w:rsid w:val="00D12565"/>
    <w:rsid w:val="00D140C1"/>
    <w:rsid w:val="00D14127"/>
    <w:rsid w:val="00D241DF"/>
    <w:rsid w:val="00D4443C"/>
    <w:rsid w:val="00D479AE"/>
    <w:rsid w:val="00D50FCD"/>
    <w:rsid w:val="00D533E3"/>
    <w:rsid w:val="00D55EE9"/>
    <w:rsid w:val="00D60B16"/>
    <w:rsid w:val="00D60F02"/>
    <w:rsid w:val="00D66E49"/>
    <w:rsid w:val="00D70D71"/>
    <w:rsid w:val="00D72F74"/>
    <w:rsid w:val="00D81563"/>
    <w:rsid w:val="00D81E55"/>
    <w:rsid w:val="00D837C1"/>
    <w:rsid w:val="00D85907"/>
    <w:rsid w:val="00D860AC"/>
    <w:rsid w:val="00D9073E"/>
    <w:rsid w:val="00D9221D"/>
    <w:rsid w:val="00D9253C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3356"/>
    <w:rsid w:val="00DD5025"/>
    <w:rsid w:val="00DD5464"/>
    <w:rsid w:val="00DD6F85"/>
    <w:rsid w:val="00DE058C"/>
    <w:rsid w:val="00DE254E"/>
    <w:rsid w:val="00DE32C0"/>
    <w:rsid w:val="00DE76A7"/>
    <w:rsid w:val="00DF1510"/>
    <w:rsid w:val="00E02F1F"/>
    <w:rsid w:val="00E05454"/>
    <w:rsid w:val="00E06484"/>
    <w:rsid w:val="00E06B24"/>
    <w:rsid w:val="00E20A7D"/>
    <w:rsid w:val="00E21778"/>
    <w:rsid w:val="00E23FE4"/>
    <w:rsid w:val="00E275D8"/>
    <w:rsid w:val="00E30F6A"/>
    <w:rsid w:val="00E3117C"/>
    <w:rsid w:val="00E31288"/>
    <w:rsid w:val="00E34307"/>
    <w:rsid w:val="00E34511"/>
    <w:rsid w:val="00E3635B"/>
    <w:rsid w:val="00E375C3"/>
    <w:rsid w:val="00E375CA"/>
    <w:rsid w:val="00E5364F"/>
    <w:rsid w:val="00E53CDE"/>
    <w:rsid w:val="00E567E8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7C3C"/>
    <w:rsid w:val="00EB2DB3"/>
    <w:rsid w:val="00EC3FBB"/>
    <w:rsid w:val="00EC6B7A"/>
    <w:rsid w:val="00ED3A87"/>
    <w:rsid w:val="00ED5B67"/>
    <w:rsid w:val="00EE1A5C"/>
    <w:rsid w:val="00EE5F5A"/>
    <w:rsid w:val="00EF264C"/>
    <w:rsid w:val="00EF3FEE"/>
    <w:rsid w:val="00EF5DB8"/>
    <w:rsid w:val="00EF6B41"/>
    <w:rsid w:val="00F04B59"/>
    <w:rsid w:val="00F07B69"/>
    <w:rsid w:val="00F11741"/>
    <w:rsid w:val="00F117B0"/>
    <w:rsid w:val="00F12B1C"/>
    <w:rsid w:val="00F13CF8"/>
    <w:rsid w:val="00F15855"/>
    <w:rsid w:val="00F200B2"/>
    <w:rsid w:val="00F227DC"/>
    <w:rsid w:val="00F263B9"/>
    <w:rsid w:val="00F30701"/>
    <w:rsid w:val="00F32978"/>
    <w:rsid w:val="00F44EE6"/>
    <w:rsid w:val="00F45CB2"/>
    <w:rsid w:val="00F511F3"/>
    <w:rsid w:val="00F544C0"/>
    <w:rsid w:val="00F55332"/>
    <w:rsid w:val="00F6156E"/>
    <w:rsid w:val="00F6504A"/>
    <w:rsid w:val="00F65519"/>
    <w:rsid w:val="00F66D9F"/>
    <w:rsid w:val="00F713C0"/>
    <w:rsid w:val="00F75DDC"/>
    <w:rsid w:val="00F7792F"/>
    <w:rsid w:val="00F80E66"/>
    <w:rsid w:val="00F842AA"/>
    <w:rsid w:val="00F8476F"/>
    <w:rsid w:val="00F853E1"/>
    <w:rsid w:val="00F85604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C4446"/>
    <w:rsid w:val="00FC5469"/>
    <w:rsid w:val="00FC6D7D"/>
    <w:rsid w:val="00FD078B"/>
    <w:rsid w:val="00FD16B0"/>
    <w:rsid w:val="00FD4FED"/>
    <w:rsid w:val="00FE00C8"/>
    <w:rsid w:val="00FE0577"/>
    <w:rsid w:val="00FE2FF8"/>
    <w:rsid w:val="00FE59EC"/>
    <w:rsid w:val="00FE5B67"/>
    <w:rsid w:val="00FE60D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38BEA25-5B66-4C62-A60E-F17830BB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semiHidden/>
    <w:unhideWhenUsed/>
    <w:rsid w:val="00D55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7E51-10C8-4C74-8832-9D87D052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</Template>
  <TotalTime>0</TotalTime>
  <Pages>4</Pages>
  <Words>556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Patricia Zellner</dc:creator>
  <cp:lastModifiedBy>Danielle Adams</cp:lastModifiedBy>
  <cp:revision>2</cp:revision>
  <cp:lastPrinted>2004-01-27T20:32:00Z</cp:lastPrinted>
  <dcterms:created xsi:type="dcterms:W3CDTF">2024-04-25T13:09:00Z</dcterms:created>
  <dcterms:modified xsi:type="dcterms:W3CDTF">2024-04-25T13:09:00Z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20240026-EI</vt:lpwstr>
  </property>
  <property fmtid="{D5CDD505-2E9C-101B-9397-08002B2CF9AE}" pid="3" name="MasterDocument">
    <vt:bool>false</vt:bool>
  </property>
</Properties>
</file>