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35146" w14:textId="77777777" w:rsidR="00AE43D2" w:rsidRDefault="00AE43D2" w:rsidP="000A7450">
      <w:pPr>
        <w:pStyle w:val="OrderHeading"/>
      </w:pPr>
    </w:p>
    <w:p w14:paraId="757D1342" w14:textId="67C33B35" w:rsidR="00CB5276" w:rsidRDefault="000A7450" w:rsidP="000A7450">
      <w:pPr>
        <w:pStyle w:val="OrderHeading"/>
      </w:pPr>
      <w:r>
        <w:t>BEFORE THE FLORIDA PUBLIC SERVICE COMMISSION</w:t>
      </w:r>
    </w:p>
    <w:p w14:paraId="5A58C017" w14:textId="77777777" w:rsidR="000A7450" w:rsidRDefault="000A7450" w:rsidP="000A7450">
      <w:pPr>
        <w:pStyle w:val="OrderBody"/>
      </w:pPr>
    </w:p>
    <w:p w14:paraId="19CE089A" w14:textId="77777777" w:rsidR="000A7450" w:rsidRDefault="000A7450" w:rsidP="000A74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7450" w:rsidRPr="00C63FCF" w14:paraId="7AE16BC8" w14:textId="77777777" w:rsidTr="00C63FCF">
        <w:trPr>
          <w:trHeight w:val="828"/>
        </w:trPr>
        <w:tc>
          <w:tcPr>
            <w:tcW w:w="4788" w:type="dxa"/>
            <w:tcBorders>
              <w:bottom w:val="single" w:sz="8" w:space="0" w:color="auto"/>
              <w:right w:val="double" w:sz="6" w:space="0" w:color="auto"/>
            </w:tcBorders>
            <w:shd w:val="clear" w:color="auto" w:fill="auto"/>
          </w:tcPr>
          <w:p w14:paraId="102CB20C" w14:textId="77777777" w:rsidR="000A7450" w:rsidRDefault="000A7450"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14:paraId="1DB72F62" w14:textId="77777777" w:rsidR="000A7450" w:rsidRDefault="000A7450" w:rsidP="000A7450">
            <w:pPr>
              <w:pStyle w:val="OrderBody"/>
            </w:pPr>
            <w:r>
              <w:t xml:space="preserve">DOCKET NO. </w:t>
            </w:r>
            <w:bookmarkStart w:id="1" w:name="SSDocketNo"/>
            <w:bookmarkEnd w:id="1"/>
            <w:r>
              <w:t>20240025-EI</w:t>
            </w:r>
          </w:p>
          <w:p w14:paraId="17A17ED9" w14:textId="4C25A0AF" w:rsidR="000A7450" w:rsidRDefault="000A7450" w:rsidP="00C63FCF">
            <w:pPr>
              <w:pStyle w:val="OrderBody"/>
              <w:tabs>
                <w:tab w:val="center" w:pos="4320"/>
                <w:tab w:val="right" w:pos="8640"/>
              </w:tabs>
              <w:jc w:val="left"/>
            </w:pPr>
            <w:r>
              <w:t xml:space="preserve">ORDER NO. </w:t>
            </w:r>
            <w:bookmarkStart w:id="2" w:name="OrderNo0198"/>
            <w:r w:rsidR="00AE43D2">
              <w:t>PSC-2024-0198-PCO-EI</w:t>
            </w:r>
            <w:bookmarkEnd w:id="2"/>
          </w:p>
          <w:p w14:paraId="298BFFCF" w14:textId="00A32BCE" w:rsidR="000A7450" w:rsidRDefault="000A7450" w:rsidP="00C63FCF">
            <w:pPr>
              <w:pStyle w:val="OrderBody"/>
              <w:tabs>
                <w:tab w:val="center" w:pos="4320"/>
                <w:tab w:val="right" w:pos="8640"/>
              </w:tabs>
              <w:jc w:val="left"/>
            </w:pPr>
            <w:r>
              <w:t xml:space="preserve">ISSUED: </w:t>
            </w:r>
            <w:r w:rsidR="00AE43D2">
              <w:t>June 19, 2024</w:t>
            </w:r>
          </w:p>
        </w:tc>
      </w:tr>
    </w:tbl>
    <w:p w14:paraId="34F0D1B7" w14:textId="77777777" w:rsidR="000A7450" w:rsidRDefault="000A7450" w:rsidP="000A7450"/>
    <w:p w14:paraId="15AA2F47" w14:textId="77777777" w:rsidR="000A7450" w:rsidRDefault="000A7450" w:rsidP="000A7450"/>
    <w:p w14:paraId="3CE46972" w14:textId="77777777" w:rsidR="005650A7" w:rsidRDefault="000A7450" w:rsidP="000A7450">
      <w:pPr>
        <w:pStyle w:val="CenterUnderline"/>
      </w:pPr>
      <w:bookmarkStart w:id="3" w:name="Commissioners"/>
      <w:bookmarkEnd w:id="3"/>
      <w:r>
        <w:t>ORDER</w:t>
      </w:r>
      <w:bookmarkStart w:id="4" w:name="OrderTitle"/>
      <w:r>
        <w:t xml:space="preserve"> DENYING OFFICE OF PUBLIC COUNSEL’S MOTION TO SEVER</w:t>
      </w:r>
    </w:p>
    <w:p w14:paraId="21AE0C2A" w14:textId="77777777" w:rsidR="005650A7" w:rsidRDefault="000A7450" w:rsidP="000A7450">
      <w:pPr>
        <w:pStyle w:val="CenterUnderline"/>
      </w:pPr>
      <w:r>
        <w:t>DUKE ENERGY FLORIDA, LLC’S PETITION FOR RATE INCREASE</w:t>
      </w:r>
    </w:p>
    <w:p w14:paraId="2D156141" w14:textId="77777777" w:rsidR="00CB5276" w:rsidRDefault="000A7450" w:rsidP="000A7450">
      <w:pPr>
        <w:pStyle w:val="CenterUnderline"/>
      </w:pPr>
      <w:r>
        <w:t>RELATING</w:t>
      </w:r>
      <w:r w:rsidR="005650A7">
        <w:t xml:space="preserve"> </w:t>
      </w:r>
      <w:r>
        <w:t xml:space="preserve">TO THE SECOND AND THIRD TEST YEARS </w:t>
      </w:r>
      <w:bookmarkEnd w:id="4"/>
    </w:p>
    <w:p w14:paraId="2840C4B8" w14:textId="77777777" w:rsidR="000A7450" w:rsidRDefault="000A7450" w:rsidP="000A7450">
      <w:pPr>
        <w:pStyle w:val="CenterUnderline"/>
      </w:pPr>
    </w:p>
    <w:p w14:paraId="57C792F8" w14:textId="77777777" w:rsidR="000A7450" w:rsidRDefault="000A7450" w:rsidP="000A7450">
      <w:pPr>
        <w:pStyle w:val="OrderBody"/>
      </w:pPr>
    </w:p>
    <w:p w14:paraId="1E5E22EA" w14:textId="141D05C3" w:rsidR="00CB5276" w:rsidRDefault="005650A7">
      <w:pPr>
        <w:pStyle w:val="OrderBody"/>
      </w:pPr>
      <w:bookmarkStart w:id="5" w:name="OrderText"/>
      <w:bookmarkEnd w:id="5"/>
      <w:r>
        <w:tab/>
      </w:r>
      <w:r w:rsidRPr="00AB33CB">
        <w:t>Duke Energy Florida</w:t>
      </w:r>
      <w:r>
        <w:t>, LLC</w:t>
      </w:r>
      <w:r w:rsidRPr="00AB33CB">
        <w:t xml:space="preserve"> (D</w:t>
      </w:r>
      <w:r w:rsidR="00FB4EE2">
        <w:t>EF</w:t>
      </w:r>
      <w:r w:rsidRPr="00AB33CB">
        <w:t xml:space="preserve"> or Utility) filed its Petition for Rate Increase, minimum filing requirements (MFRs), and testimony on April 2, 2024. Duke filed its MFRs based on projected test years from January 1 to December 31, 2025; January 1 to December 31, 2026; and January 1 to December 31, 2027. </w:t>
      </w:r>
      <w:r>
        <w:t xml:space="preserve">By Order No. PSC-2024-0092-PCO-EI, issued April 11, 2024, </w:t>
      </w:r>
      <w:r w:rsidRPr="00AB33CB">
        <w:t xml:space="preserve">an administrative hearing has been scheduled for these matters for August 12 – </w:t>
      </w:r>
      <w:r>
        <w:t>16</w:t>
      </w:r>
      <w:r w:rsidRPr="00AB33CB">
        <w:t>, 2024</w:t>
      </w:r>
      <w:r>
        <w:t>. August 19 – 23, 2024, have also been reserved for the continuation and conclusion of this hearing, if necessary.</w:t>
      </w:r>
    </w:p>
    <w:p w14:paraId="1C6E374A" w14:textId="77777777" w:rsidR="005650A7" w:rsidRDefault="005650A7">
      <w:pPr>
        <w:pStyle w:val="OrderBody"/>
      </w:pPr>
    </w:p>
    <w:p w14:paraId="4B4BC1E9" w14:textId="77777777" w:rsidR="005650A7" w:rsidRPr="005650A7" w:rsidRDefault="005650A7">
      <w:pPr>
        <w:pStyle w:val="OrderBody"/>
      </w:pPr>
      <w:r>
        <w:rPr>
          <w:u w:val="single"/>
        </w:rPr>
        <w:t>Motion to Sever</w:t>
      </w:r>
      <w:r w:rsidR="00912C1F">
        <w:rPr>
          <w:u w:val="single"/>
        </w:rPr>
        <w:t xml:space="preserve"> and Request for Oral Argument</w:t>
      </w:r>
    </w:p>
    <w:p w14:paraId="345AF20B" w14:textId="77777777" w:rsidR="005650A7" w:rsidRDefault="005650A7">
      <w:pPr>
        <w:pStyle w:val="OrderBody"/>
      </w:pPr>
    </w:p>
    <w:p w14:paraId="20046724" w14:textId="3CD9CEAF" w:rsidR="005650A7" w:rsidRDefault="00912C1F">
      <w:pPr>
        <w:pStyle w:val="OrderBody"/>
      </w:pPr>
      <w:r>
        <w:tab/>
        <w:t>On May 20,</w:t>
      </w:r>
      <w:r w:rsidR="005650A7">
        <w:t xml:space="preserve"> 2024, the Office of Public Counsel (OPC) filed a Motion to Sever D</w:t>
      </w:r>
      <w:r w:rsidR="00FB4EE2">
        <w:t>EF’s</w:t>
      </w:r>
      <w:r w:rsidR="005650A7">
        <w:t xml:space="preserve"> Petition for Rate Increase Relating to the Second and Third Test Years.</w:t>
      </w:r>
      <w:r w:rsidR="00FC248E">
        <w:t xml:space="preserve"> OPC argues </w:t>
      </w:r>
      <w:r w:rsidR="00972985">
        <w:t xml:space="preserve">in its Motion </w:t>
      </w:r>
      <w:r w:rsidR="00FC248E">
        <w:t>that the last two of D</w:t>
      </w:r>
      <w:r w:rsidR="00FB4EE2">
        <w:t>EF</w:t>
      </w:r>
      <w:r w:rsidR="00FC248E">
        <w:t xml:space="preserve">’s three proposed test years </w:t>
      </w:r>
      <w:r w:rsidR="00F44B21">
        <w:t xml:space="preserve">– </w:t>
      </w:r>
      <w:r w:rsidR="00FC248E" w:rsidRPr="00AB33CB">
        <w:t>January 1 to December 31, 2026</w:t>
      </w:r>
      <w:r w:rsidR="00FC248E">
        <w:t>,</w:t>
      </w:r>
      <w:r w:rsidR="00FC248E" w:rsidRPr="00AB33CB">
        <w:t xml:space="preserve"> and January 1 to December 31, 2027</w:t>
      </w:r>
      <w:r w:rsidR="00FC248E">
        <w:t xml:space="preserve"> – should be severed from this proceeding, and that only projected test year January 1 to December 31, 2025 should be the subject of the August final hearing. OPC argues that it is prejudiced by the inclusion of three test years in this proceeding because it lacks adequate time to prepare </w:t>
      </w:r>
      <w:r w:rsidR="00972985">
        <w:t xml:space="preserve">“essentially three separate rate cases” </w:t>
      </w:r>
      <w:r w:rsidR="00FC248E">
        <w:t>while simultaneously litigating a separate docket involving Tampa Electric Company.</w:t>
      </w:r>
      <w:r w:rsidR="00FC248E">
        <w:rPr>
          <w:rStyle w:val="FootnoteReference"/>
        </w:rPr>
        <w:footnoteReference w:id="1"/>
      </w:r>
      <w:r w:rsidR="00FC248E">
        <w:t xml:space="preserve"> </w:t>
      </w:r>
      <w:r w:rsidR="00972985">
        <w:t>OPC contends that D</w:t>
      </w:r>
      <w:r w:rsidR="00FB4EE2">
        <w:t>EF</w:t>
      </w:r>
      <w:r w:rsidR="00972985">
        <w:t xml:space="preserve"> would not be prejudiced by severing test years 2026 and 2027 because the Utility has multiple other options for rate relief</w:t>
      </w:r>
      <w:r w:rsidR="00845600">
        <w:t xml:space="preserve"> should its earnings fall below the bottom of its approved range</w:t>
      </w:r>
      <w:r w:rsidR="00972985">
        <w:t>, and also because recovery through the clauses allows D</w:t>
      </w:r>
      <w:r w:rsidR="00FB4EE2">
        <w:t>EF</w:t>
      </w:r>
      <w:r w:rsidR="00972985">
        <w:t xml:space="preserve"> avenues outside of base rates to ensure adequate revenue. </w:t>
      </w:r>
      <w:r w:rsidR="00FC248E">
        <w:t>OPC cites Rule 1.270(b), Florida Rules of Civil Procedure, as the authority for the requested relief.</w:t>
      </w:r>
      <w:r w:rsidR="00C418CE">
        <w:rPr>
          <w:rStyle w:val="FootnoteReference"/>
        </w:rPr>
        <w:footnoteReference w:id="2"/>
      </w:r>
    </w:p>
    <w:p w14:paraId="63F58D11" w14:textId="77777777" w:rsidR="00912C1F" w:rsidRDefault="00912C1F">
      <w:pPr>
        <w:pStyle w:val="OrderBody"/>
      </w:pPr>
    </w:p>
    <w:p w14:paraId="5E31BFD5" w14:textId="0ADADA95" w:rsidR="00912C1F" w:rsidRDefault="00912C1F">
      <w:pPr>
        <w:pStyle w:val="OrderBody"/>
      </w:pPr>
      <w:r>
        <w:tab/>
        <w:t xml:space="preserve">OPC filed a companion Request for Oral </w:t>
      </w:r>
      <w:r w:rsidR="00FB4EE2">
        <w:t>A</w:t>
      </w:r>
      <w:r>
        <w:t>rgument on Motion for Severance contemporaneously with the Motion. The Request asserts that oral argument would aid the Commission</w:t>
      </w:r>
      <w:r w:rsidR="00845600">
        <w:t xml:space="preserve"> </w:t>
      </w:r>
      <w:r>
        <w:t>in understanding and evaluating the Motion to Sever.</w:t>
      </w:r>
    </w:p>
    <w:p w14:paraId="3599357B" w14:textId="77777777" w:rsidR="00977B5D" w:rsidRDefault="00977B5D">
      <w:pPr>
        <w:pStyle w:val="OrderBody"/>
      </w:pPr>
    </w:p>
    <w:p w14:paraId="51A58720" w14:textId="77777777" w:rsidR="005650A7" w:rsidRDefault="005650A7">
      <w:pPr>
        <w:pStyle w:val="OrderBody"/>
      </w:pPr>
    </w:p>
    <w:p w14:paraId="563DAF7D" w14:textId="090032CA" w:rsidR="005650A7" w:rsidRPr="005650A7" w:rsidRDefault="005650A7">
      <w:pPr>
        <w:pStyle w:val="OrderBody"/>
        <w:rPr>
          <w:u w:val="single"/>
        </w:rPr>
      </w:pPr>
      <w:r>
        <w:rPr>
          <w:u w:val="single"/>
        </w:rPr>
        <w:lastRenderedPageBreak/>
        <w:t>D</w:t>
      </w:r>
      <w:r w:rsidR="00FB4EE2">
        <w:rPr>
          <w:u w:val="single"/>
        </w:rPr>
        <w:t>EF</w:t>
      </w:r>
      <w:r>
        <w:rPr>
          <w:u w:val="single"/>
        </w:rPr>
        <w:t xml:space="preserve"> Response to Motion</w:t>
      </w:r>
    </w:p>
    <w:p w14:paraId="17823896" w14:textId="77777777" w:rsidR="005650A7" w:rsidRDefault="005650A7">
      <w:pPr>
        <w:pStyle w:val="OrderBody"/>
      </w:pPr>
    </w:p>
    <w:p w14:paraId="79C194BA" w14:textId="22DF5504" w:rsidR="005650A7" w:rsidRDefault="005650A7">
      <w:pPr>
        <w:pStyle w:val="OrderBody"/>
      </w:pPr>
      <w:r>
        <w:tab/>
        <w:t>On May 28, 2024, D</w:t>
      </w:r>
      <w:r w:rsidR="00FB4EE2">
        <w:t>EF</w:t>
      </w:r>
      <w:r>
        <w:t xml:space="preserve"> filed its Response to the Motion.</w:t>
      </w:r>
      <w:r w:rsidR="00977B5D">
        <w:t xml:space="preserve"> D</w:t>
      </w:r>
      <w:r w:rsidR="00FB4EE2">
        <w:t>EF</w:t>
      </w:r>
      <w:r w:rsidR="00977B5D">
        <w:t xml:space="preserve"> a</w:t>
      </w:r>
      <w:r w:rsidR="00147477">
        <w:t>vers</w:t>
      </w:r>
      <w:r w:rsidR="00977B5D">
        <w:t xml:space="preserve"> that OPC’s arguments regarding scheduling and workload issues have been previously considered and rejected in this docket.</w:t>
      </w:r>
      <w:r w:rsidR="00147477">
        <w:t xml:space="preserve"> D</w:t>
      </w:r>
      <w:r w:rsidR="00FB4EE2">
        <w:t>EF</w:t>
      </w:r>
      <w:r w:rsidR="00147477">
        <w:t xml:space="preserve"> further asserts that the arguments posed by OPC raise factual issues that must be resolved by the Commission</w:t>
      </w:r>
      <w:r w:rsidR="00775F34">
        <w:t xml:space="preserve"> on a full record</w:t>
      </w:r>
      <w:r w:rsidR="00147477">
        <w:t>. D</w:t>
      </w:r>
      <w:r w:rsidR="00FB4EE2">
        <w:t>EF</w:t>
      </w:r>
      <w:r w:rsidR="00147477">
        <w:t xml:space="preserve"> disagrees with OPC’s assertion that the Utility would not be prejudiced </w:t>
      </w:r>
      <w:r w:rsidR="00775F34">
        <w:t>if two of the test years were dismissed from this case, noting the resources that have already been directed towards this rate case as filed. Finally, D</w:t>
      </w:r>
      <w:r w:rsidR="00FB4EE2">
        <w:t>EF</w:t>
      </w:r>
      <w:r w:rsidR="00775F34">
        <w:t xml:space="preserve"> opposes OPC’s request for oral argument, and alternatively requests that it be allowed to participate should oral argument be granted.</w:t>
      </w:r>
    </w:p>
    <w:p w14:paraId="1273934B" w14:textId="77777777" w:rsidR="000A7450" w:rsidRDefault="000A7450">
      <w:pPr>
        <w:pStyle w:val="OrderBody"/>
      </w:pPr>
    </w:p>
    <w:p w14:paraId="76E65120" w14:textId="77777777" w:rsidR="000A7450" w:rsidRPr="005650A7" w:rsidRDefault="005650A7">
      <w:pPr>
        <w:pStyle w:val="OrderBody"/>
      </w:pPr>
      <w:r>
        <w:rPr>
          <w:u w:val="single"/>
        </w:rPr>
        <w:t>Analysis and Decision</w:t>
      </w:r>
    </w:p>
    <w:p w14:paraId="7CC33142" w14:textId="77777777" w:rsidR="005650A7" w:rsidRDefault="005650A7">
      <w:pPr>
        <w:pStyle w:val="OrderBody"/>
      </w:pPr>
    </w:p>
    <w:p w14:paraId="67459BE6" w14:textId="6A4CA6F1" w:rsidR="005C7A9A" w:rsidRDefault="005650A7" w:rsidP="000A7450">
      <w:pPr>
        <w:pStyle w:val="ListParagraph"/>
        <w:ind w:left="0"/>
        <w:jc w:val="both"/>
        <w:rPr>
          <w:rFonts w:ascii="Times New Roman" w:hAnsi="Times New Roman"/>
          <w:iCs/>
          <w:color w:val="212121"/>
        </w:rPr>
      </w:pPr>
      <w:r>
        <w:rPr>
          <w:rFonts w:ascii="Times New Roman" w:hAnsi="Times New Roman"/>
          <w:iCs/>
          <w:color w:val="212121"/>
        </w:rPr>
        <w:tab/>
        <w:t xml:space="preserve">The only Florida Rules of Civil Procedure that are expressly applicable to the Commission as an agency are those </w:t>
      </w:r>
      <w:r w:rsidR="00CB7CE4">
        <w:rPr>
          <w:rFonts w:ascii="Times New Roman" w:hAnsi="Times New Roman"/>
          <w:iCs/>
          <w:color w:val="212121"/>
        </w:rPr>
        <w:t>governing discovery</w:t>
      </w:r>
      <w:r>
        <w:rPr>
          <w:rFonts w:ascii="Times New Roman" w:hAnsi="Times New Roman"/>
          <w:iCs/>
          <w:color w:val="212121"/>
        </w:rPr>
        <w:t>.</w:t>
      </w:r>
      <w:r w:rsidR="00CB7CE4">
        <w:rPr>
          <w:rStyle w:val="FootnoteReference"/>
          <w:rFonts w:ascii="Times New Roman" w:hAnsi="Times New Roman"/>
          <w:iCs/>
          <w:color w:val="212121"/>
        </w:rPr>
        <w:footnoteReference w:id="3"/>
      </w:r>
      <w:r>
        <w:rPr>
          <w:rFonts w:ascii="Times New Roman" w:hAnsi="Times New Roman"/>
          <w:iCs/>
          <w:color w:val="212121"/>
        </w:rPr>
        <w:t xml:space="preserve"> Rule 1.270, Florida Rules of Civil Procedure, which </w:t>
      </w:r>
      <w:r w:rsidR="008610CB">
        <w:rPr>
          <w:rFonts w:ascii="Times New Roman" w:hAnsi="Times New Roman"/>
          <w:iCs/>
          <w:color w:val="212121"/>
        </w:rPr>
        <w:t xml:space="preserve">addresses consolidation and holding separate trials, and </w:t>
      </w:r>
      <w:r>
        <w:rPr>
          <w:rFonts w:ascii="Times New Roman" w:hAnsi="Times New Roman"/>
          <w:iCs/>
          <w:color w:val="212121"/>
        </w:rPr>
        <w:t>is cited by OPC</w:t>
      </w:r>
      <w:r w:rsidR="00CB7CE4">
        <w:rPr>
          <w:rFonts w:ascii="Times New Roman" w:hAnsi="Times New Roman"/>
          <w:iCs/>
          <w:color w:val="212121"/>
        </w:rPr>
        <w:t xml:space="preserve"> as the authority upon which relief may be granted</w:t>
      </w:r>
      <w:r>
        <w:rPr>
          <w:rFonts w:ascii="Times New Roman" w:hAnsi="Times New Roman"/>
          <w:iCs/>
          <w:color w:val="212121"/>
        </w:rPr>
        <w:t xml:space="preserve">, is not applicable to </w:t>
      </w:r>
      <w:r w:rsidR="00E90915">
        <w:rPr>
          <w:rFonts w:ascii="Times New Roman" w:hAnsi="Times New Roman"/>
          <w:iCs/>
          <w:color w:val="212121"/>
        </w:rPr>
        <w:t xml:space="preserve">this </w:t>
      </w:r>
      <w:r>
        <w:rPr>
          <w:rFonts w:ascii="Times New Roman" w:hAnsi="Times New Roman"/>
          <w:iCs/>
          <w:color w:val="212121"/>
        </w:rPr>
        <w:t>proceeding.</w:t>
      </w:r>
      <w:r w:rsidR="005C7A9A">
        <w:rPr>
          <w:rFonts w:ascii="Times New Roman" w:hAnsi="Times New Roman"/>
          <w:iCs/>
          <w:color w:val="212121"/>
        </w:rPr>
        <w:t xml:space="preserve"> However, the presiding officer</w:t>
      </w:r>
      <w:r w:rsidR="006B6309">
        <w:rPr>
          <w:rFonts w:ascii="Times New Roman" w:hAnsi="Times New Roman"/>
          <w:iCs/>
          <w:color w:val="212121"/>
        </w:rPr>
        <w:t xml:space="preserve"> does possess </w:t>
      </w:r>
      <w:r w:rsidR="00EA7EE9">
        <w:rPr>
          <w:rFonts w:ascii="Times New Roman" w:hAnsi="Times New Roman"/>
          <w:iCs/>
          <w:color w:val="212121"/>
        </w:rPr>
        <w:t xml:space="preserve">similar </w:t>
      </w:r>
      <w:r w:rsidR="006B6309">
        <w:rPr>
          <w:rFonts w:ascii="Times New Roman" w:hAnsi="Times New Roman"/>
          <w:iCs/>
          <w:color w:val="212121"/>
        </w:rPr>
        <w:t>authority under Rule 28-106.</w:t>
      </w:r>
      <w:r w:rsidR="005C7A9A">
        <w:rPr>
          <w:rFonts w:ascii="Times New Roman" w:hAnsi="Times New Roman"/>
          <w:iCs/>
          <w:color w:val="212121"/>
        </w:rPr>
        <w:t>211, Florida Administrative Code (F.A.C.), to</w:t>
      </w:r>
      <w:r w:rsidR="008610CB">
        <w:rPr>
          <w:rFonts w:ascii="Times New Roman" w:hAnsi="Times New Roman"/>
          <w:iCs/>
          <w:color w:val="212121"/>
        </w:rPr>
        <w:t>:</w:t>
      </w:r>
    </w:p>
    <w:p w14:paraId="747AA82F" w14:textId="77777777" w:rsidR="005C7A9A" w:rsidRDefault="005C7A9A" w:rsidP="000A7450">
      <w:pPr>
        <w:pStyle w:val="ListParagraph"/>
        <w:ind w:left="0"/>
        <w:jc w:val="both"/>
        <w:rPr>
          <w:rFonts w:ascii="Times New Roman" w:hAnsi="Times New Roman"/>
          <w:iCs/>
          <w:color w:val="212121"/>
        </w:rPr>
      </w:pPr>
    </w:p>
    <w:p w14:paraId="209306EA" w14:textId="6B729D0E" w:rsidR="005C7A9A" w:rsidRPr="005C7A9A" w:rsidRDefault="008610CB" w:rsidP="005C7A9A">
      <w:pPr>
        <w:pStyle w:val="ListParagraph"/>
        <w:ind w:right="720"/>
        <w:jc w:val="both"/>
        <w:rPr>
          <w:rFonts w:ascii="Times New Roman" w:hAnsi="Times New Roman"/>
          <w:iCs/>
          <w:color w:val="212121"/>
        </w:rPr>
      </w:pPr>
      <w:r>
        <w:rPr>
          <w:rFonts w:ascii="Times New Roman" w:hAnsi="Times New Roman"/>
          <w:iCs/>
          <w:color w:val="212121"/>
        </w:rPr>
        <w:t xml:space="preserve">. . . </w:t>
      </w:r>
      <w:r w:rsidR="00FE74C6">
        <w:rPr>
          <w:rFonts w:ascii="Times New Roman" w:hAnsi="Times New Roman"/>
          <w:iCs/>
          <w:color w:val="212121"/>
        </w:rPr>
        <w:t>i</w:t>
      </w:r>
      <w:r w:rsidR="005C7A9A">
        <w:rPr>
          <w:rFonts w:ascii="Times New Roman" w:hAnsi="Times New Roman"/>
          <w:iCs/>
          <w:color w:val="212121"/>
        </w:rPr>
        <w:t xml:space="preserve">ssue any orders necessary to effectuate discovery, to prevent delay, and to promote the just, speedy, and inexpensive determination of all aspects of the case, </w:t>
      </w:r>
      <w:r w:rsidR="005C7A9A">
        <w:rPr>
          <w:rFonts w:ascii="Times New Roman" w:hAnsi="Times New Roman"/>
          <w:iCs/>
          <w:color w:val="212121"/>
          <w:u w:val="single"/>
        </w:rPr>
        <w:t>including bifurcating the proceeding</w:t>
      </w:r>
      <w:r w:rsidR="005C7A9A">
        <w:rPr>
          <w:rFonts w:ascii="Times New Roman" w:hAnsi="Times New Roman"/>
          <w:iCs/>
          <w:color w:val="212121"/>
        </w:rPr>
        <w:t>. (emphasis added).</w:t>
      </w:r>
      <w:r w:rsidR="005C7A9A">
        <w:rPr>
          <w:rStyle w:val="FootnoteReference"/>
          <w:rFonts w:ascii="Times New Roman" w:hAnsi="Times New Roman"/>
          <w:iCs/>
          <w:color w:val="212121"/>
        </w:rPr>
        <w:footnoteReference w:id="4"/>
      </w:r>
    </w:p>
    <w:p w14:paraId="437D11F4" w14:textId="77777777" w:rsidR="005C7A9A" w:rsidRDefault="005C7A9A" w:rsidP="000A7450">
      <w:pPr>
        <w:pStyle w:val="ListParagraph"/>
        <w:ind w:left="0"/>
        <w:jc w:val="both"/>
        <w:rPr>
          <w:rFonts w:ascii="Times New Roman" w:hAnsi="Times New Roman"/>
          <w:iCs/>
          <w:color w:val="212121"/>
        </w:rPr>
      </w:pPr>
    </w:p>
    <w:p w14:paraId="30269A67" w14:textId="490393E3" w:rsidR="00CE7579" w:rsidRDefault="005D49E2" w:rsidP="000A7450">
      <w:pPr>
        <w:pStyle w:val="ListParagraph"/>
        <w:ind w:left="0"/>
        <w:jc w:val="both"/>
        <w:rPr>
          <w:rFonts w:ascii="Times New Roman" w:hAnsi="Times New Roman"/>
          <w:iCs/>
          <w:color w:val="212121"/>
        </w:rPr>
      </w:pPr>
      <w:r>
        <w:rPr>
          <w:rFonts w:ascii="Times New Roman" w:hAnsi="Times New Roman"/>
          <w:iCs/>
          <w:color w:val="212121"/>
        </w:rPr>
        <w:tab/>
      </w:r>
      <w:r w:rsidR="001359B1">
        <w:rPr>
          <w:rFonts w:ascii="Times New Roman" w:hAnsi="Times New Roman"/>
          <w:iCs/>
          <w:color w:val="212121"/>
        </w:rPr>
        <w:t xml:space="preserve">Turning to the Motion to Sever under the standards in this rule, </w:t>
      </w:r>
      <w:r>
        <w:rPr>
          <w:rFonts w:ascii="Times New Roman" w:hAnsi="Times New Roman"/>
          <w:iCs/>
          <w:color w:val="212121"/>
        </w:rPr>
        <w:t xml:space="preserve">OPC’s arguments </w:t>
      </w:r>
      <w:r w:rsidR="005213F3">
        <w:rPr>
          <w:rFonts w:ascii="Times New Roman" w:hAnsi="Times New Roman"/>
          <w:iCs/>
          <w:color w:val="212121"/>
        </w:rPr>
        <w:t xml:space="preserve">do not demonstrate that bifurcation will promote the just, speedy, and inexpensive determination of </w:t>
      </w:r>
      <w:r w:rsidR="005213F3">
        <w:rPr>
          <w:rFonts w:ascii="Times New Roman" w:hAnsi="Times New Roman"/>
          <w:iCs/>
          <w:color w:val="212121"/>
          <w:u w:val="single"/>
        </w:rPr>
        <w:t>all</w:t>
      </w:r>
      <w:r w:rsidR="005213F3">
        <w:rPr>
          <w:rFonts w:ascii="Times New Roman" w:hAnsi="Times New Roman"/>
          <w:iCs/>
          <w:color w:val="212121"/>
        </w:rPr>
        <w:t xml:space="preserve"> aspect</w:t>
      </w:r>
      <w:r w:rsidR="00FB4EE2">
        <w:rPr>
          <w:rFonts w:ascii="Times New Roman" w:hAnsi="Times New Roman"/>
          <w:iCs/>
          <w:color w:val="212121"/>
        </w:rPr>
        <w:t>s</w:t>
      </w:r>
      <w:r w:rsidR="005213F3">
        <w:rPr>
          <w:rFonts w:ascii="Times New Roman" w:hAnsi="Times New Roman"/>
          <w:iCs/>
          <w:color w:val="212121"/>
        </w:rPr>
        <w:t xml:space="preserve"> of the case</w:t>
      </w:r>
      <w:r>
        <w:rPr>
          <w:rFonts w:ascii="Times New Roman" w:hAnsi="Times New Roman"/>
          <w:iCs/>
          <w:color w:val="212121"/>
        </w:rPr>
        <w:t>.</w:t>
      </w:r>
      <w:r w:rsidR="005213F3">
        <w:rPr>
          <w:rFonts w:ascii="Times New Roman" w:hAnsi="Times New Roman"/>
          <w:iCs/>
          <w:color w:val="212121"/>
        </w:rPr>
        <w:t xml:space="preserve"> D</w:t>
      </w:r>
      <w:r w:rsidR="00FB4EE2">
        <w:rPr>
          <w:rFonts w:ascii="Times New Roman" w:hAnsi="Times New Roman"/>
          <w:iCs/>
          <w:color w:val="212121"/>
        </w:rPr>
        <w:t>EF</w:t>
      </w:r>
      <w:r w:rsidR="005213F3">
        <w:rPr>
          <w:rFonts w:ascii="Times New Roman" w:hAnsi="Times New Roman"/>
          <w:iCs/>
          <w:color w:val="212121"/>
        </w:rPr>
        <w:t xml:space="preserve"> has requested three test years, supported its request with testimony and exhibits, and has the right to be heard on </w:t>
      </w:r>
      <w:r w:rsidR="00D87155">
        <w:rPr>
          <w:rFonts w:ascii="Times New Roman" w:hAnsi="Times New Roman"/>
          <w:iCs/>
          <w:color w:val="212121"/>
        </w:rPr>
        <w:t>that</w:t>
      </w:r>
      <w:r w:rsidR="005213F3">
        <w:rPr>
          <w:rFonts w:ascii="Times New Roman" w:hAnsi="Times New Roman"/>
          <w:iCs/>
          <w:color w:val="212121"/>
        </w:rPr>
        <w:t xml:space="preserve"> request. </w:t>
      </w:r>
      <w:r w:rsidR="00793CB7">
        <w:rPr>
          <w:rFonts w:ascii="Times New Roman" w:hAnsi="Times New Roman"/>
          <w:iCs/>
          <w:color w:val="212121"/>
        </w:rPr>
        <w:t xml:space="preserve">The </w:t>
      </w:r>
      <w:r w:rsidR="005213F3">
        <w:rPr>
          <w:rFonts w:ascii="Times New Roman" w:hAnsi="Times New Roman"/>
          <w:iCs/>
          <w:color w:val="212121"/>
        </w:rPr>
        <w:t>on</w:t>
      </w:r>
      <w:r w:rsidR="00D87155">
        <w:rPr>
          <w:rFonts w:ascii="Times New Roman" w:hAnsi="Times New Roman"/>
          <w:iCs/>
          <w:color w:val="212121"/>
        </w:rPr>
        <w:t>l</w:t>
      </w:r>
      <w:r w:rsidR="005213F3">
        <w:rPr>
          <w:rFonts w:ascii="Times New Roman" w:hAnsi="Times New Roman"/>
          <w:iCs/>
          <w:color w:val="212121"/>
        </w:rPr>
        <w:t xml:space="preserve">y factual issue argued by OPC in support of bifurcation is </w:t>
      </w:r>
      <w:r w:rsidR="00793CB7">
        <w:rPr>
          <w:rFonts w:ascii="Times New Roman" w:hAnsi="Times New Roman"/>
          <w:iCs/>
          <w:color w:val="212121"/>
        </w:rPr>
        <w:t>workload</w:t>
      </w:r>
      <w:r w:rsidR="005213F3">
        <w:rPr>
          <w:rFonts w:ascii="Times New Roman" w:hAnsi="Times New Roman"/>
          <w:iCs/>
          <w:color w:val="212121"/>
        </w:rPr>
        <w:t>, and that</w:t>
      </w:r>
      <w:r w:rsidR="00793CB7">
        <w:rPr>
          <w:rFonts w:ascii="Times New Roman" w:hAnsi="Times New Roman"/>
          <w:iCs/>
          <w:color w:val="212121"/>
        </w:rPr>
        <w:t xml:space="preserve"> issue has been fully considered by the Prehearing Officer</w:t>
      </w:r>
      <w:r w:rsidR="00793CB7">
        <w:rPr>
          <w:rStyle w:val="FootnoteReference"/>
          <w:rFonts w:ascii="Times New Roman" w:hAnsi="Times New Roman"/>
          <w:iCs/>
          <w:color w:val="212121"/>
        </w:rPr>
        <w:footnoteReference w:id="5"/>
      </w:r>
      <w:r w:rsidR="00793CB7">
        <w:rPr>
          <w:rFonts w:ascii="Times New Roman" w:hAnsi="Times New Roman"/>
          <w:iCs/>
          <w:color w:val="212121"/>
        </w:rPr>
        <w:t xml:space="preserve"> and reconsidered by the full Commission</w:t>
      </w:r>
      <w:r w:rsidR="005213F3">
        <w:rPr>
          <w:rFonts w:ascii="Times New Roman" w:hAnsi="Times New Roman"/>
          <w:iCs/>
          <w:color w:val="212121"/>
        </w:rPr>
        <w:t>.</w:t>
      </w:r>
      <w:r w:rsidR="00793CB7">
        <w:rPr>
          <w:rStyle w:val="FootnoteReference"/>
          <w:rFonts w:ascii="Times New Roman" w:hAnsi="Times New Roman"/>
          <w:iCs/>
          <w:color w:val="212121"/>
        </w:rPr>
        <w:footnoteReference w:id="6"/>
      </w:r>
      <w:r w:rsidR="00793CB7">
        <w:rPr>
          <w:rFonts w:ascii="Times New Roman" w:hAnsi="Times New Roman"/>
          <w:iCs/>
          <w:color w:val="212121"/>
        </w:rPr>
        <w:t xml:space="preserve"> </w:t>
      </w:r>
      <w:r w:rsidR="00C8478F">
        <w:rPr>
          <w:rFonts w:ascii="Times New Roman" w:hAnsi="Times New Roman"/>
          <w:iCs/>
          <w:color w:val="212121"/>
        </w:rPr>
        <w:t xml:space="preserve">OPC’s interrogatory limit </w:t>
      </w:r>
      <w:r w:rsidR="00A0102D">
        <w:rPr>
          <w:rFonts w:ascii="Times New Roman" w:hAnsi="Times New Roman"/>
          <w:iCs/>
          <w:color w:val="212121"/>
        </w:rPr>
        <w:t xml:space="preserve">has been expanded </w:t>
      </w:r>
      <w:r w:rsidR="00C8478F">
        <w:rPr>
          <w:rFonts w:ascii="Times New Roman" w:hAnsi="Times New Roman"/>
          <w:iCs/>
          <w:color w:val="212121"/>
        </w:rPr>
        <w:t>to 1,000 in order to allow full discovery on all test years,</w:t>
      </w:r>
      <w:r w:rsidR="00C8478F">
        <w:rPr>
          <w:rStyle w:val="FootnoteReference"/>
          <w:rFonts w:ascii="Times New Roman" w:hAnsi="Times New Roman"/>
          <w:iCs/>
          <w:color w:val="212121"/>
        </w:rPr>
        <w:footnoteReference w:id="7"/>
      </w:r>
      <w:r w:rsidR="00C8478F">
        <w:rPr>
          <w:rFonts w:ascii="Times New Roman" w:hAnsi="Times New Roman"/>
          <w:iCs/>
          <w:color w:val="212121"/>
        </w:rPr>
        <w:t xml:space="preserve"> and the docket indicates that rigorous discovery is underway.</w:t>
      </w:r>
      <w:r w:rsidR="005213F3">
        <w:rPr>
          <w:rFonts w:ascii="Times New Roman" w:hAnsi="Times New Roman"/>
          <w:iCs/>
          <w:color w:val="212121"/>
        </w:rPr>
        <w:t xml:space="preserve"> </w:t>
      </w:r>
      <w:r w:rsidR="00D87155">
        <w:rPr>
          <w:rFonts w:ascii="Times New Roman" w:hAnsi="Times New Roman"/>
          <w:iCs/>
          <w:color w:val="212121"/>
        </w:rPr>
        <w:t>The initial January 31, 2024, letter from D</w:t>
      </w:r>
      <w:r w:rsidR="00FB4EE2">
        <w:rPr>
          <w:rFonts w:ascii="Times New Roman" w:hAnsi="Times New Roman"/>
          <w:iCs/>
          <w:color w:val="212121"/>
        </w:rPr>
        <w:t>EF</w:t>
      </w:r>
      <w:r w:rsidR="00D87155">
        <w:rPr>
          <w:rFonts w:ascii="Times New Roman" w:hAnsi="Times New Roman"/>
          <w:iCs/>
          <w:color w:val="212121"/>
        </w:rPr>
        <w:t xml:space="preserve"> to the Chair of the </w:t>
      </w:r>
      <w:r w:rsidR="00D87155">
        <w:rPr>
          <w:rFonts w:ascii="Times New Roman" w:hAnsi="Times New Roman"/>
          <w:iCs/>
          <w:color w:val="212121"/>
        </w:rPr>
        <w:lastRenderedPageBreak/>
        <w:t>Commission gave notice that the Utility would be requesting three test years. The Chairman confirmed D</w:t>
      </w:r>
      <w:r w:rsidR="00FB4EE2">
        <w:rPr>
          <w:rFonts w:ascii="Times New Roman" w:hAnsi="Times New Roman"/>
          <w:iCs/>
          <w:color w:val="212121"/>
        </w:rPr>
        <w:t>EF</w:t>
      </w:r>
      <w:r w:rsidR="00D87155">
        <w:rPr>
          <w:rFonts w:ascii="Times New Roman" w:hAnsi="Times New Roman"/>
          <w:iCs/>
          <w:color w:val="212121"/>
        </w:rPr>
        <w:t>’s request for three test years by letter dated March 1, 2024, stating</w:t>
      </w:r>
      <w:r w:rsidR="001359B1">
        <w:rPr>
          <w:rFonts w:ascii="Times New Roman" w:hAnsi="Times New Roman"/>
          <w:iCs/>
          <w:color w:val="212121"/>
        </w:rPr>
        <w:t xml:space="preserve"> therein</w:t>
      </w:r>
      <w:r w:rsidR="00D87155">
        <w:rPr>
          <w:rFonts w:ascii="Times New Roman" w:hAnsi="Times New Roman"/>
          <w:iCs/>
          <w:color w:val="212121"/>
        </w:rPr>
        <w:t xml:space="preserve"> “that the appropriateness of the selected test years may be an issue in the proceeding.” All parties have presumably been undertaking their </w:t>
      </w:r>
      <w:r w:rsidR="001359B1">
        <w:rPr>
          <w:rFonts w:ascii="Times New Roman" w:hAnsi="Times New Roman"/>
          <w:iCs/>
          <w:color w:val="212121"/>
        </w:rPr>
        <w:t xml:space="preserve">hearing </w:t>
      </w:r>
      <w:r w:rsidR="00D87155">
        <w:rPr>
          <w:rFonts w:ascii="Times New Roman" w:hAnsi="Times New Roman"/>
          <w:iCs/>
          <w:color w:val="212121"/>
        </w:rPr>
        <w:t xml:space="preserve">preparation accordingly. </w:t>
      </w:r>
      <w:r w:rsidR="005213F3">
        <w:rPr>
          <w:rFonts w:ascii="Times New Roman" w:hAnsi="Times New Roman"/>
          <w:iCs/>
          <w:color w:val="212121"/>
        </w:rPr>
        <w:t>To change course now and set aside the preparatory work D</w:t>
      </w:r>
      <w:r w:rsidR="00FB4EE2">
        <w:rPr>
          <w:rFonts w:ascii="Times New Roman" w:hAnsi="Times New Roman"/>
          <w:iCs/>
          <w:color w:val="212121"/>
        </w:rPr>
        <w:t>EF</w:t>
      </w:r>
      <w:r w:rsidR="005213F3">
        <w:rPr>
          <w:rFonts w:ascii="Times New Roman" w:hAnsi="Times New Roman"/>
          <w:iCs/>
          <w:color w:val="212121"/>
        </w:rPr>
        <w:t xml:space="preserve"> has performed and the substantial discovery already conducted </w:t>
      </w:r>
      <w:r w:rsidR="00D87155">
        <w:rPr>
          <w:rFonts w:ascii="Times New Roman" w:hAnsi="Times New Roman"/>
          <w:iCs/>
          <w:color w:val="212121"/>
        </w:rPr>
        <w:t xml:space="preserve">on three test years </w:t>
      </w:r>
      <w:r w:rsidR="005213F3">
        <w:rPr>
          <w:rFonts w:ascii="Times New Roman" w:hAnsi="Times New Roman"/>
          <w:iCs/>
          <w:color w:val="212121"/>
        </w:rPr>
        <w:t>would result in delay and added expense.</w:t>
      </w:r>
    </w:p>
    <w:p w14:paraId="53FE3650" w14:textId="77777777" w:rsidR="005C7A9A" w:rsidRDefault="005C7A9A" w:rsidP="000A7450">
      <w:pPr>
        <w:pStyle w:val="ListParagraph"/>
        <w:ind w:left="0"/>
        <w:jc w:val="both"/>
        <w:rPr>
          <w:rFonts w:ascii="Times New Roman" w:hAnsi="Times New Roman"/>
          <w:iCs/>
          <w:color w:val="212121"/>
        </w:rPr>
      </w:pPr>
    </w:p>
    <w:p w14:paraId="5A766D2F" w14:textId="4FAF6A6D" w:rsidR="00C418CE" w:rsidRDefault="00C418CE" w:rsidP="000A7450">
      <w:pPr>
        <w:pStyle w:val="ListParagraph"/>
        <w:ind w:left="0"/>
        <w:jc w:val="both"/>
        <w:rPr>
          <w:rFonts w:ascii="Times New Roman" w:hAnsi="Times New Roman"/>
          <w:iCs/>
          <w:color w:val="212121"/>
        </w:rPr>
      </w:pPr>
      <w:r>
        <w:rPr>
          <w:rFonts w:ascii="Times New Roman" w:hAnsi="Times New Roman"/>
          <w:iCs/>
          <w:color w:val="212121"/>
        </w:rPr>
        <w:tab/>
      </w:r>
      <w:r w:rsidR="00C8478F">
        <w:rPr>
          <w:rFonts w:ascii="Times New Roman" w:hAnsi="Times New Roman"/>
          <w:iCs/>
          <w:color w:val="212121"/>
        </w:rPr>
        <w:t>In addition to the workload arguments, OPC</w:t>
      </w:r>
      <w:r>
        <w:rPr>
          <w:rFonts w:ascii="Times New Roman" w:hAnsi="Times New Roman"/>
          <w:iCs/>
          <w:color w:val="212121"/>
        </w:rPr>
        <w:t xml:space="preserve"> a</w:t>
      </w:r>
      <w:r w:rsidR="00C8478F">
        <w:rPr>
          <w:rFonts w:ascii="Times New Roman" w:hAnsi="Times New Roman"/>
          <w:iCs/>
          <w:color w:val="212121"/>
        </w:rPr>
        <w:t>ssert</w:t>
      </w:r>
      <w:r>
        <w:rPr>
          <w:rFonts w:ascii="Times New Roman" w:hAnsi="Times New Roman"/>
          <w:iCs/>
          <w:color w:val="212121"/>
        </w:rPr>
        <w:t xml:space="preserve">s that </w:t>
      </w:r>
      <w:r w:rsidR="00C8478F">
        <w:rPr>
          <w:rFonts w:ascii="Times New Roman" w:hAnsi="Times New Roman"/>
          <w:iCs/>
          <w:color w:val="212121"/>
        </w:rPr>
        <w:t xml:space="preserve">severance is appropriate because </w:t>
      </w:r>
      <w:r>
        <w:rPr>
          <w:rFonts w:ascii="Times New Roman" w:hAnsi="Times New Roman"/>
          <w:iCs/>
          <w:color w:val="212121"/>
        </w:rPr>
        <w:t xml:space="preserve">the Commission </w:t>
      </w:r>
      <w:r w:rsidR="001359B1">
        <w:rPr>
          <w:rFonts w:ascii="Times New Roman" w:hAnsi="Times New Roman"/>
          <w:iCs/>
          <w:color w:val="212121"/>
        </w:rPr>
        <w:t xml:space="preserve">allegedly </w:t>
      </w:r>
      <w:r>
        <w:rPr>
          <w:rFonts w:ascii="Times New Roman" w:hAnsi="Times New Roman"/>
          <w:iCs/>
          <w:color w:val="212121"/>
        </w:rPr>
        <w:t>lacks legal authority to consider three test years in one proceeding, and any analysis of the two outlying years should be conducted “closer in time to 2026 and 2027 when the projections would be more reliable and less speculative.”</w:t>
      </w:r>
      <w:r w:rsidR="007C69F8">
        <w:rPr>
          <w:rFonts w:ascii="Times New Roman" w:hAnsi="Times New Roman"/>
          <w:iCs/>
          <w:color w:val="212121"/>
        </w:rPr>
        <w:t xml:space="preserve"> The arguments raised by OPC regarding the </w:t>
      </w:r>
      <w:r w:rsidR="00652254">
        <w:rPr>
          <w:rFonts w:ascii="Times New Roman" w:hAnsi="Times New Roman"/>
          <w:iCs/>
          <w:color w:val="212121"/>
        </w:rPr>
        <w:t xml:space="preserve">Commission’s authority and the reliability of forecasts over </w:t>
      </w:r>
      <w:r w:rsidR="009037B1">
        <w:rPr>
          <w:rFonts w:ascii="Times New Roman" w:hAnsi="Times New Roman"/>
          <w:iCs/>
          <w:color w:val="212121"/>
        </w:rPr>
        <w:t>multiple</w:t>
      </w:r>
      <w:r w:rsidR="0060295F">
        <w:rPr>
          <w:rFonts w:ascii="Times New Roman" w:hAnsi="Times New Roman"/>
          <w:iCs/>
          <w:color w:val="212121"/>
        </w:rPr>
        <w:t xml:space="preserve"> test years</w:t>
      </w:r>
      <w:r w:rsidR="00CA123B">
        <w:rPr>
          <w:rFonts w:ascii="Times New Roman" w:hAnsi="Times New Roman"/>
          <w:iCs/>
          <w:color w:val="212121"/>
        </w:rPr>
        <w:t xml:space="preserve"> </w:t>
      </w:r>
      <w:r w:rsidR="0060295F">
        <w:rPr>
          <w:rFonts w:ascii="Times New Roman" w:hAnsi="Times New Roman"/>
          <w:iCs/>
          <w:color w:val="212121"/>
        </w:rPr>
        <w:t>present</w:t>
      </w:r>
      <w:r w:rsidR="007C69F8">
        <w:rPr>
          <w:rFonts w:ascii="Times New Roman" w:hAnsi="Times New Roman"/>
          <w:iCs/>
          <w:color w:val="212121"/>
        </w:rPr>
        <w:t xml:space="preserve"> questions of</w:t>
      </w:r>
      <w:r w:rsidR="0060295F">
        <w:rPr>
          <w:rFonts w:ascii="Times New Roman" w:hAnsi="Times New Roman"/>
          <w:iCs/>
          <w:color w:val="212121"/>
        </w:rPr>
        <w:t xml:space="preserve"> both</w:t>
      </w:r>
      <w:r w:rsidR="007C69F8">
        <w:rPr>
          <w:rFonts w:ascii="Times New Roman" w:hAnsi="Times New Roman"/>
          <w:iCs/>
          <w:color w:val="212121"/>
        </w:rPr>
        <w:t xml:space="preserve"> law and fact that </w:t>
      </w:r>
      <w:r w:rsidR="00E43DD1">
        <w:rPr>
          <w:rFonts w:ascii="Times New Roman" w:hAnsi="Times New Roman"/>
          <w:iCs/>
          <w:color w:val="212121"/>
        </w:rPr>
        <w:t>are appropriately</w:t>
      </w:r>
      <w:r w:rsidR="0028285F">
        <w:rPr>
          <w:rFonts w:ascii="Times New Roman" w:hAnsi="Times New Roman"/>
          <w:iCs/>
          <w:color w:val="212121"/>
        </w:rPr>
        <w:t xml:space="preserve"> decided </w:t>
      </w:r>
      <w:r w:rsidR="00CA123B">
        <w:rPr>
          <w:rFonts w:ascii="Times New Roman" w:hAnsi="Times New Roman"/>
          <w:iCs/>
          <w:color w:val="212121"/>
        </w:rPr>
        <w:t xml:space="preserve">by the full Commission </w:t>
      </w:r>
      <w:r w:rsidR="0028285F">
        <w:rPr>
          <w:rFonts w:ascii="Times New Roman" w:hAnsi="Times New Roman"/>
          <w:iCs/>
          <w:color w:val="212121"/>
        </w:rPr>
        <w:t>with the benefit of</w:t>
      </w:r>
      <w:r w:rsidR="007C69F8">
        <w:rPr>
          <w:rFonts w:ascii="Times New Roman" w:hAnsi="Times New Roman"/>
          <w:iCs/>
          <w:color w:val="212121"/>
        </w:rPr>
        <w:t xml:space="preserve"> a</w:t>
      </w:r>
      <w:r w:rsidR="00652254">
        <w:rPr>
          <w:rFonts w:ascii="Times New Roman" w:hAnsi="Times New Roman"/>
          <w:iCs/>
          <w:color w:val="212121"/>
        </w:rPr>
        <w:t xml:space="preserve"> complete</w:t>
      </w:r>
      <w:r w:rsidR="007C69F8">
        <w:rPr>
          <w:rFonts w:ascii="Times New Roman" w:hAnsi="Times New Roman"/>
          <w:iCs/>
          <w:color w:val="212121"/>
        </w:rPr>
        <w:t xml:space="preserve"> </w:t>
      </w:r>
      <w:r w:rsidR="0028285F">
        <w:rPr>
          <w:rFonts w:ascii="Times New Roman" w:hAnsi="Times New Roman"/>
          <w:iCs/>
          <w:color w:val="212121"/>
        </w:rPr>
        <w:t xml:space="preserve">hearing </w:t>
      </w:r>
      <w:r w:rsidR="007C69F8">
        <w:rPr>
          <w:rFonts w:ascii="Times New Roman" w:hAnsi="Times New Roman"/>
          <w:iCs/>
          <w:color w:val="212121"/>
        </w:rPr>
        <w:t>record</w:t>
      </w:r>
      <w:r w:rsidR="0028285F">
        <w:rPr>
          <w:rFonts w:ascii="Times New Roman" w:hAnsi="Times New Roman"/>
          <w:iCs/>
          <w:color w:val="212121"/>
        </w:rPr>
        <w:t xml:space="preserve"> and post-hearing filings from the parties</w:t>
      </w:r>
      <w:r>
        <w:rPr>
          <w:rFonts w:ascii="Times New Roman" w:hAnsi="Times New Roman"/>
          <w:iCs/>
          <w:color w:val="212121"/>
        </w:rPr>
        <w:t>.</w:t>
      </w:r>
      <w:r w:rsidR="00D87155">
        <w:rPr>
          <w:rFonts w:ascii="Times New Roman" w:hAnsi="Times New Roman"/>
          <w:iCs/>
          <w:color w:val="212121"/>
        </w:rPr>
        <w:t xml:space="preserve"> For all of these reasons, the Motion to Sever shall be denied.</w:t>
      </w:r>
    </w:p>
    <w:p w14:paraId="0C4780EA" w14:textId="77777777" w:rsidR="00492BB7" w:rsidRDefault="00492BB7" w:rsidP="000A7450">
      <w:pPr>
        <w:pStyle w:val="ListParagraph"/>
        <w:ind w:left="0"/>
        <w:jc w:val="both"/>
        <w:rPr>
          <w:rFonts w:ascii="Times New Roman" w:hAnsi="Times New Roman"/>
          <w:iCs/>
          <w:color w:val="212121"/>
        </w:rPr>
      </w:pPr>
    </w:p>
    <w:p w14:paraId="2E294682" w14:textId="77777777" w:rsidR="00492BB7" w:rsidRDefault="00492BB7" w:rsidP="000A7450">
      <w:pPr>
        <w:pStyle w:val="ListParagraph"/>
        <w:ind w:left="0"/>
        <w:jc w:val="both"/>
        <w:rPr>
          <w:rFonts w:ascii="Times New Roman" w:hAnsi="Times New Roman"/>
          <w:iCs/>
          <w:color w:val="212121"/>
        </w:rPr>
      </w:pPr>
      <w:r>
        <w:rPr>
          <w:rFonts w:ascii="Times New Roman" w:hAnsi="Times New Roman"/>
          <w:iCs/>
          <w:color w:val="212121"/>
        </w:rPr>
        <w:tab/>
        <w:t xml:space="preserve">The Motion to Sever, which incorporates by reference arguments made in other pleadings, contains all the information necessary to make a fully informed ruling. Therefore, </w:t>
      </w:r>
      <w:r w:rsidR="00D87155">
        <w:rPr>
          <w:rFonts w:ascii="Times New Roman" w:hAnsi="Times New Roman"/>
          <w:iCs/>
          <w:color w:val="212121"/>
        </w:rPr>
        <w:t xml:space="preserve">the </w:t>
      </w:r>
      <w:r>
        <w:rPr>
          <w:rFonts w:ascii="Times New Roman" w:hAnsi="Times New Roman"/>
          <w:iCs/>
          <w:color w:val="212121"/>
        </w:rPr>
        <w:t>Request for Oral argument shall be denied.</w:t>
      </w:r>
    </w:p>
    <w:p w14:paraId="0082B73B" w14:textId="77777777" w:rsidR="005650A7" w:rsidRDefault="005650A7" w:rsidP="000A7450">
      <w:pPr>
        <w:pStyle w:val="ListParagraph"/>
        <w:ind w:left="0"/>
        <w:jc w:val="both"/>
        <w:rPr>
          <w:rFonts w:ascii="Times New Roman" w:hAnsi="Times New Roman"/>
          <w:iCs/>
          <w:color w:val="212121"/>
        </w:rPr>
      </w:pPr>
    </w:p>
    <w:p w14:paraId="31BC0948" w14:textId="77777777" w:rsidR="000A7450" w:rsidRPr="00817318" w:rsidRDefault="000A7450" w:rsidP="000A7450">
      <w:pPr>
        <w:pStyle w:val="ListParagraph"/>
        <w:ind w:left="0"/>
        <w:jc w:val="both"/>
        <w:rPr>
          <w:rFonts w:ascii="Times New Roman" w:hAnsi="Times New Roman"/>
          <w:iCs/>
          <w:color w:val="212121"/>
        </w:rPr>
      </w:pPr>
      <w:r>
        <w:rPr>
          <w:rFonts w:ascii="Times New Roman" w:hAnsi="Times New Roman"/>
          <w:iCs/>
          <w:color w:val="212121"/>
        </w:rPr>
        <w:tab/>
      </w:r>
      <w:r w:rsidRPr="00817318">
        <w:rPr>
          <w:rFonts w:ascii="Times New Roman" w:hAnsi="Times New Roman"/>
          <w:iCs/>
          <w:color w:val="212121"/>
        </w:rPr>
        <w:t>Therefore, it is</w:t>
      </w:r>
    </w:p>
    <w:p w14:paraId="15BCE780" w14:textId="77777777" w:rsidR="000A7450" w:rsidRPr="00817318" w:rsidRDefault="000A7450" w:rsidP="000A7450">
      <w:pPr>
        <w:pStyle w:val="ListParagraph"/>
        <w:ind w:left="0"/>
        <w:jc w:val="both"/>
        <w:rPr>
          <w:rFonts w:ascii="Times New Roman" w:hAnsi="Times New Roman"/>
          <w:iCs/>
          <w:color w:val="212121"/>
        </w:rPr>
      </w:pPr>
    </w:p>
    <w:p w14:paraId="0B09DE66" w14:textId="77777777" w:rsidR="000A7450" w:rsidRDefault="000A7450" w:rsidP="000A7450">
      <w:pPr>
        <w:pStyle w:val="OrderBody"/>
        <w:rPr>
          <w:iCs/>
          <w:color w:val="212121"/>
        </w:rPr>
      </w:pPr>
      <w:r w:rsidRPr="00817318">
        <w:rPr>
          <w:iCs/>
          <w:color w:val="212121"/>
        </w:rPr>
        <w:tab/>
        <w:t>ORDERED by Commissioner</w:t>
      </w:r>
      <w:r>
        <w:rPr>
          <w:iCs/>
          <w:color w:val="212121"/>
        </w:rPr>
        <w:t xml:space="preserve"> Gabriella Passidomo</w:t>
      </w:r>
      <w:r w:rsidRPr="00817318">
        <w:rPr>
          <w:iCs/>
          <w:color w:val="212121"/>
        </w:rPr>
        <w:t xml:space="preserve">, as Prehearing Officer, that the </w:t>
      </w:r>
      <w:r>
        <w:rPr>
          <w:iCs/>
          <w:color w:val="212121"/>
        </w:rPr>
        <w:t xml:space="preserve">Motion to Sever Duke Energy Florida, LLC’s Petition for Rate Increase Relating to the Second and Third Test Years </w:t>
      </w:r>
      <w:r w:rsidR="001B5BE2">
        <w:rPr>
          <w:iCs/>
          <w:color w:val="212121"/>
        </w:rPr>
        <w:t>is denied.</w:t>
      </w:r>
      <w:r w:rsidR="00492BB7">
        <w:rPr>
          <w:iCs/>
          <w:color w:val="212121"/>
        </w:rPr>
        <w:t xml:space="preserve"> It is further</w:t>
      </w:r>
    </w:p>
    <w:p w14:paraId="14A5B66D" w14:textId="77777777" w:rsidR="00492BB7" w:rsidRDefault="00492BB7" w:rsidP="000A7450">
      <w:pPr>
        <w:pStyle w:val="OrderBody"/>
        <w:rPr>
          <w:iCs/>
          <w:color w:val="212121"/>
        </w:rPr>
      </w:pPr>
    </w:p>
    <w:p w14:paraId="34543ABE" w14:textId="158CA8B2" w:rsidR="00492BB7" w:rsidRDefault="00492BB7" w:rsidP="000A7450">
      <w:pPr>
        <w:pStyle w:val="OrderBody"/>
        <w:rPr>
          <w:iCs/>
          <w:color w:val="212121"/>
        </w:rPr>
      </w:pPr>
      <w:r>
        <w:rPr>
          <w:iCs/>
          <w:color w:val="212121"/>
        </w:rPr>
        <w:tab/>
      </w:r>
      <w:r w:rsidRPr="00817318">
        <w:rPr>
          <w:iCs/>
          <w:color w:val="212121"/>
        </w:rPr>
        <w:t xml:space="preserve">ORDERED that the </w:t>
      </w:r>
      <w:r w:rsidR="006C2DDD">
        <w:rPr>
          <w:iCs/>
          <w:color w:val="212121"/>
        </w:rPr>
        <w:t xml:space="preserve">Office of Public Counsel’s Request for Oral Argument on Citizens’ </w:t>
      </w:r>
      <w:r>
        <w:rPr>
          <w:iCs/>
          <w:color w:val="212121"/>
        </w:rPr>
        <w:t xml:space="preserve">Motion </w:t>
      </w:r>
      <w:r w:rsidR="006C2DDD">
        <w:rPr>
          <w:iCs/>
          <w:color w:val="212121"/>
        </w:rPr>
        <w:t>f</w:t>
      </w:r>
      <w:r>
        <w:rPr>
          <w:iCs/>
          <w:color w:val="212121"/>
        </w:rPr>
        <w:t>o</w:t>
      </w:r>
      <w:r w:rsidR="006C2DDD">
        <w:rPr>
          <w:iCs/>
          <w:color w:val="212121"/>
        </w:rPr>
        <w:t>r</w:t>
      </w:r>
      <w:r>
        <w:rPr>
          <w:iCs/>
          <w:color w:val="212121"/>
        </w:rPr>
        <w:t xml:space="preserve"> Sever</w:t>
      </w:r>
      <w:r w:rsidR="006C2DDD">
        <w:rPr>
          <w:iCs/>
          <w:color w:val="212121"/>
        </w:rPr>
        <w:t>ance</w:t>
      </w:r>
      <w:r>
        <w:rPr>
          <w:iCs/>
          <w:color w:val="212121"/>
        </w:rPr>
        <w:t xml:space="preserve"> is denied.</w:t>
      </w:r>
    </w:p>
    <w:p w14:paraId="1E5E63A1" w14:textId="77777777" w:rsidR="000A7450" w:rsidRDefault="000A7450" w:rsidP="000A7450">
      <w:pPr>
        <w:pStyle w:val="OrderBody"/>
        <w:rPr>
          <w:iCs/>
          <w:color w:val="212121"/>
        </w:rPr>
      </w:pPr>
    </w:p>
    <w:p w14:paraId="54C21432" w14:textId="1D4751A6" w:rsidR="000A7450" w:rsidRDefault="000A7450" w:rsidP="000A7450">
      <w:pPr>
        <w:pStyle w:val="OrderBody"/>
        <w:keepNext/>
        <w:keepLines/>
      </w:pPr>
      <w:r>
        <w:lastRenderedPageBreak/>
        <w:tab/>
        <w:t xml:space="preserve">By ORDER of Commissioner Gabriella Passidomo, as Prehearing Officer, this </w:t>
      </w:r>
      <w:bookmarkStart w:id="6" w:name="replaceDate"/>
      <w:bookmarkEnd w:id="6"/>
      <w:r w:rsidR="00AE43D2">
        <w:rPr>
          <w:u w:val="single"/>
        </w:rPr>
        <w:t>19th</w:t>
      </w:r>
      <w:r w:rsidR="00AE43D2">
        <w:t xml:space="preserve"> day of </w:t>
      </w:r>
      <w:r w:rsidR="00AE43D2">
        <w:rPr>
          <w:u w:val="single"/>
        </w:rPr>
        <w:t>June</w:t>
      </w:r>
      <w:r w:rsidR="00AE43D2">
        <w:t xml:space="preserve">, </w:t>
      </w:r>
      <w:r w:rsidR="00AE43D2">
        <w:rPr>
          <w:u w:val="single"/>
        </w:rPr>
        <w:t>2024</w:t>
      </w:r>
      <w:r w:rsidR="00AE43D2">
        <w:t>.</w:t>
      </w:r>
    </w:p>
    <w:p w14:paraId="541406A0" w14:textId="77777777" w:rsidR="00AE43D2" w:rsidRPr="00AE43D2" w:rsidRDefault="00AE43D2" w:rsidP="000A7450">
      <w:pPr>
        <w:pStyle w:val="OrderBody"/>
        <w:keepNext/>
        <w:keepLines/>
      </w:pPr>
    </w:p>
    <w:p w14:paraId="348DB092" w14:textId="77777777" w:rsidR="000A7450" w:rsidRDefault="000A7450" w:rsidP="000A7450">
      <w:pPr>
        <w:pStyle w:val="OrderBody"/>
        <w:keepNext/>
        <w:keepLines/>
      </w:pPr>
    </w:p>
    <w:p w14:paraId="3ABBB080" w14:textId="77777777" w:rsidR="000A7450" w:rsidRDefault="000A7450" w:rsidP="000A7450">
      <w:pPr>
        <w:pStyle w:val="OrderBody"/>
        <w:keepNext/>
        <w:keepLines/>
      </w:pPr>
    </w:p>
    <w:p w14:paraId="4D6EE1B6" w14:textId="77777777" w:rsidR="000A7450" w:rsidRDefault="000A7450" w:rsidP="000A745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A7450" w14:paraId="6B0A7010" w14:textId="77777777" w:rsidTr="000A7450">
        <w:tc>
          <w:tcPr>
            <w:tcW w:w="720" w:type="dxa"/>
            <w:shd w:val="clear" w:color="auto" w:fill="auto"/>
          </w:tcPr>
          <w:p w14:paraId="31D5DA56" w14:textId="77777777" w:rsidR="000A7450" w:rsidRDefault="000A7450" w:rsidP="000A7450">
            <w:pPr>
              <w:pStyle w:val="OrderBody"/>
              <w:keepNext/>
              <w:keepLines/>
            </w:pPr>
            <w:bookmarkStart w:id="7" w:name="bkmrkSignature" w:colFirst="0" w:colLast="0"/>
          </w:p>
        </w:tc>
        <w:tc>
          <w:tcPr>
            <w:tcW w:w="4320" w:type="dxa"/>
            <w:tcBorders>
              <w:bottom w:val="single" w:sz="4" w:space="0" w:color="auto"/>
            </w:tcBorders>
            <w:shd w:val="clear" w:color="auto" w:fill="auto"/>
          </w:tcPr>
          <w:p w14:paraId="7425D933" w14:textId="07410D0B" w:rsidR="000A7450" w:rsidRDefault="00AE43D2" w:rsidP="000A7450">
            <w:pPr>
              <w:pStyle w:val="OrderBody"/>
              <w:keepNext/>
              <w:keepLines/>
            </w:pPr>
            <w:r>
              <w:t>/s/ Gabriella Passidomo</w:t>
            </w:r>
            <w:bookmarkStart w:id="8" w:name="_GoBack"/>
            <w:bookmarkEnd w:id="8"/>
          </w:p>
        </w:tc>
      </w:tr>
      <w:bookmarkEnd w:id="7"/>
      <w:tr w:rsidR="000A7450" w14:paraId="758E710F" w14:textId="77777777" w:rsidTr="000A7450">
        <w:tc>
          <w:tcPr>
            <w:tcW w:w="720" w:type="dxa"/>
            <w:shd w:val="clear" w:color="auto" w:fill="auto"/>
          </w:tcPr>
          <w:p w14:paraId="0A79FD71" w14:textId="77777777" w:rsidR="000A7450" w:rsidRDefault="000A7450" w:rsidP="000A7450">
            <w:pPr>
              <w:pStyle w:val="OrderBody"/>
              <w:keepNext/>
              <w:keepLines/>
            </w:pPr>
          </w:p>
        </w:tc>
        <w:tc>
          <w:tcPr>
            <w:tcW w:w="4320" w:type="dxa"/>
            <w:tcBorders>
              <w:top w:val="single" w:sz="4" w:space="0" w:color="auto"/>
            </w:tcBorders>
            <w:shd w:val="clear" w:color="auto" w:fill="auto"/>
          </w:tcPr>
          <w:p w14:paraId="04FC939F" w14:textId="77777777" w:rsidR="000A7450" w:rsidRDefault="000A7450" w:rsidP="000A7450">
            <w:pPr>
              <w:pStyle w:val="OrderBody"/>
              <w:keepNext/>
              <w:keepLines/>
            </w:pPr>
            <w:r>
              <w:t>Gabriella Passidomo</w:t>
            </w:r>
          </w:p>
          <w:p w14:paraId="68B7FDBF" w14:textId="77777777" w:rsidR="000A7450" w:rsidRDefault="000A7450" w:rsidP="000A7450">
            <w:pPr>
              <w:pStyle w:val="OrderBody"/>
              <w:keepNext/>
              <w:keepLines/>
            </w:pPr>
            <w:r>
              <w:t>Commissioner and Prehearing Officer</w:t>
            </w:r>
          </w:p>
        </w:tc>
      </w:tr>
    </w:tbl>
    <w:p w14:paraId="74944322" w14:textId="77777777" w:rsidR="000A7450" w:rsidRDefault="000A7450" w:rsidP="000A7450">
      <w:pPr>
        <w:pStyle w:val="OrderSigInfo"/>
        <w:keepNext/>
        <w:keepLines/>
      </w:pPr>
      <w:r>
        <w:t>Florida Public Service Commission</w:t>
      </w:r>
    </w:p>
    <w:p w14:paraId="76E064C3" w14:textId="77777777" w:rsidR="000A7450" w:rsidRDefault="000A7450" w:rsidP="000A7450">
      <w:pPr>
        <w:pStyle w:val="OrderSigInfo"/>
        <w:keepNext/>
        <w:keepLines/>
      </w:pPr>
      <w:r>
        <w:t>2540 Shumard Oak Boulevard</w:t>
      </w:r>
    </w:p>
    <w:p w14:paraId="19867EF5" w14:textId="77777777" w:rsidR="000A7450" w:rsidRDefault="000A7450" w:rsidP="000A7450">
      <w:pPr>
        <w:pStyle w:val="OrderSigInfo"/>
        <w:keepNext/>
        <w:keepLines/>
      </w:pPr>
      <w:r>
        <w:t>Tallahassee, Florida 32399</w:t>
      </w:r>
    </w:p>
    <w:p w14:paraId="57C1490E" w14:textId="77777777" w:rsidR="000A7450" w:rsidRDefault="000A7450" w:rsidP="000A7450">
      <w:pPr>
        <w:pStyle w:val="OrderSigInfo"/>
        <w:keepNext/>
        <w:keepLines/>
      </w:pPr>
      <w:r>
        <w:t>(850) 413</w:t>
      </w:r>
      <w:r>
        <w:noBreakHyphen/>
        <w:t>6770</w:t>
      </w:r>
    </w:p>
    <w:p w14:paraId="2D1C85F0" w14:textId="77777777" w:rsidR="000A7450" w:rsidRDefault="000A7450" w:rsidP="000A7450">
      <w:pPr>
        <w:pStyle w:val="OrderSigInfo"/>
        <w:keepNext/>
        <w:keepLines/>
      </w:pPr>
      <w:r>
        <w:t>www.floridapsc.com</w:t>
      </w:r>
    </w:p>
    <w:p w14:paraId="3A4B1896" w14:textId="77777777" w:rsidR="000A7450" w:rsidRDefault="000A7450" w:rsidP="000A7450">
      <w:pPr>
        <w:pStyle w:val="OrderSigInfo"/>
        <w:keepNext/>
        <w:keepLines/>
      </w:pPr>
    </w:p>
    <w:p w14:paraId="6DFB0882" w14:textId="77777777" w:rsidR="000A7450" w:rsidRDefault="000A7450" w:rsidP="000A7450">
      <w:pPr>
        <w:pStyle w:val="OrderSigInfo"/>
        <w:keepNext/>
        <w:keepLines/>
      </w:pPr>
      <w:r>
        <w:t>Copies furnished:  A copy of this document is provided to the parties of record at the time of issuance and, if applicable, interested persons.</w:t>
      </w:r>
    </w:p>
    <w:p w14:paraId="52825125" w14:textId="77777777" w:rsidR="000A7450" w:rsidRDefault="000A7450" w:rsidP="000A7450">
      <w:pPr>
        <w:pStyle w:val="OrderBody"/>
        <w:keepNext/>
        <w:keepLines/>
      </w:pPr>
    </w:p>
    <w:p w14:paraId="6C6FE443" w14:textId="77777777" w:rsidR="000A7450" w:rsidRDefault="000A7450" w:rsidP="000A7450">
      <w:pPr>
        <w:pStyle w:val="OrderBody"/>
        <w:keepNext/>
        <w:keepLines/>
      </w:pPr>
    </w:p>
    <w:p w14:paraId="1B94C6CB" w14:textId="77777777" w:rsidR="000A7450" w:rsidRDefault="000A7450" w:rsidP="000A7450">
      <w:pPr>
        <w:pStyle w:val="OrderBody"/>
        <w:keepNext/>
        <w:keepLines/>
      </w:pPr>
      <w:r>
        <w:t>SPS</w:t>
      </w:r>
    </w:p>
    <w:p w14:paraId="359B1551" w14:textId="77777777" w:rsidR="000A7450" w:rsidRDefault="000A7450" w:rsidP="000A7450">
      <w:pPr>
        <w:pStyle w:val="OrderBody"/>
      </w:pPr>
    </w:p>
    <w:p w14:paraId="198D876A" w14:textId="77777777" w:rsidR="000A7450" w:rsidRDefault="000A7450" w:rsidP="000A7450">
      <w:pPr>
        <w:pStyle w:val="OrderBody"/>
      </w:pPr>
    </w:p>
    <w:p w14:paraId="6590AFD1" w14:textId="77777777" w:rsidR="000A7450" w:rsidRDefault="000A7450" w:rsidP="000A7450">
      <w:pPr>
        <w:pStyle w:val="CenterUnderline"/>
      </w:pPr>
      <w:r>
        <w:t>NOTICE OF FURTHER PROCEEDINGS OR JUDICIAL REVIEW</w:t>
      </w:r>
    </w:p>
    <w:p w14:paraId="7AB5DB9C" w14:textId="77777777" w:rsidR="000A7450" w:rsidRDefault="000A7450" w:rsidP="000A7450">
      <w:pPr>
        <w:pStyle w:val="CenterUnderline"/>
      </w:pPr>
    </w:p>
    <w:p w14:paraId="2DB6E516" w14:textId="77777777" w:rsidR="000A7450" w:rsidRDefault="000A7450" w:rsidP="000A745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C7F48BE" w14:textId="77777777" w:rsidR="000A7450" w:rsidRDefault="000A7450" w:rsidP="000A7450">
      <w:pPr>
        <w:pStyle w:val="OrderBody"/>
      </w:pPr>
    </w:p>
    <w:p w14:paraId="1A16935E" w14:textId="77777777" w:rsidR="000A7450" w:rsidRDefault="000A7450" w:rsidP="000A7450">
      <w:pPr>
        <w:pStyle w:val="OrderBody"/>
      </w:pPr>
      <w:r>
        <w:tab/>
        <w:t>Mediation may be available on a case-by-case basis.  If mediation is conducted, it does not affect a substantially interested person's right to a hearing.</w:t>
      </w:r>
    </w:p>
    <w:p w14:paraId="6F2037AA" w14:textId="77777777" w:rsidR="000A7450" w:rsidRDefault="000A7450" w:rsidP="000A7450">
      <w:pPr>
        <w:pStyle w:val="OrderBody"/>
      </w:pPr>
    </w:p>
    <w:p w14:paraId="42046FA4" w14:textId="77777777" w:rsidR="000A7450" w:rsidRDefault="000A7450" w:rsidP="000A745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23B3643" w14:textId="77777777" w:rsidR="005F2751" w:rsidRDefault="005F2751" w:rsidP="00441D3C"/>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CFBBB" w14:textId="77777777" w:rsidR="000A7450" w:rsidRDefault="000A7450">
      <w:r>
        <w:separator/>
      </w:r>
    </w:p>
  </w:endnote>
  <w:endnote w:type="continuationSeparator" w:id="0">
    <w:p w14:paraId="7000B3C9" w14:textId="77777777" w:rsidR="000A7450" w:rsidRDefault="000A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341E" w14:textId="77777777" w:rsidR="00FA6EFD" w:rsidRDefault="00FA6EFD">
    <w:pPr>
      <w:pStyle w:val="Footer"/>
    </w:pPr>
  </w:p>
  <w:p w14:paraId="3072587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3D675" w14:textId="77777777" w:rsidR="000A7450" w:rsidRDefault="000A7450">
      <w:r>
        <w:separator/>
      </w:r>
    </w:p>
  </w:footnote>
  <w:footnote w:type="continuationSeparator" w:id="0">
    <w:p w14:paraId="0AACDFB8" w14:textId="77777777" w:rsidR="000A7450" w:rsidRDefault="000A7450">
      <w:r>
        <w:continuationSeparator/>
      </w:r>
    </w:p>
  </w:footnote>
  <w:footnote w:id="1">
    <w:p w14:paraId="26356835" w14:textId="77777777" w:rsidR="00FC248E" w:rsidRPr="00FC248E" w:rsidRDefault="00FC248E">
      <w:pPr>
        <w:pStyle w:val="FootnoteText"/>
      </w:pPr>
      <w:r>
        <w:rPr>
          <w:rStyle w:val="FootnoteReference"/>
        </w:rPr>
        <w:footnoteRef/>
      </w:r>
      <w:r>
        <w:t xml:space="preserve"> Docket No. 20240026-EI, </w:t>
      </w:r>
      <w:r>
        <w:rPr>
          <w:i/>
        </w:rPr>
        <w:t>In re: Petition for rate increase by Tampa Electric Company</w:t>
      </w:r>
      <w:r>
        <w:t>.</w:t>
      </w:r>
    </w:p>
  </w:footnote>
  <w:footnote w:id="2">
    <w:p w14:paraId="69EB86BA" w14:textId="77777777" w:rsidR="00C418CE" w:rsidRDefault="00C418CE">
      <w:pPr>
        <w:pStyle w:val="FootnoteText"/>
      </w:pPr>
      <w:r>
        <w:rPr>
          <w:rStyle w:val="FootnoteReference"/>
        </w:rPr>
        <w:footnoteRef/>
      </w:r>
      <w:r>
        <w:t xml:space="preserve"> “The court in furtherance of convenience or to avoid prejudice may order a separate trial of any claim, crossclaim, counterclaim, or third-party claim or of any separate issue or of any number of claims, crossclaims, counterclaims, third</w:t>
      </w:r>
      <w:r w:rsidR="00206240">
        <w:t>-</w:t>
      </w:r>
      <w:r>
        <w:t>party claims, or issues.” Fla. R. Civ. P. 1.270(b).</w:t>
      </w:r>
    </w:p>
  </w:footnote>
  <w:footnote w:id="3">
    <w:p w14:paraId="0B9C86BC" w14:textId="77777777" w:rsidR="00CB7CE4" w:rsidRDefault="00CB7CE4" w:rsidP="00AF7883">
      <w:pPr>
        <w:shd w:val="clear" w:color="auto" w:fill="FFFFFF"/>
        <w:jc w:val="both"/>
      </w:pPr>
      <w:r w:rsidRPr="00CB7CE4">
        <w:rPr>
          <w:rStyle w:val="FootnoteReference"/>
          <w:sz w:val="20"/>
          <w:szCs w:val="20"/>
        </w:rPr>
        <w:footnoteRef/>
      </w:r>
      <w:r w:rsidRPr="00CB7CE4">
        <w:rPr>
          <w:sz w:val="20"/>
          <w:szCs w:val="20"/>
        </w:rPr>
        <w:t xml:space="preserve"> “[T]</w:t>
      </w:r>
      <w:r w:rsidRPr="00CB7CE4">
        <w:rPr>
          <w:color w:val="000000"/>
          <w:sz w:val="20"/>
          <w:szCs w:val="20"/>
        </w:rPr>
        <w:t xml:space="preserve">he </w:t>
      </w:r>
      <w:r w:rsidRPr="00CB7CE4">
        <w:rPr>
          <w:rStyle w:val="coconcept17"/>
          <w:color w:val="000000"/>
          <w:sz w:val="20"/>
          <w:szCs w:val="20"/>
          <w:bdr w:val="none" w:sz="0" w:space="0" w:color="auto" w:frame="1"/>
          <w:shd w:val="clear" w:color="auto" w:fill="FFFFFF"/>
        </w:rPr>
        <w:t>Florida</w:t>
      </w:r>
      <w:r w:rsidRPr="00CB7CE4">
        <w:rPr>
          <w:color w:val="000000"/>
          <w:sz w:val="20"/>
          <w:szCs w:val="20"/>
        </w:rPr>
        <w:t xml:space="preserve"> </w:t>
      </w:r>
      <w:r w:rsidRPr="00CB7CE4">
        <w:rPr>
          <w:rStyle w:val="coconcept913"/>
          <w:color w:val="000000"/>
          <w:sz w:val="20"/>
          <w:szCs w:val="20"/>
          <w:bdr w:val="none" w:sz="0" w:space="0" w:color="auto" w:frame="1"/>
          <w:shd w:val="clear" w:color="auto" w:fill="FFFFFF"/>
        </w:rPr>
        <w:t>Rules</w:t>
      </w:r>
      <w:r w:rsidRPr="00CB7CE4">
        <w:rPr>
          <w:color w:val="000000"/>
          <w:sz w:val="20"/>
          <w:szCs w:val="20"/>
        </w:rPr>
        <w:t xml:space="preserve"> of </w:t>
      </w:r>
      <w:r w:rsidRPr="00CB7CE4">
        <w:rPr>
          <w:rStyle w:val="coconcept1832"/>
          <w:color w:val="000000"/>
          <w:sz w:val="20"/>
          <w:szCs w:val="20"/>
          <w:bdr w:val="none" w:sz="0" w:space="0" w:color="auto" w:frame="1"/>
          <w:shd w:val="clear" w:color="auto" w:fill="FFFFFF"/>
        </w:rPr>
        <w:t>Civil</w:t>
      </w:r>
      <w:r w:rsidRPr="00CB7CE4">
        <w:rPr>
          <w:color w:val="000000"/>
          <w:sz w:val="20"/>
          <w:szCs w:val="20"/>
        </w:rPr>
        <w:t xml:space="preserve"> </w:t>
      </w:r>
      <w:r w:rsidRPr="00CB7CE4">
        <w:rPr>
          <w:rStyle w:val="coconcept1832"/>
          <w:color w:val="000000"/>
          <w:sz w:val="20"/>
          <w:szCs w:val="20"/>
          <w:bdr w:val="none" w:sz="0" w:space="0" w:color="auto" w:frame="1"/>
          <w:shd w:val="clear" w:color="auto" w:fill="FFFFFF"/>
        </w:rPr>
        <w:t>Procedure</w:t>
      </w:r>
      <w:r w:rsidRPr="00CB7CE4">
        <w:rPr>
          <w:color w:val="000000"/>
          <w:sz w:val="20"/>
          <w:szCs w:val="20"/>
        </w:rPr>
        <w:t xml:space="preserve"> apply to “actions of a civil nature and all special statutory proceedings </w:t>
      </w:r>
      <w:r w:rsidRPr="00CB7CE4">
        <w:rPr>
          <w:rStyle w:val="Emphasis"/>
          <w:color w:val="3D3D3D"/>
          <w:sz w:val="20"/>
          <w:szCs w:val="20"/>
          <w:bdr w:val="none" w:sz="0" w:space="0" w:color="auto" w:frame="1"/>
        </w:rPr>
        <w:t>in the circuit and county courts of this state</w:t>
      </w:r>
      <w:r w:rsidRPr="00CB7CE4">
        <w:rPr>
          <w:color w:val="000000"/>
          <w:sz w:val="20"/>
          <w:szCs w:val="20"/>
        </w:rPr>
        <w:t xml:space="preserve"> ....” </w:t>
      </w:r>
      <w:r w:rsidRPr="00CB7CE4">
        <w:rPr>
          <w:rStyle w:val="coconcept17"/>
          <w:color w:val="000000"/>
          <w:sz w:val="20"/>
          <w:szCs w:val="20"/>
          <w:bdr w:val="none" w:sz="0" w:space="0" w:color="auto" w:frame="1"/>
          <w:shd w:val="clear" w:color="auto" w:fill="FFFFFF"/>
        </w:rPr>
        <w:t>Fla</w:t>
      </w:r>
      <w:r w:rsidRPr="00CB7CE4">
        <w:rPr>
          <w:color w:val="000000"/>
          <w:sz w:val="20"/>
          <w:szCs w:val="20"/>
        </w:rPr>
        <w:t xml:space="preserve">. R. Civ. P. 1.010. (Emphasis added). Only those </w:t>
      </w:r>
      <w:r w:rsidRPr="00CB7CE4">
        <w:rPr>
          <w:rStyle w:val="coconcept913"/>
          <w:color w:val="000000"/>
          <w:sz w:val="20"/>
          <w:szCs w:val="20"/>
          <w:bdr w:val="none" w:sz="0" w:space="0" w:color="auto" w:frame="1"/>
          <w:shd w:val="clear" w:color="auto" w:fill="FFFFFF"/>
        </w:rPr>
        <w:t>rules</w:t>
      </w:r>
      <w:r w:rsidRPr="00CB7CE4">
        <w:rPr>
          <w:color w:val="000000"/>
          <w:sz w:val="20"/>
          <w:szCs w:val="20"/>
        </w:rPr>
        <w:t xml:space="preserve"> of </w:t>
      </w:r>
      <w:r w:rsidRPr="00CB7CE4">
        <w:rPr>
          <w:rStyle w:val="coconcept1832"/>
          <w:color w:val="000000"/>
          <w:sz w:val="20"/>
          <w:szCs w:val="20"/>
          <w:bdr w:val="none" w:sz="0" w:space="0" w:color="auto" w:frame="1"/>
          <w:shd w:val="clear" w:color="auto" w:fill="FFFFFF"/>
        </w:rPr>
        <w:t>civil</w:t>
      </w:r>
      <w:r w:rsidRPr="00CB7CE4">
        <w:rPr>
          <w:color w:val="000000"/>
          <w:sz w:val="20"/>
          <w:szCs w:val="20"/>
        </w:rPr>
        <w:t xml:space="preserve"> </w:t>
      </w:r>
      <w:r w:rsidRPr="00CB7CE4">
        <w:rPr>
          <w:rStyle w:val="coconcept1832"/>
          <w:color w:val="000000"/>
          <w:sz w:val="20"/>
          <w:szCs w:val="20"/>
          <w:bdr w:val="none" w:sz="0" w:space="0" w:color="auto" w:frame="1"/>
          <w:shd w:val="clear" w:color="auto" w:fill="FFFFFF"/>
        </w:rPr>
        <w:t>procedure</w:t>
      </w:r>
      <w:r w:rsidRPr="00CB7CE4">
        <w:rPr>
          <w:color w:val="000000"/>
          <w:sz w:val="20"/>
          <w:szCs w:val="20"/>
        </w:rPr>
        <w:t xml:space="preserve"> governing discovery apply in </w:t>
      </w:r>
      <w:r w:rsidRPr="00CB7CE4">
        <w:rPr>
          <w:rStyle w:val="coconcept4558"/>
          <w:color w:val="000000"/>
          <w:sz w:val="20"/>
          <w:szCs w:val="20"/>
          <w:bdr w:val="none" w:sz="0" w:space="0" w:color="auto" w:frame="1"/>
          <w:shd w:val="clear" w:color="auto" w:fill="FFFFFF"/>
        </w:rPr>
        <w:t>administrative</w:t>
      </w:r>
      <w:r w:rsidRPr="00CB7CE4">
        <w:rPr>
          <w:color w:val="000000"/>
          <w:sz w:val="20"/>
          <w:szCs w:val="20"/>
        </w:rPr>
        <w:t xml:space="preserve"> </w:t>
      </w:r>
      <w:r w:rsidRPr="00CB7CE4">
        <w:rPr>
          <w:rStyle w:val="coconcept6070"/>
          <w:color w:val="000000"/>
          <w:sz w:val="20"/>
          <w:szCs w:val="20"/>
          <w:bdr w:val="none" w:sz="0" w:space="0" w:color="auto" w:frame="1"/>
          <w:shd w:val="clear" w:color="auto" w:fill="FFFFFF"/>
        </w:rPr>
        <w:t>proceedings</w:t>
      </w:r>
      <w:r w:rsidRPr="00CB7CE4">
        <w:rPr>
          <w:color w:val="000000"/>
          <w:sz w:val="20"/>
          <w:szCs w:val="20"/>
        </w:rPr>
        <w:t xml:space="preserve">. § 120.569(2)(f), </w:t>
      </w:r>
      <w:r w:rsidRPr="00CB7CE4">
        <w:rPr>
          <w:rStyle w:val="coconcept17"/>
          <w:color w:val="000000"/>
          <w:sz w:val="20"/>
          <w:szCs w:val="20"/>
          <w:bdr w:val="none" w:sz="0" w:space="0" w:color="auto" w:frame="1"/>
          <w:shd w:val="clear" w:color="auto" w:fill="FFFFFF"/>
        </w:rPr>
        <w:t>Fla</w:t>
      </w:r>
      <w:r w:rsidRPr="00CB7CE4">
        <w:rPr>
          <w:color w:val="000000"/>
          <w:sz w:val="20"/>
          <w:szCs w:val="20"/>
        </w:rPr>
        <w:t xml:space="preserve">. Stat.” </w:t>
      </w:r>
      <w:r w:rsidRPr="00CB7CE4">
        <w:rPr>
          <w:i/>
          <w:color w:val="000000"/>
          <w:sz w:val="20"/>
          <w:szCs w:val="20"/>
        </w:rPr>
        <w:t>Collins v. Whole Foods Market Ip, Inc.,</w:t>
      </w:r>
      <w:r w:rsidRPr="00CB7CE4">
        <w:rPr>
          <w:color w:val="000000"/>
          <w:sz w:val="20"/>
          <w:szCs w:val="20"/>
        </w:rPr>
        <w:t xml:space="preserve"> Order Denying Motion for Clerk’s Default, 2023 WL 10357560, at *1</w:t>
      </w:r>
      <w:r>
        <w:rPr>
          <w:color w:val="000000"/>
          <w:sz w:val="20"/>
          <w:szCs w:val="20"/>
        </w:rPr>
        <w:t>.</w:t>
      </w:r>
    </w:p>
  </w:footnote>
  <w:footnote w:id="4">
    <w:p w14:paraId="0EE982C3" w14:textId="0D1C8D21" w:rsidR="005C7A9A" w:rsidRDefault="005C7A9A" w:rsidP="005C7A9A">
      <w:pPr>
        <w:pStyle w:val="FootnoteText"/>
      </w:pPr>
      <w:r>
        <w:rPr>
          <w:rStyle w:val="FootnoteReference"/>
        </w:rPr>
        <w:footnoteRef/>
      </w:r>
      <w:r>
        <w:t xml:space="preserve"> The document cited in footnote 4 of OPC’s Motion to Sever in support of is reliance on Rule 1.270 is Progress Energy</w:t>
      </w:r>
      <w:r w:rsidR="008610CB">
        <w:t>, Inc.</w:t>
      </w:r>
      <w:r>
        <w:t>’s Response in Opposition to Joint Motion to Sever</w:t>
      </w:r>
      <w:r w:rsidR="006B3053">
        <w:t>, not an Order of the Commission</w:t>
      </w:r>
      <w:r>
        <w:t xml:space="preserve">. The Commission Order Bifurcating Proceeding, which disposed of the Joint Motion to Sever, cited Rule 28-106.211, F.A.C., as authority for the Prehearing Officer bifurcating the proceeding. Order No. PSC-06-1059-PCO-EI, issued December 22, 2006, in Docket No. 20060642-EI, </w:t>
      </w:r>
      <w:r>
        <w:rPr>
          <w:i/>
        </w:rPr>
        <w:t xml:space="preserve"> In re: Petition for determination of need for expansion of Crystal River 3 nuclear power plant, for exemption from Bid Rule 25-22.082, F.A.C., and for cost recovery through fuel clause, by Progress Energy Florida, Inc.</w:t>
      </w:r>
      <w:r>
        <w:t xml:space="preserve"> The Order did not mention Rule 1.270.</w:t>
      </w:r>
    </w:p>
  </w:footnote>
  <w:footnote w:id="5">
    <w:p w14:paraId="2F4A299D" w14:textId="77777777" w:rsidR="00793CB7" w:rsidRDefault="00793CB7">
      <w:pPr>
        <w:pStyle w:val="FootnoteText"/>
      </w:pPr>
      <w:r>
        <w:rPr>
          <w:rStyle w:val="FootnoteReference"/>
        </w:rPr>
        <w:footnoteRef/>
      </w:r>
      <w:r>
        <w:t xml:space="preserve"> Order Establishing Procedure (Order No. PSC-2024-0092-PCO-EI) at 11-12.</w:t>
      </w:r>
    </w:p>
  </w:footnote>
  <w:footnote w:id="6">
    <w:p w14:paraId="4B2B3D68" w14:textId="77777777" w:rsidR="00793CB7" w:rsidRDefault="00793CB7">
      <w:pPr>
        <w:pStyle w:val="FootnoteText"/>
      </w:pPr>
      <w:r>
        <w:rPr>
          <w:rStyle w:val="FootnoteReference"/>
        </w:rPr>
        <w:footnoteRef/>
      </w:r>
      <w:r>
        <w:t xml:space="preserve"> Document No. 03412-2024 (Commission Vote Sheet Denying OPC’s Motion for Reconsideration).</w:t>
      </w:r>
    </w:p>
  </w:footnote>
  <w:footnote w:id="7">
    <w:p w14:paraId="54DFA2A9" w14:textId="77777777" w:rsidR="00C8478F" w:rsidRDefault="00C8478F">
      <w:pPr>
        <w:pStyle w:val="FootnoteText"/>
      </w:pPr>
      <w:r>
        <w:rPr>
          <w:rStyle w:val="FootnoteReference"/>
        </w:rPr>
        <w:footnoteRef/>
      </w:r>
      <w:r>
        <w:t xml:space="preserve"> Order No. PSC-2024-0145-POC-EI.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476C" w14:textId="5C2EE289" w:rsidR="00FA6EFD" w:rsidRDefault="00FA6EFD">
    <w:pPr>
      <w:pStyle w:val="OrderHeader"/>
    </w:pPr>
    <w:r>
      <w:t xml:space="preserve">ORDER NO. </w:t>
    </w:r>
    <w:fldSimple w:instr=" REF OrderNo0198 ">
      <w:r w:rsidR="00AE43D2">
        <w:t>PSC-2024-0198-PCO-EI</w:t>
      </w:r>
    </w:fldSimple>
  </w:p>
  <w:p w14:paraId="3085DCFE" w14:textId="77777777" w:rsidR="00FA6EFD" w:rsidRDefault="000A7450">
    <w:pPr>
      <w:pStyle w:val="OrderHeader"/>
    </w:pPr>
    <w:bookmarkStart w:id="9" w:name="HeaderDocketNo"/>
    <w:bookmarkEnd w:id="9"/>
    <w:r>
      <w:t>DOCKET NO. 20240025-EI</w:t>
    </w:r>
  </w:p>
  <w:p w14:paraId="1A7BBF30" w14:textId="2548C16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43D2">
      <w:rPr>
        <w:rStyle w:val="PageNumber"/>
        <w:noProof/>
      </w:rPr>
      <w:t>4</w:t>
    </w:r>
    <w:r>
      <w:rPr>
        <w:rStyle w:val="PageNumber"/>
      </w:rPr>
      <w:fldChar w:fldCharType="end"/>
    </w:r>
  </w:p>
  <w:p w14:paraId="18624FC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0A745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450"/>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0784"/>
    <w:rsid w:val="00121957"/>
    <w:rsid w:val="0012387E"/>
    <w:rsid w:val="001259EC"/>
    <w:rsid w:val="00126593"/>
    <w:rsid w:val="00134177"/>
    <w:rsid w:val="001359B1"/>
    <w:rsid w:val="00136087"/>
    <w:rsid w:val="00142A96"/>
    <w:rsid w:val="00147477"/>
    <w:rsid w:val="001513DE"/>
    <w:rsid w:val="00154A71"/>
    <w:rsid w:val="001655D4"/>
    <w:rsid w:val="00165803"/>
    <w:rsid w:val="00187E32"/>
    <w:rsid w:val="001918FF"/>
    <w:rsid w:val="00194A97"/>
    <w:rsid w:val="00194E81"/>
    <w:rsid w:val="001A15E7"/>
    <w:rsid w:val="001A33C9"/>
    <w:rsid w:val="001A58F3"/>
    <w:rsid w:val="001B034E"/>
    <w:rsid w:val="001B5BE2"/>
    <w:rsid w:val="001C2847"/>
    <w:rsid w:val="001C3BB5"/>
    <w:rsid w:val="001C3F8C"/>
    <w:rsid w:val="001C6097"/>
    <w:rsid w:val="001C7126"/>
    <w:rsid w:val="001D008A"/>
    <w:rsid w:val="001D34D7"/>
    <w:rsid w:val="001E0152"/>
    <w:rsid w:val="001E0FF5"/>
    <w:rsid w:val="001F0095"/>
    <w:rsid w:val="001F36B0"/>
    <w:rsid w:val="001F4CA3"/>
    <w:rsid w:val="001F59E0"/>
    <w:rsid w:val="002002ED"/>
    <w:rsid w:val="002044DD"/>
    <w:rsid w:val="00206240"/>
    <w:rsid w:val="00210475"/>
    <w:rsid w:val="002170E5"/>
    <w:rsid w:val="00220D57"/>
    <w:rsid w:val="00223B99"/>
    <w:rsid w:val="00227050"/>
    <w:rsid w:val="0022721A"/>
    <w:rsid w:val="00230BB9"/>
    <w:rsid w:val="00241CEF"/>
    <w:rsid w:val="0025124E"/>
    <w:rsid w:val="00252B30"/>
    <w:rsid w:val="00255291"/>
    <w:rsid w:val="002613E4"/>
    <w:rsid w:val="00262C43"/>
    <w:rsid w:val="0026544B"/>
    <w:rsid w:val="00270F89"/>
    <w:rsid w:val="00276CDC"/>
    <w:rsid w:val="00277655"/>
    <w:rsid w:val="002824B7"/>
    <w:rsid w:val="0028285F"/>
    <w:rsid w:val="00282AC4"/>
    <w:rsid w:val="00293DC9"/>
    <w:rsid w:val="00297C37"/>
    <w:rsid w:val="002A11AC"/>
    <w:rsid w:val="002A6F30"/>
    <w:rsid w:val="002A7884"/>
    <w:rsid w:val="002B14DA"/>
    <w:rsid w:val="002B3111"/>
    <w:rsid w:val="002B4953"/>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4257"/>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1D3C"/>
    <w:rsid w:val="004431B4"/>
    <w:rsid w:val="00445604"/>
    <w:rsid w:val="00451158"/>
    <w:rsid w:val="0045537F"/>
    <w:rsid w:val="00457DC7"/>
    <w:rsid w:val="004640B3"/>
    <w:rsid w:val="00472BCC"/>
    <w:rsid w:val="00477699"/>
    <w:rsid w:val="00492BB7"/>
    <w:rsid w:val="00494F60"/>
    <w:rsid w:val="004A25CD"/>
    <w:rsid w:val="004A26CC"/>
    <w:rsid w:val="004B2108"/>
    <w:rsid w:val="004B3A2B"/>
    <w:rsid w:val="004B70D3"/>
    <w:rsid w:val="004C312D"/>
    <w:rsid w:val="004D2D1B"/>
    <w:rsid w:val="004D5067"/>
    <w:rsid w:val="004D6838"/>
    <w:rsid w:val="004D72BC"/>
    <w:rsid w:val="004E469D"/>
    <w:rsid w:val="004E7F4F"/>
    <w:rsid w:val="004F2DDE"/>
    <w:rsid w:val="004F4442"/>
    <w:rsid w:val="004F5A55"/>
    <w:rsid w:val="004F6426"/>
    <w:rsid w:val="004F7826"/>
    <w:rsid w:val="0050097F"/>
    <w:rsid w:val="00514B1F"/>
    <w:rsid w:val="005213F3"/>
    <w:rsid w:val="00523C5C"/>
    <w:rsid w:val="00524884"/>
    <w:rsid w:val="00525E93"/>
    <w:rsid w:val="0052671D"/>
    <w:rsid w:val="005300C0"/>
    <w:rsid w:val="00533EF6"/>
    <w:rsid w:val="00540E6B"/>
    <w:rsid w:val="0054109E"/>
    <w:rsid w:val="0055595D"/>
    <w:rsid w:val="00556A10"/>
    <w:rsid w:val="00557F50"/>
    <w:rsid w:val="005650A7"/>
    <w:rsid w:val="00571D3D"/>
    <w:rsid w:val="0058264B"/>
    <w:rsid w:val="00586368"/>
    <w:rsid w:val="005868AA"/>
    <w:rsid w:val="00590845"/>
    <w:rsid w:val="005963C2"/>
    <w:rsid w:val="005A0D69"/>
    <w:rsid w:val="005A31F4"/>
    <w:rsid w:val="005A73EA"/>
    <w:rsid w:val="005B45F7"/>
    <w:rsid w:val="005B63EA"/>
    <w:rsid w:val="005C1A88"/>
    <w:rsid w:val="005C5033"/>
    <w:rsid w:val="005C7A9A"/>
    <w:rsid w:val="005D49E2"/>
    <w:rsid w:val="005D4E1B"/>
    <w:rsid w:val="005E3B58"/>
    <w:rsid w:val="005E751B"/>
    <w:rsid w:val="005F2751"/>
    <w:rsid w:val="005F3354"/>
    <w:rsid w:val="005F4AD6"/>
    <w:rsid w:val="0060005E"/>
    <w:rsid w:val="0060095B"/>
    <w:rsid w:val="00601266"/>
    <w:rsid w:val="0060295F"/>
    <w:rsid w:val="00610221"/>
    <w:rsid w:val="00610E73"/>
    <w:rsid w:val="00615F9B"/>
    <w:rsid w:val="00616DF2"/>
    <w:rsid w:val="0062385D"/>
    <w:rsid w:val="0063168D"/>
    <w:rsid w:val="00635C79"/>
    <w:rsid w:val="006423A7"/>
    <w:rsid w:val="006455DF"/>
    <w:rsid w:val="00645AF6"/>
    <w:rsid w:val="00647025"/>
    <w:rsid w:val="0064730A"/>
    <w:rsid w:val="006507DA"/>
    <w:rsid w:val="00652254"/>
    <w:rsid w:val="006531A4"/>
    <w:rsid w:val="00660774"/>
    <w:rsid w:val="0066389A"/>
    <w:rsid w:val="0066495C"/>
    <w:rsid w:val="00665CC7"/>
    <w:rsid w:val="00672612"/>
    <w:rsid w:val="00674ECC"/>
    <w:rsid w:val="00677F18"/>
    <w:rsid w:val="00693483"/>
    <w:rsid w:val="006A0BF3"/>
    <w:rsid w:val="006B0036"/>
    <w:rsid w:val="006B0DA6"/>
    <w:rsid w:val="006B3053"/>
    <w:rsid w:val="006B3FA9"/>
    <w:rsid w:val="006B6309"/>
    <w:rsid w:val="006C2DDD"/>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5F34"/>
    <w:rsid w:val="00777727"/>
    <w:rsid w:val="0078166A"/>
    <w:rsid w:val="00782B79"/>
    <w:rsid w:val="00783811"/>
    <w:rsid w:val="007865E9"/>
    <w:rsid w:val="0079237D"/>
    <w:rsid w:val="00792383"/>
    <w:rsid w:val="00793CB7"/>
    <w:rsid w:val="00794D5A"/>
    <w:rsid w:val="00794DD9"/>
    <w:rsid w:val="007A060F"/>
    <w:rsid w:val="007B1C5E"/>
    <w:rsid w:val="007B350E"/>
    <w:rsid w:val="007C0FBC"/>
    <w:rsid w:val="007C29C9"/>
    <w:rsid w:val="007C35B8"/>
    <w:rsid w:val="007C36E3"/>
    <w:rsid w:val="007C3ABB"/>
    <w:rsid w:val="007C69F8"/>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5600"/>
    <w:rsid w:val="00846F11"/>
    <w:rsid w:val="00847B45"/>
    <w:rsid w:val="008610CB"/>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37B1"/>
    <w:rsid w:val="009040EE"/>
    <w:rsid w:val="009057FD"/>
    <w:rsid w:val="00906FBA"/>
    <w:rsid w:val="00912C1F"/>
    <w:rsid w:val="009163E8"/>
    <w:rsid w:val="00921BD3"/>
    <w:rsid w:val="009228C7"/>
    <w:rsid w:val="00922A7F"/>
    <w:rsid w:val="00923A5E"/>
    <w:rsid w:val="00924FE7"/>
    <w:rsid w:val="00926E27"/>
    <w:rsid w:val="00931C8C"/>
    <w:rsid w:val="00943D21"/>
    <w:rsid w:val="0094504B"/>
    <w:rsid w:val="009533AF"/>
    <w:rsid w:val="00964A38"/>
    <w:rsid w:val="009651AF"/>
    <w:rsid w:val="00966A9D"/>
    <w:rsid w:val="0096742B"/>
    <w:rsid w:val="00967C64"/>
    <w:rsid w:val="00970DB1"/>
    <w:rsid w:val="009718C5"/>
    <w:rsid w:val="00972985"/>
    <w:rsid w:val="00976AFF"/>
    <w:rsid w:val="00977B5D"/>
    <w:rsid w:val="00986AED"/>
    <w:rsid w:val="009924CF"/>
    <w:rsid w:val="00994100"/>
    <w:rsid w:val="009A04B7"/>
    <w:rsid w:val="009A6B17"/>
    <w:rsid w:val="009B052E"/>
    <w:rsid w:val="009B4E00"/>
    <w:rsid w:val="009C3056"/>
    <w:rsid w:val="009D4C29"/>
    <w:rsid w:val="009E1B21"/>
    <w:rsid w:val="009E58E9"/>
    <w:rsid w:val="009E6803"/>
    <w:rsid w:val="009F6AD2"/>
    <w:rsid w:val="009F7C1B"/>
    <w:rsid w:val="00A00B5B"/>
    <w:rsid w:val="00A00D8D"/>
    <w:rsid w:val="00A0102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E43D2"/>
    <w:rsid w:val="00AF7883"/>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35A3"/>
    <w:rsid w:val="00C151A6"/>
    <w:rsid w:val="00C24098"/>
    <w:rsid w:val="00C30A4E"/>
    <w:rsid w:val="00C411F3"/>
    <w:rsid w:val="00C418CE"/>
    <w:rsid w:val="00C44105"/>
    <w:rsid w:val="00C5154D"/>
    <w:rsid w:val="00C523EC"/>
    <w:rsid w:val="00C55A33"/>
    <w:rsid w:val="00C64D49"/>
    <w:rsid w:val="00C66257"/>
    <w:rsid w:val="00C66692"/>
    <w:rsid w:val="00C673B5"/>
    <w:rsid w:val="00C7063D"/>
    <w:rsid w:val="00C72339"/>
    <w:rsid w:val="00C820BC"/>
    <w:rsid w:val="00C830BC"/>
    <w:rsid w:val="00C8478F"/>
    <w:rsid w:val="00C8524D"/>
    <w:rsid w:val="00C90904"/>
    <w:rsid w:val="00C91123"/>
    <w:rsid w:val="00CA123B"/>
    <w:rsid w:val="00CA6CC2"/>
    <w:rsid w:val="00CA71FF"/>
    <w:rsid w:val="00CB2393"/>
    <w:rsid w:val="00CB2456"/>
    <w:rsid w:val="00CB5276"/>
    <w:rsid w:val="00CB5BFC"/>
    <w:rsid w:val="00CB68D7"/>
    <w:rsid w:val="00CB785B"/>
    <w:rsid w:val="00CB7CE4"/>
    <w:rsid w:val="00CC7E68"/>
    <w:rsid w:val="00CD3D74"/>
    <w:rsid w:val="00CD7132"/>
    <w:rsid w:val="00CE0E6F"/>
    <w:rsid w:val="00CE3B21"/>
    <w:rsid w:val="00CE56FC"/>
    <w:rsid w:val="00CE7579"/>
    <w:rsid w:val="00CE7A4D"/>
    <w:rsid w:val="00CF13B1"/>
    <w:rsid w:val="00CF32D2"/>
    <w:rsid w:val="00CF354C"/>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619F"/>
    <w:rsid w:val="00D87155"/>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3DD1"/>
    <w:rsid w:val="00E44879"/>
    <w:rsid w:val="00E72914"/>
    <w:rsid w:val="00E75AE0"/>
    <w:rsid w:val="00E83C1F"/>
    <w:rsid w:val="00E85684"/>
    <w:rsid w:val="00E8794B"/>
    <w:rsid w:val="00E90915"/>
    <w:rsid w:val="00E97656"/>
    <w:rsid w:val="00EA004A"/>
    <w:rsid w:val="00EA172C"/>
    <w:rsid w:val="00EA259B"/>
    <w:rsid w:val="00EA35A3"/>
    <w:rsid w:val="00EA3E6A"/>
    <w:rsid w:val="00EA7EE9"/>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4B21"/>
    <w:rsid w:val="00F464ED"/>
    <w:rsid w:val="00F54380"/>
    <w:rsid w:val="00F54B47"/>
    <w:rsid w:val="00F61247"/>
    <w:rsid w:val="00F61F61"/>
    <w:rsid w:val="00F63191"/>
    <w:rsid w:val="00F6702E"/>
    <w:rsid w:val="00F70E84"/>
    <w:rsid w:val="00F80685"/>
    <w:rsid w:val="00F94968"/>
    <w:rsid w:val="00FA092B"/>
    <w:rsid w:val="00FA4F6C"/>
    <w:rsid w:val="00FA6EFD"/>
    <w:rsid w:val="00FA759C"/>
    <w:rsid w:val="00FB3791"/>
    <w:rsid w:val="00FB4EE2"/>
    <w:rsid w:val="00FB6780"/>
    <w:rsid w:val="00FB74EA"/>
    <w:rsid w:val="00FC248E"/>
    <w:rsid w:val="00FD0ADB"/>
    <w:rsid w:val="00FD2C9E"/>
    <w:rsid w:val="00FD4786"/>
    <w:rsid w:val="00FD616C"/>
    <w:rsid w:val="00FE53F2"/>
    <w:rsid w:val="00FE74C6"/>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C6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A7450"/>
    <w:pPr>
      <w:ind w:left="720"/>
      <w:contextualSpacing/>
    </w:pPr>
    <w:rPr>
      <w:rFonts w:ascii="Calibri" w:eastAsia="Calibri" w:hAnsi="Calibri"/>
    </w:rPr>
  </w:style>
  <w:style w:type="character" w:customStyle="1" w:styleId="coconcept17">
    <w:name w:val="co_concept_1_7"/>
    <w:basedOn w:val="DefaultParagraphFont"/>
    <w:rsid w:val="00CB7CE4"/>
  </w:style>
  <w:style w:type="character" w:customStyle="1" w:styleId="coconcept913">
    <w:name w:val="co_concept_9_13"/>
    <w:basedOn w:val="DefaultParagraphFont"/>
    <w:rsid w:val="00CB7CE4"/>
  </w:style>
  <w:style w:type="character" w:customStyle="1" w:styleId="coconcept1832">
    <w:name w:val="co_concept_18_32"/>
    <w:basedOn w:val="DefaultParagraphFont"/>
    <w:rsid w:val="00CB7CE4"/>
  </w:style>
  <w:style w:type="character" w:styleId="Emphasis">
    <w:name w:val="Emphasis"/>
    <w:basedOn w:val="DefaultParagraphFont"/>
    <w:uiPriority w:val="20"/>
    <w:qFormat/>
    <w:rsid w:val="00CB7CE4"/>
    <w:rPr>
      <w:i/>
      <w:iCs/>
    </w:rPr>
  </w:style>
  <w:style w:type="character" w:customStyle="1" w:styleId="coconcept4558">
    <w:name w:val="co_concept_45_58"/>
    <w:basedOn w:val="DefaultParagraphFont"/>
    <w:rsid w:val="00CB7CE4"/>
  </w:style>
  <w:style w:type="character" w:customStyle="1" w:styleId="coconcept6070">
    <w:name w:val="co_concept_60_70"/>
    <w:basedOn w:val="DefaultParagraphFont"/>
    <w:rsid w:val="00CB7CE4"/>
  </w:style>
  <w:style w:type="character" w:styleId="CommentReference">
    <w:name w:val="annotation reference"/>
    <w:basedOn w:val="DefaultParagraphFont"/>
    <w:semiHidden/>
    <w:unhideWhenUsed/>
    <w:rsid w:val="00FB4EE2"/>
    <w:rPr>
      <w:sz w:val="16"/>
      <w:szCs w:val="16"/>
    </w:rPr>
  </w:style>
  <w:style w:type="paragraph" w:styleId="CommentText">
    <w:name w:val="annotation text"/>
    <w:basedOn w:val="Normal"/>
    <w:link w:val="CommentTextChar"/>
    <w:semiHidden/>
    <w:unhideWhenUsed/>
    <w:rsid w:val="00FB4EE2"/>
    <w:rPr>
      <w:sz w:val="20"/>
      <w:szCs w:val="20"/>
    </w:rPr>
  </w:style>
  <w:style w:type="character" w:customStyle="1" w:styleId="CommentTextChar">
    <w:name w:val="Comment Text Char"/>
    <w:basedOn w:val="DefaultParagraphFont"/>
    <w:link w:val="CommentText"/>
    <w:semiHidden/>
    <w:rsid w:val="00FB4EE2"/>
  </w:style>
  <w:style w:type="paragraph" w:styleId="CommentSubject">
    <w:name w:val="annotation subject"/>
    <w:basedOn w:val="CommentText"/>
    <w:next w:val="CommentText"/>
    <w:link w:val="CommentSubjectChar"/>
    <w:semiHidden/>
    <w:unhideWhenUsed/>
    <w:rsid w:val="00FB4EE2"/>
    <w:rPr>
      <w:b/>
      <w:bCs/>
    </w:rPr>
  </w:style>
  <w:style w:type="character" w:customStyle="1" w:styleId="CommentSubjectChar">
    <w:name w:val="Comment Subject Char"/>
    <w:basedOn w:val="CommentTextChar"/>
    <w:link w:val="CommentSubject"/>
    <w:semiHidden/>
    <w:rsid w:val="00FB4EE2"/>
    <w:rPr>
      <w:b/>
      <w:bCs/>
    </w:rPr>
  </w:style>
  <w:style w:type="paragraph" w:styleId="BalloonText">
    <w:name w:val="Balloon Text"/>
    <w:basedOn w:val="Normal"/>
    <w:link w:val="BalloonTextChar"/>
    <w:semiHidden/>
    <w:unhideWhenUsed/>
    <w:rsid w:val="00FB4EE2"/>
    <w:rPr>
      <w:rFonts w:ascii="Segoe UI" w:hAnsi="Segoe UI" w:cs="Segoe UI"/>
      <w:sz w:val="18"/>
      <w:szCs w:val="18"/>
    </w:rPr>
  </w:style>
  <w:style w:type="character" w:customStyle="1" w:styleId="BalloonTextChar">
    <w:name w:val="Balloon Text Char"/>
    <w:basedOn w:val="DefaultParagraphFont"/>
    <w:link w:val="BalloonText"/>
    <w:semiHidden/>
    <w:rsid w:val="00FB4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38736673">
      <w:bodyDiv w:val="1"/>
      <w:marLeft w:val="0"/>
      <w:marRight w:val="0"/>
      <w:marTop w:val="0"/>
      <w:marBottom w:val="0"/>
      <w:divBdr>
        <w:top w:val="none" w:sz="0" w:space="0" w:color="auto"/>
        <w:left w:val="none" w:sz="0" w:space="0" w:color="auto"/>
        <w:bottom w:val="none" w:sz="0" w:space="0" w:color="auto"/>
        <w:right w:val="none" w:sz="0" w:space="0" w:color="auto"/>
      </w:divBdr>
      <w:divsChild>
        <w:div w:id="1702709344">
          <w:marLeft w:val="0"/>
          <w:marRight w:val="0"/>
          <w:marTop w:val="0"/>
          <w:marBottom w:val="0"/>
          <w:divBdr>
            <w:top w:val="none" w:sz="0" w:space="0" w:color="3D3D3D"/>
            <w:left w:val="none" w:sz="0" w:space="0" w:color="3D3D3D"/>
            <w:bottom w:val="none" w:sz="0" w:space="0" w:color="3D3D3D"/>
            <w:right w:val="none" w:sz="0" w:space="0" w:color="3D3D3D"/>
          </w:divBdr>
          <w:divsChild>
            <w:div w:id="10766359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28BF-38D0-4AF0-A167-361C321F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2024-06-19T15:05:00Z</dcterms:created>
  <dcterms:modified xsi:type="dcterms:W3CDTF">2024-06-19T16:00:00Z</dcterms:modified>
</cp:coreProperties>
</file>