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418D7FF8"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51A5BAB6" w14:textId="77777777" w:rsidR="007C0528" w:rsidRDefault="007C0528" w:rsidP="00532DFB">
            <w:pPr>
              <w:pStyle w:val="MastHeadState"/>
            </w:pPr>
            <w:bookmarkStart w:id="0" w:name="_GoBack"/>
            <w:bookmarkEnd w:id="0"/>
            <w:r>
              <w:t>State of Florida</w:t>
            </w:r>
          </w:p>
          <w:p w14:paraId="5DF8B540" w14:textId="77777777" w:rsidR="007C0528" w:rsidRDefault="00072CCA">
            <w:pPr>
              <w:jc w:val="center"/>
            </w:pPr>
            <w:r>
              <w:rPr>
                <w:noProof/>
              </w:rPr>
              <w:drawing>
                <wp:inline distT="0" distB="0" distL="0" distR="0" wp14:anchorId="2DA318A0" wp14:editId="64F4896A">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94E4FFD"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3C5F5A6D" w14:textId="77777777" w:rsidR="007C0528" w:rsidRDefault="007C0528">
            <w:pPr>
              <w:pStyle w:val="MastHeadPSC"/>
            </w:pPr>
            <w:r>
              <w:t>Public Service Commission</w:t>
            </w:r>
          </w:p>
          <w:p w14:paraId="311CE64F" w14:textId="77777777" w:rsidR="007C0528" w:rsidRDefault="007C0528">
            <w:pPr>
              <w:pStyle w:val="MastHeadAddress"/>
            </w:pPr>
            <w:r>
              <w:t>Capital Circle Office Center ● 2540 Shumard Oak Boulevard</w:t>
            </w:r>
            <w:r>
              <w:br/>
              <w:t>Tallahassee, Florida 32399-0850</w:t>
            </w:r>
          </w:p>
          <w:p w14:paraId="3CBC2EF4" w14:textId="77777777" w:rsidR="007C0528" w:rsidRDefault="007C0528">
            <w:pPr>
              <w:pStyle w:val="MastHeadMemorandum"/>
            </w:pPr>
            <w:r>
              <w:t>-M-E-M-O-R-A-N-D-U-M-</w:t>
            </w:r>
          </w:p>
          <w:p w14:paraId="1A6220B5" w14:textId="77777777" w:rsidR="007C0528" w:rsidRDefault="007C0528">
            <w:pPr>
              <w:pStyle w:val="MemoHeading"/>
            </w:pPr>
          </w:p>
        </w:tc>
      </w:tr>
      <w:tr w:rsidR="007C0528" w14:paraId="0E44D64D"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C731A1E"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16BDE69D" w14:textId="77777777" w:rsidR="007C0528" w:rsidRDefault="00082D33">
            <w:pPr>
              <w:pStyle w:val="MemoHeading"/>
            </w:pPr>
            <w:bookmarkStart w:id="1" w:name="FilingDate"/>
            <w:r>
              <w:t>June 27, 2024</w:t>
            </w:r>
            <w:bookmarkEnd w:id="1"/>
          </w:p>
        </w:tc>
      </w:tr>
      <w:tr w:rsidR="007C0528" w14:paraId="20FE2379" w14:textId="77777777">
        <w:tc>
          <w:tcPr>
            <w:tcW w:w="1254" w:type="dxa"/>
            <w:tcBorders>
              <w:top w:val="nil"/>
              <w:left w:val="nil"/>
              <w:bottom w:val="nil"/>
              <w:right w:val="nil"/>
            </w:tcBorders>
            <w:shd w:val="clear" w:color="auto" w:fill="auto"/>
            <w:tcMar>
              <w:top w:w="288" w:type="dxa"/>
              <w:bottom w:w="0" w:type="dxa"/>
              <w:right w:w="0" w:type="dxa"/>
            </w:tcMar>
          </w:tcPr>
          <w:p w14:paraId="01DE0378"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D37CE9D" w14:textId="77777777" w:rsidR="007C0528" w:rsidRDefault="007C0528" w:rsidP="0093658B">
            <w:pPr>
              <w:pStyle w:val="MemoHeading"/>
            </w:pPr>
            <w:r>
              <w:t>Office of Commission Clerk (</w:t>
            </w:r>
            <w:r w:rsidR="004E69B5">
              <w:t>Teitzman</w:t>
            </w:r>
            <w:r>
              <w:t>)</w:t>
            </w:r>
          </w:p>
        </w:tc>
      </w:tr>
      <w:tr w:rsidR="007C0528" w14:paraId="7AC04A30" w14:textId="77777777">
        <w:tc>
          <w:tcPr>
            <w:tcW w:w="1254" w:type="dxa"/>
            <w:tcBorders>
              <w:top w:val="nil"/>
              <w:left w:val="nil"/>
              <w:bottom w:val="nil"/>
              <w:right w:val="nil"/>
            </w:tcBorders>
            <w:shd w:val="clear" w:color="auto" w:fill="auto"/>
            <w:tcMar>
              <w:top w:w="288" w:type="dxa"/>
              <w:right w:w="0" w:type="dxa"/>
            </w:tcMar>
          </w:tcPr>
          <w:p w14:paraId="50A3998B"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F46595E" w14:textId="7FAA0B56" w:rsidR="00082D33" w:rsidRDefault="00082D33">
            <w:pPr>
              <w:pStyle w:val="MemoHeading"/>
            </w:pPr>
            <w:bookmarkStart w:id="2" w:name="From"/>
            <w:r>
              <w:t>Division of Economics (</w:t>
            </w:r>
            <w:r w:rsidR="007813B0">
              <w:t xml:space="preserve">McClelland, </w:t>
            </w:r>
            <w:r>
              <w:t>Hampson, Hudson)</w:t>
            </w:r>
          </w:p>
          <w:p w14:paraId="38DF25E5" w14:textId="284F2FD9" w:rsidR="00082D33" w:rsidRDefault="00082D33">
            <w:pPr>
              <w:pStyle w:val="MemoHeading"/>
            </w:pPr>
            <w:r>
              <w:t>Division of Accounting and Finance (Vogel, Norris)</w:t>
            </w:r>
          </w:p>
          <w:p w14:paraId="40403865" w14:textId="77777777" w:rsidR="007C0528" w:rsidRDefault="00082D33">
            <w:pPr>
              <w:pStyle w:val="MemoHeading"/>
            </w:pPr>
            <w:r>
              <w:t>Office of the General Counsel (Stiller, Crawford)</w:t>
            </w:r>
            <w:bookmarkEnd w:id="2"/>
          </w:p>
        </w:tc>
      </w:tr>
      <w:tr w:rsidR="007C0528" w14:paraId="42EDE646" w14:textId="77777777">
        <w:tc>
          <w:tcPr>
            <w:tcW w:w="1254" w:type="dxa"/>
            <w:tcBorders>
              <w:top w:val="nil"/>
              <w:left w:val="nil"/>
              <w:bottom w:val="nil"/>
              <w:right w:val="nil"/>
            </w:tcBorders>
            <w:shd w:val="clear" w:color="auto" w:fill="auto"/>
            <w:tcMar>
              <w:top w:w="288" w:type="dxa"/>
              <w:right w:w="0" w:type="dxa"/>
            </w:tcMar>
          </w:tcPr>
          <w:p w14:paraId="3DEB08ED"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CC23EBD" w14:textId="77777777" w:rsidR="007C0528" w:rsidRDefault="00082D33">
            <w:pPr>
              <w:pStyle w:val="MemoHeadingRe"/>
            </w:pPr>
            <w:bookmarkStart w:id="3" w:name="Re"/>
            <w:r>
              <w:t>Docket No. 20200039-GU – Petition for approval to implement a temporary storm cost recovery surcharge, by St. Joe Natural Gas Company.</w:t>
            </w:r>
            <w:bookmarkEnd w:id="3"/>
          </w:p>
        </w:tc>
      </w:tr>
      <w:tr w:rsidR="007C0528" w14:paraId="3B4F07FE" w14:textId="77777777">
        <w:tc>
          <w:tcPr>
            <w:tcW w:w="1254" w:type="dxa"/>
            <w:tcBorders>
              <w:top w:val="nil"/>
              <w:left w:val="nil"/>
              <w:bottom w:val="nil"/>
              <w:right w:val="nil"/>
            </w:tcBorders>
            <w:shd w:val="clear" w:color="auto" w:fill="auto"/>
            <w:tcMar>
              <w:top w:w="288" w:type="dxa"/>
              <w:bottom w:w="0" w:type="dxa"/>
              <w:right w:w="0" w:type="dxa"/>
            </w:tcMar>
          </w:tcPr>
          <w:p w14:paraId="3BA7F0F5"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34D3C590" w14:textId="56B14313" w:rsidR="007C0528" w:rsidRDefault="00082D33" w:rsidP="002A08BB">
            <w:pPr>
              <w:pStyle w:val="MemoHeading"/>
            </w:pPr>
            <w:bookmarkStart w:id="4" w:name="AgendaDate"/>
            <w:r>
              <w:t>07/09/24</w:t>
            </w:r>
            <w:bookmarkEnd w:id="4"/>
            <w:r w:rsidR="007C0528">
              <w:t xml:space="preserve"> – </w:t>
            </w:r>
            <w:bookmarkStart w:id="5" w:name="PermittedStatus"/>
            <w:r>
              <w:t>Regular Agenda</w:t>
            </w:r>
            <w:r w:rsidR="001E3B9A">
              <w:t xml:space="preserve"> – </w:t>
            </w:r>
            <w:r w:rsidR="002A08BB">
              <w:t>Tariff Filing</w:t>
            </w:r>
            <w:r>
              <w:t xml:space="preserve"> – Interested Persons May Participate</w:t>
            </w:r>
            <w:bookmarkEnd w:id="5"/>
          </w:p>
        </w:tc>
      </w:tr>
      <w:tr w:rsidR="007C0528" w14:paraId="5C60A749" w14:textId="77777777">
        <w:tc>
          <w:tcPr>
            <w:tcW w:w="3690" w:type="dxa"/>
            <w:gridSpan w:val="3"/>
            <w:tcBorders>
              <w:top w:val="nil"/>
              <w:left w:val="nil"/>
              <w:bottom w:val="nil"/>
              <w:right w:val="nil"/>
            </w:tcBorders>
            <w:shd w:val="clear" w:color="auto" w:fill="auto"/>
            <w:tcMar>
              <w:top w:w="288" w:type="dxa"/>
              <w:bottom w:w="0" w:type="dxa"/>
              <w:right w:w="0" w:type="dxa"/>
            </w:tcMar>
          </w:tcPr>
          <w:p w14:paraId="61F27D94"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EC87C98" w14:textId="77777777" w:rsidR="007C0528" w:rsidRDefault="00082D33">
            <w:pPr>
              <w:pStyle w:val="MemoHeading"/>
            </w:pPr>
            <w:bookmarkStart w:id="6" w:name="CommissionersAssigned"/>
            <w:r>
              <w:t>All Commissioners</w:t>
            </w:r>
            <w:bookmarkEnd w:id="6"/>
          </w:p>
        </w:tc>
      </w:tr>
      <w:tr w:rsidR="007C0528" w14:paraId="04AD3549" w14:textId="77777777">
        <w:tc>
          <w:tcPr>
            <w:tcW w:w="3690" w:type="dxa"/>
            <w:gridSpan w:val="3"/>
            <w:tcBorders>
              <w:top w:val="nil"/>
              <w:left w:val="nil"/>
              <w:bottom w:val="nil"/>
              <w:right w:val="nil"/>
            </w:tcBorders>
            <w:shd w:val="clear" w:color="auto" w:fill="auto"/>
            <w:tcMar>
              <w:top w:w="288" w:type="dxa"/>
              <w:bottom w:w="0" w:type="dxa"/>
              <w:right w:w="0" w:type="dxa"/>
            </w:tcMar>
          </w:tcPr>
          <w:p w14:paraId="02FE9415"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7B83A711" w14:textId="77777777" w:rsidR="007C0528" w:rsidRDefault="00082D33">
            <w:pPr>
              <w:pStyle w:val="MemoHeading"/>
            </w:pPr>
            <w:bookmarkStart w:id="7" w:name="PrehearingOfficer"/>
            <w:r>
              <w:t>Graham</w:t>
            </w:r>
            <w:bookmarkEnd w:id="7"/>
          </w:p>
        </w:tc>
      </w:tr>
      <w:tr w:rsidR="007C0528" w14:paraId="53DE4F40"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3E1F08A"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0DD58865" w14:textId="77777777" w:rsidR="007C0528" w:rsidRDefault="00082D33">
            <w:pPr>
              <w:pStyle w:val="MemoHeading"/>
            </w:pPr>
            <w:bookmarkStart w:id="9" w:name="CriticalDates"/>
            <w:r>
              <w:t>None</w:t>
            </w:r>
            <w:bookmarkEnd w:id="9"/>
          </w:p>
        </w:tc>
      </w:tr>
      <w:tr w:rsidR="007C0528" w14:paraId="4B7E78AC"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12932BCF"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33046AB5" w14:textId="77777777" w:rsidR="007C0528" w:rsidRDefault="00082D33">
            <w:pPr>
              <w:pStyle w:val="MemoHeading"/>
            </w:pPr>
            <w:bookmarkStart w:id="10" w:name="SpecialInstructions"/>
            <w:r>
              <w:t>None</w:t>
            </w:r>
            <w:bookmarkEnd w:id="10"/>
          </w:p>
        </w:tc>
      </w:tr>
    </w:tbl>
    <w:p w14:paraId="4DE82CEF" w14:textId="77777777" w:rsidR="007C0528" w:rsidRDefault="007C0528">
      <w:pPr>
        <w:pStyle w:val="BodyText"/>
      </w:pPr>
    </w:p>
    <w:p w14:paraId="5F10AD7B"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376397E3" w14:textId="0778167F" w:rsidR="0050266E" w:rsidRDefault="00215651" w:rsidP="00215651">
      <w:pPr>
        <w:pStyle w:val="BodyText"/>
        <w:rPr>
          <w:w w:val="105"/>
        </w:rPr>
      </w:pPr>
      <w:r>
        <w:rPr>
          <w:color w:val="262626"/>
          <w:w w:val="105"/>
        </w:rPr>
        <w:t xml:space="preserve">On January </w:t>
      </w:r>
      <w:r>
        <w:rPr>
          <w:w w:val="105"/>
        </w:rPr>
        <w:t>24</w:t>
      </w:r>
      <w:r>
        <w:rPr>
          <w:color w:val="525252"/>
          <w:w w:val="105"/>
        </w:rPr>
        <w:t xml:space="preserve">, </w:t>
      </w:r>
      <w:r>
        <w:rPr>
          <w:color w:val="262626"/>
          <w:w w:val="105"/>
        </w:rPr>
        <w:t>2020</w:t>
      </w:r>
      <w:r>
        <w:rPr>
          <w:color w:val="6E6E70"/>
          <w:w w:val="105"/>
        </w:rPr>
        <w:t xml:space="preserve">, </w:t>
      </w:r>
      <w:r>
        <w:rPr>
          <w:w w:val="105"/>
        </w:rPr>
        <w:t xml:space="preserve">St. </w:t>
      </w:r>
      <w:r>
        <w:rPr>
          <w:color w:val="262626"/>
          <w:w w:val="105"/>
        </w:rPr>
        <w:t xml:space="preserve">Joe </w:t>
      </w:r>
      <w:r>
        <w:rPr>
          <w:w w:val="105"/>
        </w:rPr>
        <w:t>Natura</w:t>
      </w:r>
      <w:r>
        <w:rPr>
          <w:color w:val="0F0F0F"/>
          <w:w w:val="105"/>
        </w:rPr>
        <w:t xml:space="preserve">l </w:t>
      </w:r>
      <w:r>
        <w:rPr>
          <w:color w:val="262626"/>
          <w:w w:val="105"/>
        </w:rPr>
        <w:t xml:space="preserve">Gas </w:t>
      </w:r>
      <w:r>
        <w:rPr>
          <w:w w:val="105"/>
        </w:rPr>
        <w:t>Company (</w:t>
      </w:r>
      <w:r w:rsidR="006C0733">
        <w:rPr>
          <w:w w:val="105"/>
        </w:rPr>
        <w:t>SJNG</w:t>
      </w:r>
      <w:r>
        <w:rPr>
          <w:w w:val="105"/>
        </w:rPr>
        <w:t xml:space="preserve"> </w:t>
      </w:r>
      <w:r>
        <w:rPr>
          <w:color w:val="262626"/>
          <w:w w:val="105"/>
        </w:rPr>
        <w:t xml:space="preserve">or </w:t>
      </w:r>
      <w:r w:rsidR="006C0733">
        <w:rPr>
          <w:w w:val="105"/>
        </w:rPr>
        <w:t>Company</w:t>
      </w:r>
      <w:r>
        <w:rPr>
          <w:w w:val="105"/>
        </w:rPr>
        <w:t xml:space="preserve">) </w:t>
      </w:r>
      <w:r>
        <w:rPr>
          <w:color w:val="262626"/>
          <w:w w:val="105"/>
        </w:rPr>
        <w:t xml:space="preserve">filed its </w:t>
      </w:r>
      <w:r>
        <w:rPr>
          <w:w w:val="105"/>
        </w:rPr>
        <w:t xml:space="preserve">petition </w:t>
      </w:r>
      <w:r>
        <w:rPr>
          <w:color w:val="262626"/>
          <w:w w:val="105"/>
        </w:rPr>
        <w:t>to recove</w:t>
      </w:r>
      <w:r>
        <w:rPr>
          <w:color w:val="525252"/>
          <w:w w:val="105"/>
        </w:rPr>
        <w:t>r i</w:t>
      </w:r>
      <w:r>
        <w:rPr>
          <w:color w:val="262626"/>
          <w:w w:val="105"/>
        </w:rPr>
        <w:t xml:space="preserve">ncremental </w:t>
      </w:r>
      <w:r>
        <w:rPr>
          <w:w w:val="105"/>
        </w:rPr>
        <w:t>storm restoration costs related to Hurricane Michael</w:t>
      </w:r>
      <w:r w:rsidR="00D71AA5">
        <w:rPr>
          <w:w w:val="105"/>
        </w:rPr>
        <w:t xml:space="preserve"> through a temporary</w:t>
      </w:r>
      <w:r w:rsidR="00A62FA8">
        <w:rPr>
          <w:w w:val="105"/>
        </w:rPr>
        <w:t xml:space="preserve"> storm cost recovery surcharge</w:t>
      </w:r>
      <w:r>
        <w:rPr>
          <w:w w:val="105"/>
        </w:rPr>
        <w:t xml:space="preserve">. </w:t>
      </w:r>
      <w:r w:rsidR="006C0733">
        <w:rPr>
          <w:w w:val="105"/>
        </w:rPr>
        <w:t>SJNG’</w:t>
      </w:r>
      <w:r>
        <w:rPr>
          <w:w w:val="105"/>
        </w:rPr>
        <w:t xml:space="preserve">s service area includes Mexico </w:t>
      </w:r>
      <w:r>
        <w:rPr>
          <w:color w:val="262626"/>
          <w:w w:val="105"/>
        </w:rPr>
        <w:t xml:space="preserve">Beach </w:t>
      </w:r>
      <w:r>
        <w:rPr>
          <w:w w:val="105"/>
        </w:rPr>
        <w:t xml:space="preserve">and Port </w:t>
      </w:r>
      <w:r>
        <w:rPr>
          <w:color w:val="262626"/>
          <w:w w:val="105"/>
        </w:rPr>
        <w:t xml:space="preserve">St. </w:t>
      </w:r>
      <w:r>
        <w:rPr>
          <w:color w:val="0F0F0F"/>
          <w:w w:val="105"/>
        </w:rPr>
        <w:t>J</w:t>
      </w:r>
      <w:r>
        <w:rPr>
          <w:w w:val="105"/>
        </w:rPr>
        <w:t>oe</w:t>
      </w:r>
      <w:r>
        <w:rPr>
          <w:color w:val="525252"/>
          <w:w w:val="105"/>
        </w:rPr>
        <w:t xml:space="preserve">, </w:t>
      </w:r>
      <w:r>
        <w:rPr>
          <w:w w:val="105"/>
        </w:rPr>
        <w:t xml:space="preserve">and </w:t>
      </w:r>
      <w:r>
        <w:rPr>
          <w:color w:val="262626"/>
          <w:w w:val="105"/>
        </w:rPr>
        <w:t xml:space="preserve">its </w:t>
      </w:r>
      <w:r>
        <w:rPr>
          <w:w w:val="105"/>
        </w:rPr>
        <w:t>natural gas distribution system sustained significan</w:t>
      </w:r>
      <w:r>
        <w:rPr>
          <w:color w:val="525252"/>
          <w:w w:val="105"/>
        </w:rPr>
        <w:t xml:space="preserve">t </w:t>
      </w:r>
      <w:r>
        <w:rPr>
          <w:color w:val="262626"/>
          <w:w w:val="105"/>
        </w:rPr>
        <w:t xml:space="preserve">damage </w:t>
      </w:r>
      <w:r>
        <w:rPr>
          <w:w w:val="105"/>
        </w:rPr>
        <w:t xml:space="preserve">as a </w:t>
      </w:r>
      <w:r>
        <w:rPr>
          <w:color w:val="262626"/>
          <w:w w:val="105"/>
        </w:rPr>
        <w:t xml:space="preserve">result </w:t>
      </w:r>
      <w:r>
        <w:rPr>
          <w:w w:val="105"/>
        </w:rPr>
        <w:t xml:space="preserve">of Hurricane Michael. The </w:t>
      </w:r>
      <w:r w:rsidR="00852869">
        <w:rPr>
          <w:w w:val="105"/>
        </w:rPr>
        <w:t>Company</w:t>
      </w:r>
      <w:r>
        <w:rPr>
          <w:w w:val="105"/>
        </w:rPr>
        <w:t xml:space="preserve"> </w:t>
      </w:r>
      <w:r w:rsidR="00A62FA8">
        <w:rPr>
          <w:w w:val="105"/>
        </w:rPr>
        <w:t xml:space="preserve">requested the recovery of $381,512 in incremental storm costs, </w:t>
      </w:r>
      <w:r w:rsidR="005E4AAC">
        <w:rPr>
          <w:w w:val="105"/>
        </w:rPr>
        <w:t xml:space="preserve">as it had </w:t>
      </w:r>
      <w:r>
        <w:rPr>
          <w:w w:val="105"/>
        </w:rPr>
        <w:t>incurred incremental costs of $321,012</w:t>
      </w:r>
      <w:r w:rsidR="005E4AAC">
        <w:rPr>
          <w:w w:val="105"/>
        </w:rPr>
        <w:t xml:space="preserve"> and projected $60,500 in remaining costs to complete the restoration of its gas system</w:t>
      </w:r>
      <w:r>
        <w:rPr>
          <w:w w:val="105"/>
        </w:rPr>
        <w:t xml:space="preserve">. </w:t>
      </w:r>
      <w:r w:rsidR="0050266E">
        <w:rPr>
          <w:w w:val="105"/>
        </w:rPr>
        <w:t xml:space="preserve">The Office of Public Counsel </w:t>
      </w:r>
      <w:r w:rsidR="000214D8" w:rsidRPr="000214D8">
        <w:rPr>
          <w:w w:val="105"/>
        </w:rPr>
        <w:t>(OPC)</w:t>
      </w:r>
      <w:r w:rsidR="0050266E">
        <w:rPr>
          <w:w w:val="105"/>
        </w:rPr>
        <w:t xml:space="preserve"> subsequently filed a notice of intervention in the docket, </w:t>
      </w:r>
      <w:r w:rsidR="000214D8" w:rsidRPr="000214D8">
        <w:rPr>
          <w:w w:val="105"/>
        </w:rPr>
        <w:t>as acknowledged by Order No. PSC-2020-0066-GU, issued March 2, 2020</w:t>
      </w:r>
      <w:r w:rsidR="0050266E">
        <w:rPr>
          <w:w w:val="105"/>
        </w:rPr>
        <w:t xml:space="preserve">. </w:t>
      </w:r>
    </w:p>
    <w:p w14:paraId="35608CAC" w14:textId="3DBCD9D0" w:rsidR="00CE5329" w:rsidRDefault="00215651" w:rsidP="0050266E">
      <w:pPr>
        <w:pStyle w:val="BodyText"/>
      </w:pPr>
      <w:r>
        <w:rPr>
          <w:w w:val="105"/>
        </w:rPr>
        <w:lastRenderedPageBreak/>
        <w:t xml:space="preserve">On </w:t>
      </w:r>
      <w:r w:rsidR="00017D90">
        <w:rPr>
          <w:w w:val="105"/>
        </w:rPr>
        <w:t>April 20</w:t>
      </w:r>
      <w:r>
        <w:rPr>
          <w:w w:val="105"/>
        </w:rPr>
        <w:t>, 202</w:t>
      </w:r>
      <w:r w:rsidR="00017D90">
        <w:rPr>
          <w:w w:val="105"/>
        </w:rPr>
        <w:t>0</w:t>
      </w:r>
      <w:r>
        <w:rPr>
          <w:w w:val="105"/>
        </w:rPr>
        <w:t xml:space="preserve">, the Commission </w:t>
      </w:r>
      <w:r w:rsidR="005E4AAC">
        <w:rPr>
          <w:w w:val="105"/>
        </w:rPr>
        <w:t xml:space="preserve">issued an order </w:t>
      </w:r>
      <w:r>
        <w:t>approv</w:t>
      </w:r>
      <w:r w:rsidR="005E4AAC">
        <w:t>ing</w:t>
      </w:r>
      <w:r>
        <w:t xml:space="preserve"> </w:t>
      </w:r>
      <w:r w:rsidR="00F36F02">
        <w:t xml:space="preserve">the collection of </w:t>
      </w:r>
      <w:r>
        <w:t>a</w:t>
      </w:r>
      <w:r w:rsidR="00D37AF6">
        <w:t xml:space="preserve">n interim </w:t>
      </w:r>
      <w:r>
        <w:t xml:space="preserve">storm </w:t>
      </w:r>
      <w:r w:rsidR="005E4AAC">
        <w:t xml:space="preserve">cost </w:t>
      </w:r>
      <w:r>
        <w:t>recovery surcharge</w:t>
      </w:r>
      <w:r w:rsidR="00F36F02">
        <w:t xml:space="preserve"> over a period of 48 months</w:t>
      </w:r>
      <w:r w:rsidR="008E69BD">
        <w:t>.</w:t>
      </w:r>
      <w:r w:rsidR="009F6627">
        <w:rPr>
          <w:rStyle w:val="FootnoteReference"/>
        </w:rPr>
        <w:footnoteReference w:id="1"/>
      </w:r>
      <w:r w:rsidR="0050266E" w:rsidRPr="0050266E">
        <w:t xml:space="preserve"> On February 19, 2021, </w:t>
      </w:r>
      <w:r w:rsidR="006C0733">
        <w:t>SJNG</w:t>
      </w:r>
      <w:r w:rsidR="0050266E" w:rsidRPr="0050266E">
        <w:t xml:space="preserve"> filed a request to approve final costs based on an actual amount of $402,720 in incremental storm restoration costs</w:t>
      </w:r>
      <w:r w:rsidR="0050266E">
        <w:t xml:space="preserve">. Shortly thereafter, the </w:t>
      </w:r>
      <w:r w:rsidR="00852869">
        <w:t>Company</w:t>
      </w:r>
      <w:r w:rsidR="0050266E">
        <w:t xml:space="preserve"> and OPC filed a</w:t>
      </w:r>
      <w:r w:rsidR="0050266E" w:rsidRPr="0050266E">
        <w:t xml:space="preserve"> Joint Petition for Approval of Stipulation and Settlement (Settlement Agreement)</w:t>
      </w:r>
      <w:r w:rsidR="0050266E">
        <w:t xml:space="preserve">, which </w:t>
      </w:r>
      <w:r w:rsidR="00017D90">
        <w:t>the</w:t>
      </w:r>
      <w:r>
        <w:t xml:space="preserve"> Commission approved </w:t>
      </w:r>
      <w:r w:rsidR="0050266E">
        <w:t xml:space="preserve">by </w:t>
      </w:r>
      <w:r>
        <w:t>Order No. PSC-2021-0196-AS-GU</w:t>
      </w:r>
      <w:r w:rsidR="00AF18F0">
        <w:t>.</w:t>
      </w:r>
      <w:r w:rsidR="0035231A">
        <w:rPr>
          <w:rStyle w:val="FootnoteReference"/>
        </w:rPr>
        <w:footnoteReference w:id="2"/>
      </w:r>
    </w:p>
    <w:p w14:paraId="1DDC2DAA" w14:textId="2CB60FEB" w:rsidR="00215651" w:rsidRDefault="00AF18F0" w:rsidP="0050266E">
      <w:pPr>
        <w:pStyle w:val="BodyText"/>
      </w:pPr>
      <w:r>
        <w:t>The Settlement Agreement</w:t>
      </w:r>
      <w:r w:rsidR="00215651">
        <w:t xml:space="preserve"> permitt</w:t>
      </w:r>
      <w:r>
        <w:t>ed</w:t>
      </w:r>
      <w:r w:rsidR="00215651">
        <w:t xml:space="preserve"> the </w:t>
      </w:r>
      <w:r w:rsidR="00852869">
        <w:t>Company</w:t>
      </w:r>
      <w:r w:rsidR="00215651">
        <w:t xml:space="preserve"> to recover a total of $330,115</w:t>
      </w:r>
      <w:r w:rsidR="00E816A1">
        <w:t xml:space="preserve"> in storm costs through the surcharge t</w:t>
      </w:r>
      <w:r>
        <w:t>hat had been previously approved on an interim basis</w:t>
      </w:r>
      <w:r w:rsidR="004767E9">
        <w:t xml:space="preserve">, </w:t>
      </w:r>
      <w:r w:rsidRPr="00AF18F0">
        <w:t>by Order No. PSC-2020-0117-PCU-GU</w:t>
      </w:r>
      <w:r>
        <w:t>.</w:t>
      </w:r>
      <w:r w:rsidR="008D3F3D">
        <w:t xml:space="preserve"> </w:t>
      </w:r>
      <w:r w:rsidR="00215651">
        <w:t>The surcharge was to extend through December 2024</w:t>
      </w:r>
      <w:r w:rsidR="00CE5329">
        <w:t>, at which time it would cease, with a</w:t>
      </w:r>
      <w:r w:rsidR="00CE5329" w:rsidRPr="00CE5329">
        <w:t>ny under or over-recovery handled through the Natural Gas Conservation Cost Recovery Clause</w:t>
      </w:r>
      <w:r w:rsidR="00215651">
        <w:t xml:space="preserve">. </w:t>
      </w:r>
      <w:r w:rsidR="00122513">
        <w:t xml:space="preserve">At the conclusion of the </w:t>
      </w:r>
      <w:r w:rsidR="00CE5329">
        <w:t xml:space="preserve">surcharge, </w:t>
      </w:r>
      <w:r w:rsidR="006C0733">
        <w:t>SJNG</w:t>
      </w:r>
      <w:r w:rsidR="00CE5329">
        <w:t xml:space="preserve"> would</w:t>
      </w:r>
      <w:r w:rsidR="00CE5329" w:rsidRPr="00CE5329">
        <w:t xml:space="preserve"> record $77,761 associated with the remaining life value of lost capital assets in </w:t>
      </w:r>
      <w:r w:rsidR="00CE5329">
        <w:t>a regulatory asset and recover the</w:t>
      </w:r>
      <w:r w:rsidR="00CE5329" w:rsidRPr="00CE5329">
        <w:t xml:space="preserve"> amount over a period of 10 years through an increase to the </w:t>
      </w:r>
      <w:r w:rsidR="00852869">
        <w:t>Company</w:t>
      </w:r>
      <w:r w:rsidR="00CE5329" w:rsidRPr="00CE5329">
        <w:t>’s base rates</w:t>
      </w:r>
      <w:r w:rsidR="00916198">
        <w:t>, with an anticipated implementation of January 1, 2025.</w:t>
      </w:r>
    </w:p>
    <w:p w14:paraId="22D08E67" w14:textId="1FD57136" w:rsidR="00FC3ECD" w:rsidRDefault="00215651">
      <w:pPr>
        <w:pStyle w:val="BodyText"/>
      </w:pPr>
      <w:r>
        <w:t xml:space="preserve">On May 30, 2024, </w:t>
      </w:r>
      <w:r w:rsidR="006C0733">
        <w:t>SJNG</w:t>
      </w:r>
      <w:r>
        <w:t xml:space="preserve"> filed a letter stating that</w:t>
      </w:r>
      <w:r w:rsidR="005A4D95">
        <w:t xml:space="preserve"> as of May 2024</w:t>
      </w:r>
      <w:r>
        <w:t xml:space="preserve"> the </w:t>
      </w:r>
      <w:r w:rsidR="00852869">
        <w:t>Company</w:t>
      </w:r>
      <w:r>
        <w:t xml:space="preserve"> has recovered more than the amount</w:t>
      </w:r>
      <w:r w:rsidR="00CE5329">
        <w:t xml:space="preserve"> permitted in the Settlement Agreement</w:t>
      </w:r>
      <w:r>
        <w:t xml:space="preserve">. </w:t>
      </w:r>
      <w:r w:rsidR="006C0733">
        <w:t>SJNG</w:t>
      </w:r>
      <w:r>
        <w:t xml:space="preserve"> is requesting to terminate the storm cost recovery surcharge </w:t>
      </w:r>
      <w:r w:rsidR="00FC3ECD">
        <w:t xml:space="preserve">early, as </w:t>
      </w:r>
      <w:r w:rsidR="00852869">
        <w:t xml:space="preserve">it </w:t>
      </w:r>
      <w:r w:rsidR="008E69BD">
        <w:t>h</w:t>
      </w:r>
      <w:r w:rsidR="00852869">
        <w:t>as</w:t>
      </w:r>
      <w:r w:rsidR="00FC3ECD">
        <w:t xml:space="preserve"> collected the agreed-upon amount, and will handle any over or under-recovery consistent with the Settlement Agreement. </w:t>
      </w:r>
      <w:r w:rsidR="00916198">
        <w:t xml:space="preserve">The </w:t>
      </w:r>
      <w:r w:rsidR="00852869">
        <w:t>Company subsequently</w:t>
      </w:r>
      <w:r w:rsidR="00916198">
        <w:t xml:space="preserve"> also provided an </w:t>
      </w:r>
      <w:r w:rsidR="00852869">
        <w:t>update</w:t>
      </w:r>
      <w:r w:rsidR="00916198">
        <w:t xml:space="preserve"> of the current and projected over-recovery amounts.</w:t>
      </w:r>
      <w:r w:rsidR="00916198">
        <w:rPr>
          <w:rStyle w:val="FootnoteReference"/>
        </w:rPr>
        <w:footnoteReference w:id="3"/>
      </w:r>
      <w:r w:rsidR="004E462A">
        <w:t xml:space="preserve"> </w:t>
      </w:r>
      <w:r w:rsidR="00FC3ECD">
        <w:t xml:space="preserve">The </w:t>
      </w:r>
      <w:r w:rsidR="00852869">
        <w:t>Company</w:t>
      </w:r>
      <w:r w:rsidR="00FC3ECD">
        <w:t xml:space="preserve"> has also filed a Fourth Revised Sheet No. 83</w:t>
      </w:r>
      <w:r w:rsidR="0065492B">
        <w:t xml:space="preserve"> reflecting termination of </w:t>
      </w:r>
      <w:r w:rsidR="00FC3ECD">
        <w:t>the surcharge, which is included as Attachment A to this recommendation.</w:t>
      </w:r>
      <w:r w:rsidR="0065492B">
        <w:t xml:space="preserve"> </w:t>
      </w:r>
    </w:p>
    <w:p w14:paraId="4BBCB907" w14:textId="70907575" w:rsidR="002A08BB" w:rsidRDefault="002A08BB">
      <w:pPr>
        <w:pStyle w:val="BodyText"/>
      </w:pPr>
      <w:r w:rsidRPr="002A08BB">
        <w:t xml:space="preserve">This docket was closed June 2, 2021, when the Commission entered Order No. PSC-2021-0196-AS-GU approving the Settlement Agreement. On June 4, 2024, staff requested that this docket be reopened for the Commission to consider the requests made in the </w:t>
      </w:r>
      <w:r w:rsidR="00852869">
        <w:t>Company</w:t>
      </w:r>
      <w:r w:rsidRPr="002A08BB">
        <w:t xml:space="preserve">’s May 30, 2024 letter. </w:t>
      </w:r>
    </w:p>
    <w:p w14:paraId="646071FB" w14:textId="4E07D368" w:rsidR="002A08BB" w:rsidRDefault="002A08BB">
      <w:pPr>
        <w:pStyle w:val="BodyText"/>
      </w:pPr>
      <w:r w:rsidRPr="00795630">
        <w:t xml:space="preserve">On June 12, 2024, the </w:t>
      </w:r>
      <w:r w:rsidR="00852869">
        <w:t>Company</w:t>
      </w:r>
      <w:r w:rsidRPr="00795630">
        <w:t>’s legal counsel provided clarification on the process to increase base rates for the recovery of the remaining $77,762 through a regulatory asset</w:t>
      </w:r>
      <w:r>
        <w:t>. Counsel</w:t>
      </w:r>
      <w:r w:rsidRPr="00795630">
        <w:t xml:space="preserve"> </w:t>
      </w:r>
      <w:r>
        <w:t>con</w:t>
      </w:r>
      <w:r w:rsidRPr="00795630">
        <w:t>firmed that</w:t>
      </w:r>
      <w:r>
        <w:t xml:space="preserve"> the regulatory asset would be addressed as a base rate increase to be implemented in January 2025</w:t>
      </w:r>
      <w:r w:rsidRPr="0034584C">
        <w:t xml:space="preserve"> </w:t>
      </w:r>
      <w:r>
        <w:t xml:space="preserve">as set forth in the Settlement Agreement, and </w:t>
      </w:r>
      <w:r w:rsidRPr="00795630">
        <w:t xml:space="preserve">would remain separate and apart from </w:t>
      </w:r>
      <w:r w:rsidR="006C0733">
        <w:t>SJNG</w:t>
      </w:r>
      <w:r w:rsidRPr="00795630">
        <w:t xml:space="preserve">’s </w:t>
      </w:r>
      <w:r>
        <w:t xml:space="preserve">pending </w:t>
      </w:r>
      <w:r w:rsidRPr="00795630">
        <w:t>base rate proceeding in Docket No. 20240046-GU.</w:t>
      </w:r>
      <w:r>
        <w:t xml:space="preserve"> Accordingly, this recommendation addresses only the </w:t>
      </w:r>
      <w:r w:rsidR="00852869">
        <w:t>Company</w:t>
      </w:r>
      <w:r>
        <w:t>’s request for early termination of the surcharge tariff</w:t>
      </w:r>
      <w:r w:rsidR="00852869">
        <w:t>.</w:t>
      </w:r>
    </w:p>
    <w:p w14:paraId="65675410" w14:textId="77777777" w:rsidR="0068481F" w:rsidRDefault="00FC3ECD">
      <w:pPr>
        <w:pStyle w:val="BodyText"/>
      </w:pPr>
      <w:r w:rsidRPr="00FC3ECD">
        <w:t>The Commission has jurisdiction over this matter pursuant to Sections 366.04, 366.05, and 366.06, Florida Statutes (F.S.).</w:t>
      </w:r>
      <w:r>
        <w:t xml:space="preserve"> </w:t>
      </w:r>
    </w:p>
    <w:p w14:paraId="4810E0E0" w14:textId="77777777" w:rsidR="007C0528" w:rsidRDefault="007C0528" w:rsidP="0068481F"/>
    <w:bookmarkEnd w:id="12"/>
    <w:p w14:paraId="4A8FBCE7"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074EC75B" w14:textId="77777777" w:rsidR="007C0528" w:rsidRDefault="007C0528">
      <w:pPr>
        <w:pStyle w:val="RecommendationMajorSectionHeading"/>
      </w:pPr>
      <w:bookmarkStart w:id="16" w:name="DiscussionOfIssues"/>
      <w:r>
        <w:lastRenderedPageBreak/>
        <w:t>Discussion of Issues</w:t>
      </w:r>
    </w:p>
    <w:bookmarkEnd w:id="16"/>
    <w:p w14:paraId="7442B4F0" w14:textId="73F2AF24" w:rsidR="00FC3ECD" w:rsidRDefault="00FC3ECD">
      <w:pPr>
        <w:pStyle w:val="IssueHeading"/>
        <w:rPr>
          <w:vanish/>
          <w:specVanish/>
        </w:rPr>
      </w:pPr>
      <w:r w:rsidRPr="004C3641">
        <w:t xml:space="preserve">Issue </w:t>
      </w:r>
      <w:fldSimple w:instr=" SEQ Issue \* MERGEFORMAT ">
        <w:r w:rsidR="00FA190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A190E">
        <w:rPr>
          <w:noProof/>
        </w:rPr>
        <w:instrText>1</w:instrText>
      </w:r>
      <w:r>
        <w:fldChar w:fldCharType="end"/>
      </w:r>
      <w:r>
        <w:tab/>
        <w:instrText xml:space="preserve">(McClelland)" \l 1 </w:instrText>
      </w:r>
      <w:r>
        <w:fldChar w:fldCharType="end"/>
      </w:r>
      <w:r>
        <w:t> </w:t>
      </w:r>
    </w:p>
    <w:p w14:paraId="3E2454F2" w14:textId="72B75AC3" w:rsidR="00FC3ECD" w:rsidRDefault="00FC3ECD">
      <w:pPr>
        <w:pStyle w:val="BodyText"/>
      </w:pPr>
      <w:r>
        <w:t xml:space="preserve"> Should the Commission approve </w:t>
      </w:r>
      <w:r w:rsidR="006C0733">
        <w:t>SJNG</w:t>
      </w:r>
      <w:r>
        <w:t xml:space="preserve">’s tariff modifications to remove its temporary storm cost recovery surcharge? </w:t>
      </w:r>
    </w:p>
    <w:p w14:paraId="12DBA833" w14:textId="77777777" w:rsidR="00FC3ECD" w:rsidRPr="004C3641" w:rsidRDefault="00FC3ECD">
      <w:pPr>
        <w:pStyle w:val="IssueSubsectionHeading"/>
        <w:rPr>
          <w:vanish/>
          <w:specVanish/>
        </w:rPr>
      </w:pPr>
      <w:r w:rsidRPr="004C3641">
        <w:t>Recommendation: </w:t>
      </w:r>
    </w:p>
    <w:p w14:paraId="0FD06FAB" w14:textId="2ED266C7" w:rsidR="00FC3ECD" w:rsidRDefault="00FC3ECD">
      <w:pPr>
        <w:pStyle w:val="BodyText"/>
      </w:pPr>
      <w:r>
        <w:t xml:space="preserve"> Yes, the Commission should approve </w:t>
      </w:r>
      <w:r w:rsidR="006C0733">
        <w:t>SJNG</w:t>
      </w:r>
      <w:r>
        <w:t xml:space="preserve">’s tariff modifications as shown in Attachment A to the recommendation. </w:t>
      </w:r>
      <w:r w:rsidR="006C0733">
        <w:t>SJNG</w:t>
      </w:r>
      <w:r>
        <w:t xml:space="preserve"> has recovered more than the amount </w:t>
      </w:r>
      <w:r w:rsidR="00BE6FE7">
        <w:t xml:space="preserve">of </w:t>
      </w:r>
      <w:r>
        <w:t xml:space="preserve">incremental storm restoration costs </w:t>
      </w:r>
      <w:r w:rsidR="00BE6FE7">
        <w:t>permitted in its Settlement Agreement</w:t>
      </w:r>
      <w:r w:rsidR="004A7961">
        <w:t xml:space="preserve"> </w:t>
      </w:r>
      <w:r>
        <w:t>and should terminate the surcharge</w:t>
      </w:r>
      <w:r w:rsidR="008D3F3D">
        <w:t>, effective on the date of the Commission vote</w:t>
      </w:r>
      <w:r>
        <w:t>. (McClelland)</w:t>
      </w:r>
    </w:p>
    <w:p w14:paraId="4A589D01" w14:textId="77777777" w:rsidR="00FC3ECD" w:rsidRPr="004C3641" w:rsidRDefault="00FC3ECD">
      <w:pPr>
        <w:pStyle w:val="IssueSubsectionHeading"/>
        <w:rPr>
          <w:vanish/>
          <w:specVanish/>
        </w:rPr>
      </w:pPr>
      <w:r w:rsidRPr="004C3641">
        <w:t>Staff Analysis: </w:t>
      </w:r>
    </w:p>
    <w:p w14:paraId="03DAD87A" w14:textId="3336CD0F" w:rsidR="008D3F3D" w:rsidRDefault="00FC3ECD">
      <w:pPr>
        <w:pStyle w:val="BodyText"/>
      </w:pPr>
      <w:r>
        <w:t> </w:t>
      </w:r>
      <w:r w:rsidR="00961E17">
        <w:t xml:space="preserve">As stated in the Case Background, </w:t>
      </w:r>
      <w:r w:rsidR="008D3F3D">
        <w:t>t</w:t>
      </w:r>
      <w:r w:rsidR="008D3F3D" w:rsidRPr="008D3F3D">
        <w:t xml:space="preserve">he Settlement Agreement permitted the </w:t>
      </w:r>
      <w:r w:rsidR="00852869">
        <w:t>Company</w:t>
      </w:r>
      <w:r w:rsidR="008D3F3D" w:rsidRPr="008D3F3D">
        <w:t xml:space="preserve"> to recover a total of $330,115 in storm costs through the surcharge that had been previously approved on an interim basis, by Order No. PSC-2020-0117-PCU-GU.</w:t>
      </w:r>
    </w:p>
    <w:p w14:paraId="7AF2690A" w14:textId="4D218597" w:rsidR="004A6100" w:rsidRDefault="004A6100">
      <w:pPr>
        <w:pStyle w:val="BodyText"/>
      </w:pPr>
      <w:r>
        <w:t xml:space="preserve">As </w:t>
      </w:r>
      <w:r w:rsidR="00906000">
        <w:t xml:space="preserve">affirmed in its letter dated </w:t>
      </w:r>
      <w:r>
        <w:t xml:space="preserve">May 30, 2024, </w:t>
      </w:r>
      <w:r w:rsidR="006C0733">
        <w:t>SJNG</w:t>
      </w:r>
      <w:r>
        <w:t xml:space="preserve"> ha</w:t>
      </w:r>
      <w:r w:rsidR="00906000">
        <w:t>s</w:t>
      </w:r>
      <w:r>
        <w:t xml:space="preserve"> recovere</w:t>
      </w:r>
      <w:r w:rsidR="004A7961">
        <w:t>d more than the</w:t>
      </w:r>
      <w:r>
        <w:t xml:space="preserve"> amount</w:t>
      </w:r>
      <w:r w:rsidR="002B0965">
        <w:t xml:space="preserve"> </w:t>
      </w:r>
      <w:r w:rsidR="00906000">
        <w:t xml:space="preserve">of storm costs </w:t>
      </w:r>
      <w:r w:rsidR="002B0965">
        <w:t>permitted in the Settlement Agreement</w:t>
      </w:r>
      <w:r>
        <w:t>.</w:t>
      </w:r>
      <w:r w:rsidR="00032EA8">
        <w:t xml:space="preserve"> Per the </w:t>
      </w:r>
      <w:r w:rsidR="00852869">
        <w:t>Company’s update</w:t>
      </w:r>
      <w:r w:rsidR="00032EA8">
        <w:t xml:space="preserve"> on June 12, 2024, </w:t>
      </w:r>
      <w:r w:rsidR="006C0733">
        <w:t>SJNG</w:t>
      </w:r>
      <w:r w:rsidR="00032EA8">
        <w:t xml:space="preserve"> </w:t>
      </w:r>
      <w:r w:rsidR="00490889">
        <w:t xml:space="preserve">has </w:t>
      </w:r>
      <w:r w:rsidR="00032EA8">
        <w:t>collected $338,259.71</w:t>
      </w:r>
      <w:r w:rsidR="00BE7CCC">
        <w:t xml:space="preserve"> as of May 31, 2024</w:t>
      </w:r>
      <w:r w:rsidR="003A5A21">
        <w:t>, and expects to recover $12,600 in June and July</w:t>
      </w:r>
      <w:r w:rsidR="00032EA8">
        <w:t xml:space="preserve">. Termination of the surcharge will prevent further over-recovery. </w:t>
      </w:r>
      <w:r>
        <w:t>As stated in the Settlement</w:t>
      </w:r>
      <w:r w:rsidR="00BA77B9">
        <w:t xml:space="preserve"> Agreement</w:t>
      </w:r>
      <w:r>
        <w:t>, the over-recovery amount</w:t>
      </w:r>
      <w:r w:rsidR="00032EA8">
        <w:t xml:space="preserve"> </w:t>
      </w:r>
      <w:r>
        <w:t>will be handled through the Natural Gas Con</w:t>
      </w:r>
      <w:r w:rsidR="00032EA8">
        <w:t xml:space="preserve">servation Cost Recovery Charge. </w:t>
      </w:r>
    </w:p>
    <w:p w14:paraId="409788E0" w14:textId="32D87031" w:rsidR="008C3CA7" w:rsidRDefault="008C3CA7">
      <w:pPr>
        <w:pStyle w:val="BodyText"/>
      </w:pPr>
      <w:r>
        <w:t xml:space="preserve">Staff has reviewed the </w:t>
      </w:r>
      <w:r w:rsidR="00EF64BC">
        <w:t xml:space="preserve">Fourth Revised Sheet No. 83 and believes it is appropriate. </w:t>
      </w:r>
      <w:r w:rsidR="00D60016">
        <w:t xml:space="preserve">The clean and legislative copies of the tariff are included as Attachment A to the recommendation. </w:t>
      </w:r>
    </w:p>
    <w:p w14:paraId="4E605DFF" w14:textId="77777777" w:rsidR="00F21044" w:rsidRDefault="00F21044" w:rsidP="00F21044">
      <w:pPr>
        <w:pStyle w:val="First-LevelSubheading"/>
      </w:pPr>
      <w:r>
        <w:t xml:space="preserve">Conclusion </w:t>
      </w:r>
    </w:p>
    <w:p w14:paraId="6202EAA2" w14:textId="5A5D5609" w:rsidR="00F21044" w:rsidRDefault="00F21044">
      <w:pPr>
        <w:pStyle w:val="BodyText"/>
      </w:pPr>
      <w:r w:rsidRPr="00F21044">
        <w:t xml:space="preserve">Based on the information provided, staff recommends </w:t>
      </w:r>
      <w:r w:rsidR="008B012E">
        <w:t xml:space="preserve">that </w:t>
      </w:r>
      <w:r w:rsidRPr="00F21044">
        <w:t xml:space="preserve">the Commission approve the proposed tariff modifications to </w:t>
      </w:r>
      <w:r w:rsidR="002A08BB">
        <w:t>terminate</w:t>
      </w:r>
      <w:r w:rsidRPr="00F21044">
        <w:t xml:space="preserve"> the temporary storm cost recovery surcharge</w:t>
      </w:r>
      <w:r w:rsidR="00961E17">
        <w:t>, effective on the date of the Commission vote</w:t>
      </w:r>
      <w:r w:rsidRPr="00F21044">
        <w:t>.</w:t>
      </w:r>
    </w:p>
    <w:p w14:paraId="4198DF59" w14:textId="5ABBF2CE" w:rsidR="00520BFB" w:rsidRDefault="00520BFB">
      <w:pPr>
        <w:pStyle w:val="IssueHeading"/>
        <w:rPr>
          <w:vanish/>
          <w:specVanish/>
        </w:rPr>
      </w:pPr>
      <w:r w:rsidRPr="004C3641">
        <w:rPr>
          <w:b w:val="0"/>
          <w:i w:val="0"/>
        </w:rPr>
        <w:br w:type="page"/>
      </w:r>
      <w:r w:rsidRPr="004C3641">
        <w:lastRenderedPageBreak/>
        <w:t xml:space="preserve">Issue </w:t>
      </w:r>
      <w:fldSimple w:instr=" SEQ Issue \* MERGEFORMAT ">
        <w:r w:rsidR="00FA190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A190E">
        <w:rPr>
          <w:noProof/>
        </w:rPr>
        <w:instrText>2</w:instrText>
      </w:r>
      <w:r>
        <w:fldChar w:fldCharType="end"/>
      </w:r>
      <w:r>
        <w:tab/>
        <w:instrText xml:space="preserve">(Stiller)" \l 1 </w:instrText>
      </w:r>
      <w:r>
        <w:fldChar w:fldCharType="end"/>
      </w:r>
      <w:r>
        <w:t> </w:t>
      </w:r>
    </w:p>
    <w:p w14:paraId="20BD363F" w14:textId="2CEB8B66" w:rsidR="00520BFB" w:rsidRDefault="00520BFB">
      <w:pPr>
        <w:pStyle w:val="BodyText"/>
      </w:pPr>
      <w:r>
        <w:t> Should this docket be closed?</w:t>
      </w:r>
    </w:p>
    <w:p w14:paraId="15D6CB5B" w14:textId="77777777" w:rsidR="00520BFB" w:rsidRPr="004C3641" w:rsidRDefault="00520BFB">
      <w:pPr>
        <w:pStyle w:val="IssueSubsectionHeading"/>
        <w:rPr>
          <w:vanish/>
          <w:specVanish/>
        </w:rPr>
      </w:pPr>
      <w:r w:rsidRPr="004C3641">
        <w:t>Recommendation: </w:t>
      </w:r>
    </w:p>
    <w:p w14:paraId="6C442BEF" w14:textId="4B291C5F" w:rsidR="00520BFB" w:rsidRDefault="00520BFB">
      <w:pPr>
        <w:pStyle w:val="BodyText"/>
      </w:pPr>
      <w:r>
        <w:t> </w:t>
      </w:r>
      <w:r w:rsidR="002A08BB">
        <w:t>Yes. If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r>
        <w:t xml:space="preserve">  (Stiller)</w:t>
      </w:r>
    </w:p>
    <w:p w14:paraId="25A447D3" w14:textId="77777777" w:rsidR="00520BFB" w:rsidRPr="004C3641" w:rsidRDefault="00520BFB">
      <w:pPr>
        <w:pStyle w:val="IssueSubsectionHeading"/>
        <w:rPr>
          <w:vanish/>
          <w:specVanish/>
        </w:rPr>
      </w:pPr>
      <w:r w:rsidRPr="004C3641">
        <w:t>Staff Analysis: </w:t>
      </w:r>
    </w:p>
    <w:p w14:paraId="2A643BC7" w14:textId="62E320A1" w:rsidR="00520BFB" w:rsidRDefault="00520BFB">
      <w:pPr>
        <w:pStyle w:val="BodyText"/>
      </w:pPr>
      <w:r>
        <w:t> </w:t>
      </w:r>
      <w:r w:rsidR="002A08BB">
        <w:t xml:space="preserve">If a protest is filed within 21 days of the issuance of the order, the tariffs should remain in effect, with any revenues held subject to refund, pending resolution of the protest. If no timely protest is filed, this docket should be closed upon the issuance of a consummating order. </w:t>
      </w:r>
    </w:p>
    <w:p w14:paraId="36C26696" w14:textId="77777777" w:rsidR="000A12E2" w:rsidRDefault="000A12E2" w:rsidP="00E275D8">
      <w:pPr>
        <w:pStyle w:val="BodyText"/>
        <w:sectPr w:rsidR="000A12E2"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24F03161" w14:textId="2A3DB7E1" w:rsidR="00E06484" w:rsidRDefault="00AA1F52" w:rsidP="00E275D8">
      <w:pPr>
        <w:pStyle w:val="BodyText"/>
      </w:pPr>
      <w:r>
        <w:rPr>
          <w:noProof/>
        </w:rPr>
        <w:lastRenderedPageBreak/>
        <w:drawing>
          <wp:inline distT="0" distB="0" distL="0" distR="0" wp14:anchorId="5B5030E1" wp14:editId="0752B8B3">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s from newest letter_Page_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1CC3F281" wp14:editId="71833D03">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s from newest letter_Page_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E06484"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F29B8" w14:textId="77777777" w:rsidR="00082D33" w:rsidRDefault="00082D33">
      <w:r>
        <w:separator/>
      </w:r>
    </w:p>
  </w:endnote>
  <w:endnote w:type="continuationSeparator" w:id="0">
    <w:p w14:paraId="4583EB42" w14:textId="77777777" w:rsidR="00082D33" w:rsidRDefault="0008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04586" w14:textId="72232BAC"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C5F96">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182E"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EDE1D" w14:textId="77777777" w:rsidR="00082D33" w:rsidRDefault="00082D33">
      <w:r>
        <w:separator/>
      </w:r>
    </w:p>
  </w:footnote>
  <w:footnote w:type="continuationSeparator" w:id="0">
    <w:p w14:paraId="1777ADCA" w14:textId="77777777" w:rsidR="00082D33" w:rsidRDefault="00082D33">
      <w:r>
        <w:continuationSeparator/>
      </w:r>
    </w:p>
  </w:footnote>
  <w:footnote w:id="1">
    <w:p w14:paraId="0B4DFCF9" w14:textId="047219B6" w:rsidR="009F6627" w:rsidRDefault="009F6627">
      <w:pPr>
        <w:pStyle w:val="FootnoteText"/>
      </w:pPr>
      <w:r>
        <w:rPr>
          <w:rStyle w:val="FootnoteReference"/>
        </w:rPr>
        <w:footnoteRef/>
      </w:r>
      <w:r>
        <w:t xml:space="preserve"> </w:t>
      </w:r>
      <w:r w:rsidR="00D37AF6" w:rsidRPr="00D37AF6">
        <w:t>Order No. PSC-2020-0117-PCO-GU</w:t>
      </w:r>
      <w:r w:rsidR="00D37AF6">
        <w:t>, issued April 20, 2020, in Docket No. 20200039</w:t>
      </w:r>
      <w:r w:rsidR="00E816A1">
        <w:t>-GU</w:t>
      </w:r>
      <w:r w:rsidR="00D37AF6">
        <w:t xml:space="preserve">, </w:t>
      </w:r>
      <w:r w:rsidR="00D37AF6" w:rsidRPr="004A7961">
        <w:rPr>
          <w:i/>
        </w:rPr>
        <w:t>In re: Petition for approval to implement a temporary storm cost recovery surcharge, by St. Joe Natural Gas Company</w:t>
      </w:r>
      <w:r w:rsidR="00D37AF6">
        <w:t>.</w:t>
      </w:r>
    </w:p>
  </w:footnote>
  <w:footnote w:id="2">
    <w:p w14:paraId="5155674C" w14:textId="7501C587" w:rsidR="0035231A" w:rsidRDefault="0035231A">
      <w:pPr>
        <w:pStyle w:val="FootnoteText"/>
      </w:pPr>
      <w:r>
        <w:rPr>
          <w:rStyle w:val="FootnoteReference"/>
        </w:rPr>
        <w:footnoteRef/>
      </w:r>
      <w:r>
        <w:t xml:space="preserve"> </w:t>
      </w:r>
      <w:r w:rsidR="00E816A1">
        <w:t>Order No. PSC-2021-0196-AS-GU, issued June 3, 2021</w:t>
      </w:r>
      <w:r w:rsidR="00E816A1" w:rsidRPr="00E816A1">
        <w:t>, in Docket No. 20200039</w:t>
      </w:r>
      <w:r w:rsidR="00E816A1">
        <w:t>-GU</w:t>
      </w:r>
      <w:r w:rsidR="00E816A1" w:rsidRPr="00E816A1">
        <w:t xml:space="preserve">, </w:t>
      </w:r>
      <w:r w:rsidR="00E816A1" w:rsidRPr="004A7961">
        <w:rPr>
          <w:i/>
        </w:rPr>
        <w:t>In re: Petition for approval to implement a temporary storm cost recovery surcharge, by St. Joe Natural Gas Company</w:t>
      </w:r>
      <w:r w:rsidR="00E816A1">
        <w:t>.</w:t>
      </w:r>
    </w:p>
  </w:footnote>
  <w:footnote w:id="3">
    <w:p w14:paraId="46D989D7" w14:textId="72C34DF0" w:rsidR="00916198" w:rsidRDefault="00916198">
      <w:pPr>
        <w:pStyle w:val="FootnoteText"/>
      </w:pPr>
      <w:r>
        <w:rPr>
          <w:rStyle w:val="FootnoteReference"/>
        </w:rPr>
        <w:footnoteRef/>
      </w:r>
      <w:r>
        <w:t xml:space="preserve"> Document No. </w:t>
      </w:r>
      <w:r w:rsidR="00AC41FF" w:rsidRPr="00AC41FF">
        <w:t>06898-2024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7E37" w14:textId="77777777" w:rsidR="00BC402E" w:rsidRDefault="00082D3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20200039-GU</w:t>
    </w:r>
    <w:bookmarkEnd w:id="15"/>
  </w:p>
  <w:p w14:paraId="07D8BC68" w14:textId="418C36E0" w:rsidR="00BC402E" w:rsidRDefault="00BC402E">
    <w:pPr>
      <w:pStyle w:val="Header"/>
    </w:pPr>
    <w:r>
      <w:t xml:space="preserve">Date: </w:t>
    </w:r>
    <w:fldSimple w:instr=" REF FilingDate ">
      <w:r w:rsidR="00FA190E">
        <w:t>June 27,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AE93" w14:textId="2E7BD25A"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FA190E">
      <w:t>Docket No.</w:t>
    </w:r>
    <w:r>
      <w:fldChar w:fldCharType="end"/>
    </w:r>
    <w:r>
      <w:t xml:space="preserve"> </w:t>
    </w:r>
    <w:r>
      <w:fldChar w:fldCharType="begin"/>
    </w:r>
    <w:r>
      <w:instrText xml:space="preserve"> REF DocketList</w:instrText>
    </w:r>
    <w:r>
      <w:fldChar w:fldCharType="separate"/>
    </w:r>
    <w:r w:rsidR="00FA190E">
      <w:t>20200039-GU</w:t>
    </w:r>
    <w:r>
      <w:fldChar w:fldCharType="end"/>
    </w:r>
    <w:r>
      <w:tab/>
      <w:t xml:space="preserve">Issue </w:t>
    </w:r>
    <w:r w:rsidR="006A48B9">
      <w:fldChar w:fldCharType="begin"/>
    </w:r>
    <w:r w:rsidR="006A48B9">
      <w:instrText xml:space="preserve"> Seq Issue \c \* Arabic </w:instrText>
    </w:r>
    <w:r w:rsidR="006A48B9">
      <w:fldChar w:fldCharType="separate"/>
    </w:r>
    <w:r w:rsidR="007C5F96">
      <w:rPr>
        <w:noProof/>
      </w:rPr>
      <w:t>2</w:t>
    </w:r>
    <w:r w:rsidR="006A48B9">
      <w:rPr>
        <w:noProof/>
      </w:rPr>
      <w:fldChar w:fldCharType="end"/>
    </w:r>
  </w:p>
  <w:p w14:paraId="589AF825" w14:textId="0F53D538" w:rsidR="00BC402E" w:rsidRDefault="00BC402E">
    <w:pPr>
      <w:pStyle w:val="Header"/>
    </w:pPr>
    <w:r>
      <w:t xml:space="preserve">Date: </w:t>
    </w:r>
    <w:fldSimple w:instr=" REF FilingDate ">
      <w:r w:rsidR="00FA190E">
        <w:t>June 27,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EE9EE"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39314" w14:textId="3C80F7B8" w:rsidR="000A12E2" w:rsidRDefault="000A12E2" w:rsidP="00220732">
    <w:pPr>
      <w:pStyle w:val="Header"/>
      <w:tabs>
        <w:tab w:val="clear" w:pos="4320"/>
        <w:tab w:val="clear" w:pos="8640"/>
        <w:tab w:val="right" w:pos="9360"/>
      </w:tabs>
    </w:pPr>
    <w:r>
      <w:fldChar w:fldCharType="begin"/>
    </w:r>
    <w:r>
      <w:instrText xml:space="preserve"> REF DocketLabel</w:instrText>
    </w:r>
    <w:r>
      <w:fldChar w:fldCharType="separate"/>
    </w:r>
    <w:r w:rsidR="00FA190E">
      <w:t>Docket No.</w:t>
    </w:r>
    <w:r>
      <w:fldChar w:fldCharType="end"/>
    </w:r>
    <w:r>
      <w:t xml:space="preserve"> </w:t>
    </w:r>
    <w:r>
      <w:fldChar w:fldCharType="begin"/>
    </w:r>
    <w:r>
      <w:instrText xml:space="preserve"> REF DocketList</w:instrText>
    </w:r>
    <w:r>
      <w:fldChar w:fldCharType="separate"/>
    </w:r>
    <w:r w:rsidR="00FA190E">
      <w:t>20200039-GU</w:t>
    </w:r>
    <w:r>
      <w:fldChar w:fldCharType="end"/>
    </w:r>
    <w:r>
      <w:tab/>
      <w:t>Attachment A</w:t>
    </w:r>
  </w:p>
  <w:p w14:paraId="35AE40DB" w14:textId="27D2FCAF" w:rsidR="000A12E2" w:rsidRDefault="000A12E2" w:rsidP="000A12E2">
    <w:pPr>
      <w:pStyle w:val="Header"/>
      <w:tabs>
        <w:tab w:val="clear" w:pos="4320"/>
        <w:tab w:val="clear" w:pos="8640"/>
        <w:tab w:val="right" w:pos="9360"/>
      </w:tabs>
    </w:pPr>
    <w:r>
      <w:t xml:space="preserve">Date: </w:t>
    </w:r>
    <w:r w:rsidR="006A48B9">
      <w:fldChar w:fldCharType="begin"/>
    </w:r>
    <w:r w:rsidR="006A48B9">
      <w:instrText xml:space="preserve"> REF FilingDate </w:instrText>
    </w:r>
    <w:r w:rsidR="006A48B9">
      <w:fldChar w:fldCharType="separate"/>
    </w:r>
    <w:r w:rsidR="00FA190E">
      <w:t>June 27, 2024</w:t>
    </w:r>
    <w:r w:rsidR="006A48B9">
      <w:fldChar w:fldCharType="end"/>
    </w:r>
    <w:r>
      <w:tab/>
      <w:t xml:space="preserve">Page </w:t>
    </w:r>
    <w:r>
      <w:fldChar w:fldCharType="begin"/>
    </w:r>
    <w:r>
      <w:instrText xml:space="preserve">= </w:instrText>
    </w:r>
    <w:r>
      <w:fldChar w:fldCharType="begin"/>
    </w:r>
    <w:r>
      <w:instrText xml:space="preserve">Page </w:instrText>
    </w:r>
    <w:r>
      <w:fldChar w:fldCharType="separate"/>
    </w:r>
    <w:r w:rsidR="007C5F96">
      <w:rPr>
        <w:noProof/>
      </w:rPr>
      <w:instrText>6</w:instrText>
    </w:r>
    <w:r>
      <w:fldChar w:fldCharType="end"/>
    </w:r>
    <w:r>
      <w:instrText xml:space="preserve">- 4 </w:instrText>
    </w:r>
    <w:r>
      <w:fldChar w:fldCharType="separate"/>
    </w:r>
    <w:r w:rsidR="007C5F96">
      <w:rPr>
        <w:noProof/>
      </w:rPr>
      <w:t>2</w:t>
    </w:r>
    <w:r>
      <w:fldChar w:fldCharType="end"/>
    </w:r>
    <w: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82D33"/>
    <w:rsid w:val="000043D5"/>
    <w:rsid w:val="00006170"/>
    <w:rsid w:val="00010E37"/>
    <w:rsid w:val="000172DA"/>
    <w:rsid w:val="00017D90"/>
    <w:rsid w:val="00021036"/>
    <w:rsid w:val="000214D8"/>
    <w:rsid w:val="00022337"/>
    <w:rsid w:val="00023A0E"/>
    <w:rsid w:val="000247C5"/>
    <w:rsid w:val="000277C2"/>
    <w:rsid w:val="00032EA8"/>
    <w:rsid w:val="00035B48"/>
    <w:rsid w:val="00036CE2"/>
    <w:rsid w:val="000437FE"/>
    <w:rsid w:val="000513BE"/>
    <w:rsid w:val="00051573"/>
    <w:rsid w:val="0005451B"/>
    <w:rsid w:val="00065A06"/>
    <w:rsid w:val="000666F3"/>
    <w:rsid w:val="00070DCB"/>
    <w:rsid w:val="00072CCA"/>
    <w:rsid w:val="00073120"/>
    <w:rsid w:val="000764D0"/>
    <w:rsid w:val="000828D3"/>
    <w:rsid w:val="00082D33"/>
    <w:rsid w:val="000A12E2"/>
    <w:rsid w:val="000A2B57"/>
    <w:rsid w:val="000A418B"/>
    <w:rsid w:val="000B0ACE"/>
    <w:rsid w:val="000C4431"/>
    <w:rsid w:val="000C6607"/>
    <w:rsid w:val="000D1C06"/>
    <w:rsid w:val="000D3043"/>
    <w:rsid w:val="000D4319"/>
    <w:rsid w:val="000E24FA"/>
    <w:rsid w:val="000E338A"/>
    <w:rsid w:val="000E4392"/>
    <w:rsid w:val="000E5145"/>
    <w:rsid w:val="000F374A"/>
    <w:rsid w:val="000F4DAF"/>
    <w:rsid w:val="00105BA1"/>
    <w:rsid w:val="001076AF"/>
    <w:rsid w:val="001109F6"/>
    <w:rsid w:val="00116C6B"/>
    <w:rsid w:val="00117C8C"/>
    <w:rsid w:val="00122513"/>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7364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3B9A"/>
    <w:rsid w:val="001E7FF4"/>
    <w:rsid w:val="001F0219"/>
    <w:rsid w:val="001F2245"/>
    <w:rsid w:val="001F2C63"/>
    <w:rsid w:val="001F48C7"/>
    <w:rsid w:val="001F6DA1"/>
    <w:rsid w:val="00200178"/>
    <w:rsid w:val="00204200"/>
    <w:rsid w:val="002044E6"/>
    <w:rsid w:val="00205C82"/>
    <w:rsid w:val="00205DC2"/>
    <w:rsid w:val="00212B17"/>
    <w:rsid w:val="00215651"/>
    <w:rsid w:val="002163B6"/>
    <w:rsid w:val="00217215"/>
    <w:rsid w:val="00220732"/>
    <w:rsid w:val="0022121F"/>
    <w:rsid w:val="00221D32"/>
    <w:rsid w:val="00222AC1"/>
    <w:rsid w:val="00222FFE"/>
    <w:rsid w:val="00225C3F"/>
    <w:rsid w:val="00263D44"/>
    <w:rsid w:val="002702AD"/>
    <w:rsid w:val="00281EB4"/>
    <w:rsid w:val="002877D1"/>
    <w:rsid w:val="00292D82"/>
    <w:rsid w:val="00293EE7"/>
    <w:rsid w:val="002963CB"/>
    <w:rsid w:val="002A08BB"/>
    <w:rsid w:val="002B0965"/>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231A"/>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A5A21"/>
    <w:rsid w:val="003B2510"/>
    <w:rsid w:val="003B4355"/>
    <w:rsid w:val="003C2CC4"/>
    <w:rsid w:val="003C3710"/>
    <w:rsid w:val="003C42A3"/>
    <w:rsid w:val="003C48F7"/>
    <w:rsid w:val="003D64D1"/>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67E9"/>
    <w:rsid w:val="00477026"/>
    <w:rsid w:val="00477730"/>
    <w:rsid w:val="00490889"/>
    <w:rsid w:val="004A6100"/>
    <w:rsid w:val="004A744D"/>
    <w:rsid w:val="004A7961"/>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62A"/>
    <w:rsid w:val="004E4985"/>
    <w:rsid w:val="004E5147"/>
    <w:rsid w:val="004E69B5"/>
    <w:rsid w:val="004F50D1"/>
    <w:rsid w:val="004F5C43"/>
    <w:rsid w:val="0050266E"/>
    <w:rsid w:val="005050A2"/>
    <w:rsid w:val="00506030"/>
    <w:rsid w:val="0050652D"/>
    <w:rsid w:val="00506C03"/>
    <w:rsid w:val="00511A11"/>
    <w:rsid w:val="00516496"/>
    <w:rsid w:val="00520BFB"/>
    <w:rsid w:val="00522E7D"/>
    <w:rsid w:val="00523B11"/>
    <w:rsid w:val="0052455B"/>
    <w:rsid w:val="0052572A"/>
    <w:rsid w:val="00532DFB"/>
    <w:rsid w:val="00543CB3"/>
    <w:rsid w:val="005442E4"/>
    <w:rsid w:val="00547652"/>
    <w:rsid w:val="00552C7B"/>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A4D95"/>
    <w:rsid w:val="005B34B6"/>
    <w:rsid w:val="005B606A"/>
    <w:rsid w:val="005B6C8F"/>
    <w:rsid w:val="005B6EC3"/>
    <w:rsid w:val="005C17D7"/>
    <w:rsid w:val="005C33CE"/>
    <w:rsid w:val="005D0F74"/>
    <w:rsid w:val="005D2E7D"/>
    <w:rsid w:val="005D4A8F"/>
    <w:rsid w:val="005D561B"/>
    <w:rsid w:val="005D578F"/>
    <w:rsid w:val="005D5ECF"/>
    <w:rsid w:val="005E4AAC"/>
    <w:rsid w:val="005F468D"/>
    <w:rsid w:val="005F69A3"/>
    <w:rsid w:val="00604CC7"/>
    <w:rsid w:val="00612217"/>
    <w:rsid w:val="00613441"/>
    <w:rsid w:val="00615423"/>
    <w:rsid w:val="006165B2"/>
    <w:rsid w:val="00617276"/>
    <w:rsid w:val="0062527B"/>
    <w:rsid w:val="00625D97"/>
    <w:rsid w:val="00625F1C"/>
    <w:rsid w:val="0062658E"/>
    <w:rsid w:val="006279E1"/>
    <w:rsid w:val="00630CEB"/>
    <w:rsid w:val="00632264"/>
    <w:rsid w:val="006355F2"/>
    <w:rsid w:val="0064278F"/>
    <w:rsid w:val="006470BC"/>
    <w:rsid w:val="0065492B"/>
    <w:rsid w:val="006554D3"/>
    <w:rsid w:val="006603F4"/>
    <w:rsid w:val="00661708"/>
    <w:rsid w:val="00663B71"/>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972"/>
    <w:rsid w:val="006A1A67"/>
    <w:rsid w:val="006B09C4"/>
    <w:rsid w:val="006B3947"/>
    <w:rsid w:val="006B4293"/>
    <w:rsid w:val="006B44B5"/>
    <w:rsid w:val="006B624F"/>
    <w:rsid w:val="006C0733"/>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912"/>
    <w:rsid w:val="00727F90"/>
    <w:rsid w:val="00734820"/>
    <w:rsid w:val="007349DC"/>
    <w:rsid w:val="0074365E"/>
    <w:rsid w:val="00744B55"/>
    <w:rsid w:val="007515FD"/>
    <w:rsid w:val="00755117"/>
    <w:rsid w:val="00760D80"/>
    <w:rsid w:val="00761CB4"/>
    <w:rsid w:val="00780C09"/>
    <w:rsid w:val="00780DDF"/>
    <w:rsid w:val="007813B0"/>
    <w:rsid w:val="007834E9"/>
    <w:rsid w:val="00787DBC"/>
    <w:rsid w:val="0079019A"/>
    <w:rsid w:val="007906DF"/>
    <w:rsid w:val="00792935"/>
    <w:rsid w:val="00795630"/>
    <w:rsid w:val="007A04A1"/>
    <w:rsid w:val="007A1840"/>
    <w:rsid w:val="007B730C"/>
    <w:rsid w:val="007C0528"/>
    <w:rsid w:val="007C08EA"/>
    <w:rsid w:val="007C0A02"/>
    <w:rsid w:val="007C3D38"/>
    <w:rsid w:val="007C5F96"/>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2869"/>
    <w:rsid w:val="00854A3E"/>
    <w:rsid w:val="00855D08"/>
    <w:rsid w:val="008618A4"/>
    <w:rsid w:val="008731AB"/>
    <w:rsid w:val="00874344"/>
    <w:rsid w:val="0087505D"/>
    <w:rsid w:val="00877703"/>
    <w:rsid w:val="00882155"/>
    <w:rsid w:val="0088233B"/>
    <w:rsid w:val="00884EA6"/>
    <w:rsid w:val="0088599E"/>
    <w:rsid w:val="00886C37"/>
    <w:rsid w:val="008915FC"/>
    <w:rsid w:val="00892D99"/>
    <w:rsid w:val="00893315"/>
    <w:rsid w:val="00894C09"/>
    <w:rsid w:val="008B012E"/>
    <w:rsid w:val="008B5C68"/>
    <w:rsid w:val="008B62AE"/>
    <w:rsid w:val="008C04B5"/>
    <w:rsid w:val="008C14FA"/>
    <w:rsid w:val="008C3CA7"/>
    <w:rsid w:val="008C77A6"/>
    <w:rsid w:val="008C7B0B"/>
    <w:rsid w:val="008D3F3D"/>
    <w:rsid w:val="008D4057"/>
    <w:rsid w:val="008E1F19"/>
    <w:rsid w:val="008E69BD"/>
    <w:rsid w:val="008F2262"/>
    <w:rsid w:val="008F4D2B"/>
    <w:rsid w:val="008F5B91"/>
    <w:rsid w:val="008F7736"/>
    <w:rsid w:val="0090019E"/>
    <w:rsid w:val="00900435"/>
    <w:rsid w:val="00901086"/>
    <w:rsid w:val="00901C8A"/>
    <w:rsid w:val="00902F66"/>
    <w:rsid w:val="00904F3B"/>
    <w:rsid w:val="00905886"/>
    <w:rsid w:val="00906000"/>
    <w:rsid w:val="009070D6"/>
    <w:rsid w:val="009076C6"/>
    <w:rsid w:val="0091019E"/>
    <w:rsid w:val="009106F1"/>
    <w:rsid w:val="00912404"/>
    <w:rsid w:val="00912817"/>
    <w:rsid w:val="009145D6"/>
    <w:rsid w:val="00915541"/>
    <w:rsid w:val="00916198"/>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1E17"/>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0E78"/>
    <w:rsid w:val="009B61BF"/>
    <w:rsid w:val="009C3253"/>
    <w:rsid w:val="009C3DB9"/>
    <w:rsid w:val="009C5968"/>
    <w:rsid w:val="009D0436"/>
    <w:rsid w:val="009D46E5"/>
    <w:rsid w:val="009D568A"/>
    <w:rsid w:val="009F04EC"/>
    <w:rsid w:val="009F2A7C"/>
    <w:rsid w:val="009F3B36"/>
    <w:rsid w:val="009F6627"/>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2FA8"/>
    <w:rsid w:val="00A675AC"/>
    <w:rsid w:val="00A7097D"/>
    <w:rsid w:val="00A7581F"/>
    <w:rsid w:val="00A81274"/>
    <w:rsid w:val="00A86ACA"/>
    <w:rsid w:val="00A92439"/>
    <w:rsid w:val="00A92FB1"/>
    <w:rsid w:val="00A95980"/>
    <w:rsid w:val="00A95A0C"/>
    <w:rsid w:val="00AA1F52"/>
    <w:rsid w:val="00AA2765"/>
    <w:rsid w:val="00AA77B5"/>
    <w:rsid w:val="00AB6C5D"/>
    <w:rsid w:val="00AC3401"/>
    <w:rsid w:val="00AC41FF"/>
    <w:rsid w:val="00AC51A7"/>
    <w:rsid w:val="00AC603B"/>
    <w:rsid w:val="00AD0E89"/>
    <w:rsid w:val="00AD444B"/>
    <w:rsid w:val="00AD5614"/>
    <w:rsid w:val="00AD6C78"/>
    <w:rsid w:val="00AE03F0"/>
    <w:rsid w:val="00AE2EAB"/>
    <w:rsid w:val="00AF13D0"/>
    <w:rsid w:val="00AF18F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97E01"/>
    <w:rsid w:val="00BA0D55"/>
    <w:rsid w:val="00BA37B3"/>
    <w:rsid w:val="00BA4CC6"/>
    <w:rsid w:val="00BA77B9"/>
    <w:rsid w:val="00BA7F46"/>
    <w:rsid w:val="00BB0F1D"/>
    <w:rsid w:val="00BB3493"/>
    <w:rsid w:val="00BB6E4C"/>
    <w:rsid w:val="00BB7468"/>
    <w:rsid w:val="00BC0514"/>
    <w:rsid w:val="00BC188A"/>
    <w:rsid w:val="00BC402E"/>
    <w:rsid w:val="00BC70C6"/>
    <w:rsid w:val="00BD0F48"/>
    <w:rsid w:val="00BD14E5"/>
    <w:rsid w:val="00BE0E50"/>
    <w:rsid w:val="00BE6DDB"/>
    <w:rsid w:val="00BE6FE7"/>
    <w:rsid w:val="00BE7CCC"/>
    <w:rsid w:val="00BF03E0"/>
    <w:rsid w:val="00BF5010"/>
    <w:rsid w:val="00C013A9"/>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5329"/>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37AF6"/>
    <w:rsid w:val="00D479AE"/>
    <w:rsid w:val="00D50FCD"/>
    <w:rsid w:val="00D533E3"/>
    <w:rsid w:val="00D60016"/>
    <w:rsid w:val="00D60B16"/>
    <w:rsid w:val="00D60F02"/>
    <w:rsid w:val="00D66E49"/>
    <w:rsid w:val="00D70D71"/>
    <w:rsid w:val="00D71AA5"/>
    <w:rsid w:val="00D72F74"/>
    <w:rsid w:val="00D81563"/>
    <w:rsid w:val="00D837C1"/>
    <w:rsid w:val="00D85907"/>
    <w:rsid w:val="00D860AC"/>
    <w:rsid w:val="00D9073E"/>
    <w:rsid w:val="00D9221D"/>
    <w:rsid w:val="00D9253C"/>
    <w:rsid w:val="00D958DF"/>
    <w:rsid w:val="00D96DA1"/>
    <w:rsid w:val="00D978D6"/>
    <w:rsid w:val="00DA51E7"/>
    <w:rsid w:val="00DB0260"/>
    <w:rsid w:val="00DB1C78"/>
    <w:rsid w:val="00DB7D96"/>
    <w:rsid w:val="00DC23FE"/>
    <w:rsid w:val="00DC59E6"/>
    <w:rsid w:val="00DD150B"/>
    <w:rsid w:val="00DD3356"/>
    <w:rsid w:val="00DD3E3C"/>
    <w:rsid w:val="00DD5025"/>
    <w:rsid w:val="00DD5464"/>
    <w:rsid w:val="00DD6F85"/>
    <w:rsid w:val="00DE254E"/>
    <w:rsid w:val="00DE32C0"/>
    <w:rsid w:val="00DE76A7"/>
    <w:rsid w:val="00DF1510"/>
    <w:rsid w:val="00E02F1F"/>
    <w:rsid w:val="00E05454"/>
    <w:rsid w:val="00E06484"/>
    <w:rsid w:val="00E06B24"/>
    <w:rsid w:val="00E20A7D"/>
    <w:rsid w:val="00E23CE1"/>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16A1"/>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3C42"/>
    <w:rsid w:val="00EE5F5A"/>
    <w:rsid w:val="00EF264C"/>
    <w:rsid w:val="00EF3FEE"/>
    <w:rsid w:val="00EF64BC"/>
    <w:rsid w:val="00EF6B41"/>
    <w:rsid w:val="00F04B59"/>
    <w:rsid w:val="00F07B69"/>
    <w:rsid w:val="00F11741"/>
    <w:rsid w:val="00F117B0"/>
    <w:rsid w:val="00F12B1C"/>
    <w:rsid w:val="00F13CF8"/>
    <w:rsid w:val="00F13DEF"/>
    <w:rsid w:val="00F15855"/>
    <w:rsid w:val="00F200B2"/>
    <w:rsid w:val="00F21044"/>
    <w:rsid w:val="00F227DC"/>
    <w:rsid w:val="00F263B9"/>
    <w:rsid w:val="00F30701"/>
    <w:rsid w:val="00F32978"/>
    <w:rsid w:val="00F36F02"/>
    <w:rsid w:val="00F45CB2"/>
    <w:rsid w:val="00F511F3"/>
    <w:rsid w:val="00F544C0"/>
    <w:rsid w:val="00F55332"/>
    <w:rsid w:val="00F55B97"/>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190E"/>
    <w:rsid w:val="00FA32DE"/>
    <w:rsid w:val="00FA3382"/>
    <w:rsid w:val="00FA59CD"/>
    <w:rsid w:val="00FB0CDC"/>
    <w:rsid w:val="00FB1740"/>
    <w:rsid w:val="00FB4235"/>
    <w:rsid w:val="00FC3ECD"/>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96F7615"/>
  <w15:docId w15:val="{0C6785C8-27E1-4E1F-AC57-EEAEAF9A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semiHidden/>
    <w:unhideWhenUsed/>
    <w:rsid w:val="004767E9"/>
    <w:rPr>
      <w:sz w:val="16"/>
      <w:szCs w:val="16"/>
    </w:rPr>
  </w:style>
  <w:style w:type="character" w:styleId="FootnoteReference">
    <w:name w:val="footnote reference"/>
    <w:basedOn w:val="DefaultParagraphFont"/>
    <w:semiHidden/>
    <w:unhideWhenUsed/>
    <w:rsid w:val="00352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57BCF-4CF4-4513-A602-629B46D3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6</Pages>
  <Words>997</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Kate McClelland</dc:creator>
  <cp:lastModifiedBy>Jackie Colson</cp:lastModifiedBy>
  <cp:revision>2</cp:revision>
  <cp:lastPrinted>2024-06-21T19:41:00Z</cp:lastPrinted>
  <dcterms:created xsi:type="dcterms:W3CDTF">2024-06-27T12:51:00Z</dcterms:created>
  <dcterms:modified xsi:type="dcterms:W3CDTF">2024-06-27T12:51:00Z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20200039-GU</vt:lpwstr>
  </property>
  <property fmtid="{D5CDD505-2E9C-101B-9397-08002B2CF9AE}" pid="3" name="MasterDocument">
    <vt:bool>false</vt:bool>
  </property>
</Properties>
</file>