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7DCB" w:rsidP="003A7DCB">
      <w:pPr>
        <w:pStyle w:val="OrderHeading"/>
      </w:pPr>
      <w:r>
        <w:t>BEFORE THE FLORIDA PUBLIC SERVICE COMMISSION</w:t>
      </w:r>
    </w:p>
    <w:p w:rsidR="003A7DCB" w:rsidRDefault="003A7DCB" w:rsidP="003A7DCB">
      <w:pPr>
        <w:pStyle w:val="OrderBody"/>
      </w:pPr>
    </w:p>
    <w:p w:rsidR="003A7DCB" w:rsidRDefault="003A7DCB" w:rsidP="003A7D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7DCB" w:rsidRPr="00C63FCF" w:rsidTr="00C63FCF">
        <w:trPr>
          <w:trHeight w:val="828"/>
        </w:trPr>
        <w:tc>
          <w:tcPr>
            <w:tcW w:w="4788" w:type="dxa"/>
            <w:tcBorders>
              <w:bottom w:val="single" w:sz="8" w:space="0" w:color="auto"/>
              <w:right w:val="double" w:sz="6" w:space="0" w:color="auto"/>
            </w:tcBorders>
            <w:shd w:val="clear" w:color="auto" w:fill="auto"/>
          </w:tcPr>
          <w:p w:rsidR="003A7DCB" w:rsidRDefault="003A7DCB"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3A7DCB" w:rsidRDefault="003A7DCB" w:rsidP="003A7DCB">
            <w:pPr>
              <w:pStyle w:val="OrderBody"/>
            </w:pPr>
            <w:r>
              <w:t xml:space="preserve">DOCKET NO. </w:t>
            </w:r>
            <w:bookmarkStart w:id="1" w:name="SSDocketNo"/>
            <w:bookmarkEnd w:id="1"/>
            <w:r>
              <w:t>20240025-EI</w:t>
            </w:r>
          </w:p>
          <w:p w:rsidR="003A7DCB" w:rsidRDefault="003A7DCB" w:rsidP="00C63FCF">
            <w:pPr>
              <w:pStyle w:val="OrderBody"/>
              <w:tabs>
                <w:tab w:val="center" w:pos="4320"/>
                <w:tab w:val="right" w:pos="8640"/>
              </w:tabs>
              <w:jc w:val="left"/>
            </w:pPr>
            <w:r>
              <w:t xml:space="preserve">ORDER NO. </w:t>
            </w:r>
            <w:bookmarkStart w:id="2" w:name="OrderNo0256"/>
            <w:r w:rsidR="00B63736">
              <w:t>PSC-2024-0256-PCO-EI</w:t>
            </w:r>
            <w:bookmarkEnd w:id="2"/>
          </w:p>
          <w:p w:rsidR="003A7DCB" w:rsidRDefault="003A7DCB" w:rsidP="00C63FCF">
            <w:pPr>
              <w:pStyle w:val="OrderBody"/>
              <w:tabs>
                <w:tab w:val="center" w:pos="4320"/>
                <w:tab w:val="right" w:pos="8640"/>
              </w:tabs>
              <w:jc w:val="left"/>
            </w:pPr>
            <w:r>
              <w:t xml:space="preserve">ISSUED: </w:t>
            </w:r>
            <w:r w:rsidR="00B63736">
              <w:t>July 22, 2024</w:t>
            </w:r>
          </w:p>
        </w:tc>
      </w:tr>
    </w:tbl>
    <w:p w:rsidR="003A7DCB" w:rsidRDefault="003A7DCB" w:rsidP="003A7DCB"/>
    <w:p w:rsidR="003A7DCB" w:rsidRDefault="003A7DCB" w:rsidP="003A7DCB"/>
    <w:p w:rsidR="005526BA" w:rsidRDefault="003A7DCB" w:rsidP="003A7DCB">
      <w:pPr>
        <w:pStyle w:val="CenterUnderline"/>
      </w:pPr>
      <w:bookmarkStart w:id="3" w:name="Commissioners"/>
      <w:bookmarkEnd w:id="3"/>
      <w:r>
        <w:t>ORDER</w:t>
      </w:r>
      <w:bookmarkStart w:id="4" w:name="OrderTitle"/>
      <w:r>
        <w:t xml:space="preserve"> GRANTING PETITION TO INTERVENE</w:t>
      </w:r>
    </w:p>
    <w:p w:rsidR="00CB5276" w:rsidRDefault="005526BA" w:rsidP="003A7DCB">
      <w:pPr>
        <w:pStyle w:val="CenterUnderline"/>
      </w:pPr>
      <w:r>
        <w:t>OF</w:t>
      </w:r>
      <w:r w:rsidRPr="005526BA">
        <w:t xml:space="preserve"> </w:t>
      </w:r>
      <w:r>
        <w:t>WALMART, INC.</w:t>
      </w:r>
      <w:r w:rsidR="003A7DCB">
        <w:t xml:space="preserve"> </w:t>
      </w:r>
      <w:bookmarkEnd w:id="4"/>
    </w:p>
    <w:p w:rsidR="003A7DCB" w:rsidRDefault="003A7DCB" w:rsidP="003A7DCB">
      <w:pPr>
        <w:pStyle w:val="CenterUnderline"/>
      </w:pPr>
    </w:p>
    <w:p w:rsidR="0084161F" w:rsidRDefault="00DA36DF" w:rsidP="00DA36DF">
      <w:pPr>
        <w:jc w:val="both"/>
      </w:pPr>
      <w:bookmarkStart w:id="5" w:name="OrderText"/>
      <w:bookmarkEnd w:id="5"/>
      <w:r>
        <w:tab/>
      </w:r>
      <w:r w:rsidRPr="00AB33CB">
        <w:t>Duke Energy Florida</w:t>
      </w:r>
      <w:r>
        <w:t>, LLC (DEF</w:t>
      </w:r>
      <w:r w:rsidRPr="00AB33CB">
        <w:t xml:space="preserve">) filed its Petition for Rate Increase, minimum filing requirements (MFRs), and </w:t>
      </w:r>
      <w:r>
        <w:t>testimony on April 2, 2024. DEF</w:t>
      </w:r>
      <w:r w:rsidRPr="00AB33CB">
        <w:t xml:space="preserve"> filed its MFRs based on projected test years from January 1 to December 31, 2025; January 1 to December 31, 2026; and January 1 to December 31, 2027. </w:t>
      </w:r>
      <w:r>
        <w:t xml:space="preserve">By Order No. PSC-2024-0092-PCO-EI, issued April 11, 2024, </w:t>
      </w:r>
      <w:r w:rsidRPr="00AB33CB">
        <w:t>a</w:t>
      </w:r>
      <w:r>
        <w:t xml:space="preserve"> fi</w:t>
      </w:r>
      <w:r w:rsidRPr="00AB33CB">
        <w:t>n</w:t>
      </w:r>
      <w:r>
        <w:t>al</w:t>
      </w:r>
      <w:r w:rsidRPr="00AB33CB">
        <w:t xml:space="preserve"> administrative hearing </w:t>
      </w:r>
      <w:r w:rsidR="00A240E5">
        <w:t>was</w:t>
      </w:r>
      <w:r w:rsidRPr="00AB33CB">
        <w:t xml:space="preserve"> scheduled for August 12 – </w:t>
      </w:r>
      <w:r>
        <w:t>16</w:t>
      </w:r>
      <w:r w:rsidRPr="00AB33CB">
        <w:t>, 2024</w:t>
      </w:r>
      <w:r>
        <w:t xml:space="preserve">. August 19 – 23, 2024, </w:t>
      </w:r>
      <w:r w:rsidR="00A240E5">
        <w:t>were</w:t>
      </w:r>
      <w:r>
        <w:t xml:space="preserve"> also  reserved for the continuation and conclusion of this hearing, if necessary.</w:t>
      </w:r>
    </w:p>
    <w:p w:rsidR="0084161F" w:rsidRDefault="0084161F" w:rsidP="00DA36DF">
      <w:pPr>
        <w:jc w:val="both"/>
      </w:pPr>
    </w:p>
    <w:p w:rsidR="0084161F" w:rsidRPr="0084161F" w:rsidRDefault="0084161F" w:rsidP="0084161F">
      <w:pPr>
        <w:pStyle w:val="FootnoteText"/>
        <w:rPr>
          <w:sz w:val="24"/>
          <w:szCs w:val="24"/>
        </w:rPr>
      </w:pPr>
      <w:r w:rsidRPr="0084161F">
        <w:rPr>
          <w:sz w:val="24"/>
          <w:szCs w:val="24"/>
        </w:rPr>
        <w:tab/>
      </w:r>
      <w:r w:rsidRPr="002176B8">
        <w:rPr>
          <w:sz w:val="24"/>
          <w:szCs w:val="24"/>
        </w:rPr>
        <w:t xml:space="preserve">On July 8, 2024, DEF and the Office of Public Counsel (OPC) filed a Joint Motion to Suspend Procedural Schedule. DEF and OPC represented in the Motion that they had reached an agreement in principle to resolve all issues in this docket, and requested that the Commission suspend all pending hearings, deadlines, and other matters in this docket. By Order No. PSC-2024-0234-PCO-EI, issued July 11, 2024, the Motion was granted. All pending discovery and scheduled hearings, including both the prehearing and </w:t>
      </w:r>
      <w:r w:rsidR="00A240E5" w:rsidRPr="002176B8">
        <w:rPr>
          <w:sz w:val="24"/>
          <w:szCs w:val="24"/>
        </w:rPr>
        <w:t xml:space="preserve">final </w:t>
      </w:r>
      <w:r w:rsidRPr="002176B8">
        <w:rPr>
          <w:sz w:val="24"/>
          <w:szCs w:val="24"/>
        </w:rPr>
        <w:t>hearing, are currently suspended.</w:t>
      </w:r>
    </w:p>
    <w:p w:rsidR="008A2402" w:rsidRDefault="008A2402" w:rsidP="00DA36DF">
      <w:pPr>
        <w:jc w:val="both"/>
      </w:pPr>
    </w:p>
    <w:p w:rsidR="003A7DCB" w:rsidRPr="00173CF1" w:rsidRDefault="003A7DCB" w:rsidP="003A7DCB">
      <w:pPr>
        <w:jc w:val="both"/>
        <w:rPr>
          <w:u w:val="single"/>
        </w:rPr>
      </w:pPr>
      <w:r w:rsidRPr="00173CF1">
        <w:rPr>
          <w:u w:val="single"/>
        </w:rPr>
        <w:t>Petition for Intervention</w:t>
      </w:r>
    </w:p>
    <w:p w:rsidR="003A7DCB" w:rsidRDefault="003A7DCB" w:rsidP="003A7DCB">
      <w:pPr>
        <w:jc w:val="both"/>
      </w:pPr>
    </w:p>
    <w:p w:rsidR="003A7DCB" w:rsidRDefault="003A7DCB" w:rsidP="003A7DCB">
      <w:pPr>
        <w:jc w:val="both"/>
      </w:pPr>
      <w:r>
        <w:tab/>
      </w:r>
      <w:r w:rsidR="00DA36DF">
        <w:t>On</w:t>
      </w:r>
      <w:r>
        <w:t xml:space="preserve"> July 11, 2024, Walmart, Inc. (Walmart)</w:t>
      </w:r>
      <w:r w:rsidRPr="00EB5771">
        <w:t xml:space="preserve"> </w:t>
      </w:r>
      <w:r w:rsidR="00DA36DF">
        <w:t>filed a Petition to Intervene</w:t>
      </w:r>
      <w:r w:rsidRPr="00EB5771">
        <w:t xml:space="preserve"> in this proceeding.</w:t>
      </w:r>
      <w:r w:rsidR="00DA36DF">
        <w:t xml:space="preserve"> Walmart is a national retailer of goods and services throughout the United States with its principal office in Bentonville, Arkansas. Walmart states that it purchases over 280 million kWh of electricity annually from DEF for the distribution center, 73 retail stores, and related facilities it owns and operates in DEF’s service territory. Walmart further represents that because the cost of electric utility service is a significant element of its cost of operation in Florida, and the outcome of this proceeding could impact that cost, its substantial interests are affected such that it has standing to intervene. Walmart represents that it has contacted the parties regarding its intervention and that is has been authorized to represent that the Florida Retail Federation supports the Petition, and the remaining parties either have no objection or take no position.  No written objections have been filed as of this date and the time for doing so has expired.</w:t>
      </w:r>
    </w:p>
    <w:p w:rsidR="003A7DCB" w:rsidRDefault="003A7DCB" w:rsidP="003A7DCB">
      <w:pPr>
        <w:jc w:val="both"/>
      </w:pPr>
    </w:p>
    <w:p w:rsidR="003A7DCB" w:rsidRPr="00173CF1" w:rsidRDefault="003A7DCB" w:rsidP="003A7DCB">
      <w:pPr>
        <w:jc w:val="both"/>
        <w:rPr>
          <w:u w:val="single"/>
        </w:rPr>
      </w:pPr>
      <w:r w:rsidRPr="00173CF1">
        <w:rPr>
          <w:u w:val="single"/>
        </w:rPr>
        <w:t>Standards for Intervention</w:t>
      </w:r>
    </w:p>
    <w:p w:rsidR="003A7DCB" w:rsidRDefault="003A7DCB" w:rsidP="003A7DCB">
      <w:pPr>
        <w:jc w:val="both"/>
      </w:pPr>
    </w:p>
    <w:p w:rsidR="003A7DCB" w:rsidRDefault="003A7DCB" w:rsidP="003A7DCB">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w:t>
      </w:r>
      <w:r>
        <w:lastRenderedPageBreak/>
        <w:t>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3A7DCB" w:rsidRDefault="003A7DCB" w:rsidP="003A7DCB">
      <w:pPr>
        <w:ind w:firstLine="720"/>
        <w:jc w:val="both"/>
      </w:pPr>
    </w:p>
    <w:p w:rsidR="00DA36DF" w:rsidRDefault="003A7DCB" w:rsidP="003A7DCB">
      <w:pPr>
        <w:ind w:firstLine="720"/>
        <w:jc w:val="both"/>
      </w:pPr>
      <w:r>
        <w:t xml:space="preserve">To have standing, the intervenor must meet the two-prong standing test set forth in </w:t>
      </w:r>
      <w:r w:rsidRPr="00791D8E">
        <w:rPr>
          <w:i/>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w:t>
      </w:r>
      <w:r w:rsidR="00B50BC4">
        <w:t>“</w:t>
      </w:r>
      <w:r>
        <w:t>injury in fact</w:t>
      </w:r>
      <w:r w:rsidR="00B50BC4">
        <w:t>”</w:t>
      </w:r>
      <w:r>
        <w:t xml:space="preserve"> must be both real and immediate and not speculative or conjectural.  </w:t>
      </w:r>
      <w:r w:rsidRPr="00791D8E">
        <w:rPr>
          <w:i/>
        </w:rPr>
        <w:t>International Jai-Alai Players Assn. v. Florida Pari-Mutuel Commission</w:t>
      </w:r>
      <w:r>
        <w:t xml:space="preserve">, 561 So. 2d 1224, 1225-26 (Fla. 3d DCA 1990).  </w:t>
      </w:r>
      <w:r w:rsidRPr="00791D8E">
        <w:rPr>
          <w:i/>
        </w:rPr>
        <w:t>See also Village Park Mobile Home Assn., Inc. v. State Dept. of Business Regulation</w:t>
      </w:r>
      <w:r>
        <w:t>, 506 So. 2d 426, 434 (Fla. 1st DCA 1987) (speculation on the possible occurrence of injurious events is too remote).</w:t>
      </w:r>
    </w:p>
    <w:p w:rsidR="00DA36DF" w:rsidRDefault="00DA36DF" w:rsidP="003A7DCB">
      <w:pPr>
        <w:ind w:firstLine="720"/>
        <w:jc w:val="both"/>
      </w:pPr>
    </w:p>
    <w:p w:rsidR="00DA36DF" w:rsidRDefault="00DA36DF" w:rsidP="00DA36DF">
      <w:pPr>
        <w:jc w:val="both"/>
      </w:pPr>
      <w:r>
        <w:rPr>
          <w:u w:val="single"/>
        </w:rPr>
        <w:t>Analysis &amp; Ruling</w:t>
      </w:r>
    </w:p>
    <w:p w:rsidR="00DA36DF" w:rsidRDefault="00DA36DF" w:rsidP="00DA36DF">
      <w:pPr>
        <w:jc w:val="both"/>
      </w:pPr>
    </w:p>
    <w:p w:rsidR="00DA36DF" w:rsidRDefault="00DA36DF" w:rsidP="00DA36DF">
      <w:pPr>
        <w:ind w:firstLine="720"/>
        <w:jc w:val="both"/>
      </w:pPr>
      <w:r>
        <w:t xml:space="preserve">Based on the representations in its Petition, Walmart satisfies the two-prong standing test in </w:t>
      </w:r>
      <w:r w:rsidRPr="005526BA">
        <w:rPr>
          <w:i/>
        </w:rPr>
        <w:t>Agrico</w:t>
      </w:r>
      <w:r>
        <w:t xml:space="preserve">.  As to the first prong, Walmart is a commercial customer of </w:t>
      </w:r>
      <w:r w:rsidR="00791D8E">
        <w:t>DEF</w:t>
      </w:r>
      <w:r>
        <w:t xml:space="preserve"> and the rates it pays for electric utility service will be directly impacted by the </w:t>
      </w:r>
      <w:r w:rsidR="00791D8E">
        <w:t>base rate increases at issue</w:t>
      </w:r>
      <w:r>
        <w:t xml:space="preserve"> in this proceeding. Regarding the second </w:t>
      </w:r>
      <w:r w:rsidRPr="00791D8E">
        <w:rPr>
          <w:i/>
        </w:rPr>
        <w:t>Agrico</w:t>
      </w:r>
      <w:r>
        <w:t xml:space="preserve"> prong, this docket is designed to determine the </w:t>
      </w:r>
      <w:r w:rsidR="00791D8E">
        <w:t>base rate</w:t>
      </w:r>
      <w:r>
        <w:t xml:space="preserve"> that customers such as Walmart will be required to pay. Because the allegations in its Petition satisfy the requirements of </w:t>
      </w:r>
      <w:r w:rsidRPr="00791D8E">
        <w:rPr>
          <w:i/>
        </w:rPr>
        <w:t>Agrico</w:t>
      </w:r>
      <w:r>
        <w:t xml:space="preserve">, </w:t>
      </w:r>
      <w:r>
        <w:rPr>
          <w:szCs w:val="32"/>
        </w:rPr>
        <w:t xml:space="preserve">Walmart is granted intervention as set forth herein.  </w:t>
      </w:r>
      <w:r>
        <w:t xml:space="preserve">Pursuant to Rule </w:t>
      </w:r>
      <w:r w:rsidRPr="00420E09">
        <w:t>28-106.205</w:t>
      </w:r>
      <w:r>
        <w:t xml:space="preserve">, F.A.C., Walmart takes the case as it finds it. </w:t>
      </w:r>
    </w:p>
    <w:p w:rsidR="00DA36DF" w:rsidRDefault="00DA36DF" w:rsidP="003A7DCB">
      <w:pPr>
        <w:ind w:firstLine="720"/>
        <w:jc w:val="both"/>
      </w:pPr>
    </w:p>
    <w:p w:rsidR="003A7DCB" w:rsidRPr="00826D5E" w:rsidRDefault="003A7DCB" w:rsidP="003A7DCB">
      <w:pPr>
        <w:jc w:val="both"/>
      </w:pPr>
      <w:r w:rsidRPr="00826D5E">
        <w:tab/>
      </w:r>
      <w:r>
        <w:t>Based on the above representations,</w:t>
      </w:r>
      <w:r w:rsidRPr="00826D5E">
        <w:t xml:space="preserve"> it is</w:t>
      </w:r>
    </w:p>
    <w:p w:rsidR="003A7DCB" w:rsidRPr="00826D5E" w:rsidRDefault="003A7DCB" w:rsidP="003A7DCB">
      <w:pPr>
        <w:jc w:val="both"/>
      </w:pPr>
    </w:p>
    <w:p w:rsidR="003A7DCB" w:rsidRDefault="003A7DCB" w:rsidP="003A7DCB">
      <w:pPr>
        <w:ind w:firstLine="720"/>
        <w:jc w:val="both"/>
      </w:pPr>
      <w:r>
        <w:t xml:space="preserve">ORDERED by Commissioner Gabriella Passidomo, as Prehearing Officer, that the </w:t>
      </w:r>
      <w:r w:rsidR="00DA36DF">
        <w:t>Peti</w:t>
      </w:r>
      <w:r>
        <w:t>tion to Intervene filed by Walmart, Inc. is hereby granted as set forth in the body of this Order. It is further</w:t>
      </w:r>
    </w:p>
    <w:p w:rsidR="003A7DCB" w:rsidRDefault="003A7DCB" w:rsidP="003A7DCB">
      <w:pPr>
        <w:ind w:firstLine="720"/>
        <w:jc w:val="both"/>
      </w:pPr>
    </w:p>
    <w:p w:rsidR="003A7DCB" w:rsidRDefault="003A7DCB" w:rsidP="003A7DCB">
      <w:pPr>
        <w:ind w:firstLine="720"/>
        <w:jc w:val="both"/>
      </w:pPr>
      <w:r>
        <w:t xml:space="preserve">ORDERED that Walmart, Inc. takes the case as it finds it. It is further </w:t>
      </w:r>
    </w:p>
    <w:p w:rsidR="003A7DCB" w:rsidRDefault="003A7DCB" w:rsidP="003A7DCB">
      <w:pPr>
        <w:ind w:firstLine="720"/>
        <w:jc w:val="both"/>
      </w:pPr>
    </w:p>
    <w:p w:rsidR="003A7DCB" w:rsidRDefault="003A7DCB" w:rsidP="003A7DCB">
      <w:pPr>
        <w:ind w:firstLine="720"/>
        <w:jc w:val="both"/>
      </w:pPr>
      <w:r>
        <w:t>ORDERED that all parties to this proceeding shall furnish copies of all testimony, exhibits, pleadings, and other documents which may hereinafter be filed in this proceeding to:</w:t>
      </w:r>
    </w:p>
    <w:p w:rsidR="003A7DCB" w:rsidRDefault="003A7DCB" w:rsidP="003A7DCB">
      <w:pPr>
        <w:ind w:firstLine="720"/>
        <w:jc w:val="both"/>
      </w:pPr>
    </w:p>
    <w:p w:rsidR="003A7DCB" w:rsidRDefault="003A7DCB" w:rsidP="003A7DCB">
      <w:pPr>
        <w:ind w:firstLine="720"/>
        <w:jc w:val="both"/>
      </w:pPr>
      <w:r>
        <w:t>Stephanie U. Eaton</w:t>
      </w:r>
      <w:r w:rsidR="00FB75C7">
        <w:tab/>
      </w:r>
      <w:r w:rsidR="00FB75C7">
        <w:tab/>
      </w:r>
      <w:r w:rsidR="00FB75C7">
        <w:tab/>
      </w:r>
      <w:r w:rsidR="00FB75C7">
        <w:tab/>
        <w:t>Steven W. Lee (Qualified Representative)</w:t>
      </w:r>
    </w:p>
    <w:p w:rsidR="003A7DCB" w:rsidRDefault="003A7DCB" w:rsidP="003A7DCB">
      <w:pPr>
        <w:ind w:firstLine="720"/>
        <w:jc w:val="both"/>
      </w:pPr>
      <w:r>
        <w:t>Spilman, Thomas &amp; Battle, PLLC</w:t>
      </w:r>
      <w:r w:rsidR="00FB75C7">
        <w:tab/>
      </w:r>
      <w:r w:rsidR="00FB75C7">
        <w:tab/>
        <w:t>Spilman, Thomas &amp; Battle, PLLC</w:t>
      </w:r>
    </w:p>
    <w:p w:rsidR="003A7DCB" w:rsidRDefault="003A7DCB" w:rsidP="003A7DCB">
      <w:pPr>
        <w:ind w:firstLine="720"/>
        <w:jc w:val="both"/>
      </w:pPr>
      <w:r>
        <w:t>110 Oakwood Drive, Suite 500</w:t>
      </w:r>
      <w:r w:rsidR="00FB75C7">
        <w:tab/>
      </w:r>
      <w:r w:rsidR="00FB75C7">
        <w:tab/>
        <w:t>1100 Bent Creek Blvd., Suite 101</w:t>
      </w:r>
    </w:p>
    <w:p w:rsidR="003A7DCB" w:rsidRDefault="003A7DCB" w:rsidP="003A7DCB">
      <w:pPr>
        <w:ind w:firstLine="720"/>
        <w:jc w:val="both"/>
      </w:pPr>
      <w:r>
        <w:t>Winston-Salem, NC 27103</w:t>
      </w:r>
      <w:r w:rsidR="00FB75C7">
        <w:tab/>
      </w:r>
      <w:r w:rsidR="00FB75C7">
        <w:tab/>
      </w:r>
      <w:r w:rsidR="00FB75C7">
        <w:tab/>
        <w:t>Mechanicsburg, PA 17050</w:t>
      </w:r>
    </w:p>
    <w:p w:rsidR="003A7DCB" w:rsidRDefault="003A7DCB" w:rsidP="003A7DCB">
      <w:pPr>
        <w:ind w:firstLine="720"/>
        <w:jc w:val="both"/>
      </w:pPr>
      <w:r>
        <w:t>Phone:  (336) 631-1062</w:t>
      </w:r>
      <w:r w:rsidR="00FB75C7">
        <w:tab/>
      </w:r>
      <w:r w:rsidR="00FB75C7">
        <w:tab/>
      </w:r>
      <w:r w:rsidR="00FB75C7">
        <w:tab/>
        <w:t>Phone:  (717) 791-2012</w:t>
      </w:r>
    </w:p>
    <w:p w:rsidR="003A7DCB" w:rsidRDefault="003A7DCB" w:rsidP="003A7DCB">
      <w:pPr>
        <w:ind w:firstLine="720"/>
        <w:jc w:val="both"/>
      </w:pPr>
      <w:r>
        <w:t>Fax:  (336) 725-4476</w:t>
      </w:r>
      <w:r w:rsidR="00FB75C7">
        <w:tab/>
      </w:r>
      <w:r w:rsidR="00FB75C7">
        <w:tab/>
      </w:r>
      <w:r w:rsidR="00FB75C7">
        <w:tab/>
      </w:r>
      <w:r w:rsidR="00FB75C7">
        <w:tab/>
        <w:t>fax:  (717) 795-2743</w:t>
      </w:r>
    </w:p>
    <w:p w:rsidR="003A7DCB" w:rsidRDefault="00E72A9B" w:rsidP="003A7DCB">
      <w:pPr>
        <w:ind w:firstLine="720"/>
        <w:jc w:val="both"/>
      </w:pPr>
      <w:hyperlink r:id="rId7" w:history="1">
        <w:r w:rsidR="003A7DCB" w:rsidRPr="00AC1767">
          <w:rPr>
            <w:rStyle w:val="Hyperlink"/>
          </w:rPr>
          <w:t>seaton@spilmanlaw.com</w:t>
        </w:r>
      </w:hyperlink>
      <w:r w:rsidR="003A7DCB">
        <w:t xml:space="preserve"> </w:t>
      </w:r>
      <w:r w:rsidR="00FB75C7">
        <w:tab/>
      </w:r>
      <w:r w:rsidR="00FB75C7">
        <w:tab/>
      </w:r>
      <w:r w:rsidR="00FB75C7">
        <w:tab/>
      </w:r>
      <w:hyperlink r:id="rId8" w:history="1">
        <w:r w:rsidR="00FB75C7" w:rsidRPr="00AC1767">
          <w:rPr>
            <w:rStyle w:val="Hyperlink"/>
          </w:rPr>
          <w:t>slee@spilmanlaw.com</w:t>
        </w:r>
      </w:hyperlink>
      <w:r w:rsidR="00FB75C7">
        <w:t xml:space="preserve"> </w:t>
      </w:r>
    </w:p>
    <w:p w:rsidR="003A7DCB" w:rsidRDefault="003A7DCB" w:rsidP="003A7DCB">
      <w:pPr>
        <w:jc w:val="both"/>
      </w:pPr>
    </w:p>
    <w:p w:rsidR="003A7DCB" w:rsidRDefault="003A7DCB" w:rsidP="003A7DCB">
      <w:pPr>
        <w:keepNext/>
        <w:keepLines/>
        <w:jc w:val="both"/>
      </w:pPr>
      <w:r>
        <w:tab/>
        <w:t xml:space="preserve">By ORDER of Commissioner Gabriella Passidomo, as Prehearing Officer, this </w:t>
      </w:r>
      <w:bookmarkStart w:id="6" w:name="replaceDate"/>
      <w:bookmarkEnd w:id="6"/>
      <w:r w:rsidR="00B63736">
        <w:rPr>
          <w:u w:val="single"/>
        </w:rPr>
        <w:t>22nd</w:t>
      </w:r>
      <w:r w:rsidR="00B63736">
        <w:t xml:space="preserve"> day of </w:t>
      </w:r>
      <w:r w:rsidR="00B63736">
        <w:rPr>
          <w:u w:val="single"/>
        </w:rPr>
        <w:t>July</w:t>
      </w:r>
      <w:r w:rsidR="00B63736">
        <w:t xml:space="preserve">, </w:t>
      </w:r>
      <w:r w:rsidR="00B63736">
        <w:rPr>
          <w:u w:val="single"/>
        </w:rPr>
        <w:t>2024</w:t>
      </w:r>
      <w:r w:rsidR="00B63736">
        <w:t>.</w:t>
      </w:r>
    </w:p>
    <w:p w:rsidR="00B63736" w:rsidRPr="00B63736" w:rsidRDefault="00B63736" w:rsidP="003A7DCB">
      <w:pPr>
        <w:keepNext/>
        <w:keepLines/>
        <w:jc w:val="both"/>
      </w:pPr>
    </w:p>
    <w:p w:rsidR="003A7DCB" w:rsidRDefault="003A7DCB" w:rsidP="003A7D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A7DCB" w:rsidTr="003A7DCB">
        <w:tc>
          <w:tcPr>
            <w:tcW w:w="720" w:type="dxa"/>
            <w:shd w:val="clear" w:color="auto" w:fill="auto"/>
          </w:tcPr>
          <w:p w:rsidR="003A7DCB" w:rsidRDefault="003A7DCB" w:rsidP="003A7DCB">
            <w:pPr>
              <w:keepNext/>
              <w:keepLines/>
              <w:jc w:val="both"/>
            </w:pPr>
            <w:bookmarkStart w:id="7" w:name="bkmrkSignature" w:colFirst="0" w:colLast="0"/>
          </w:p>
        </w:tc>
        <w:tc>
          <w:tcPr>
            <w:tcW w:w="4320" w:type="dxa"/>
            <w:tcBorders>
              <w:bottom w:val="single" w:sz="4" w:space="0" w:color="auto"/>
            </w:tcBorders>
            <w:shd w:val="clear" w:color="auto" w:fill="auto"/>
          </w:tcPr>
          <w:p w:rsidR="003A7DCB" w:rsidRDefault="00E72A9B" w:rsidP="003A7DCB">
            <w:pPr>
              <w:keepNext/>
              <w:keepLines/>
              <w:jc w:val="both"/>
            </w:pPr>
            <w:r>
              <w:t>/s/ Gabriella Passidomo</w:t>
            </w:r>
            <w:bookmarkStart w:id="8" w:name="_GoBack"/>
            <w:bookmarkEnd w:id="8"/>
          </w:p>
        </w:tc>
      </w:tr>
      <w:bookmarkEnd w:id="7"/>
      <w:tr w:rsidR="003A7DCB" w:rsidTr="003A7DCB">
        <w:tc>
          <w:tcPr>
            <w:tcW w:w="720" w:type="dxa"/>
            <w:shd w:val="clear" w:color="auto" w:fill="auto"/>
          </w:tcPr>
          <w:p w:rsidR="003A7DCB" w:rsidRDefault="003A7DCB" w:rsidP="003A7DCB">
            <w:pPr>
              <w:keepNext/>
              <w:keepLines/>
              <w:jc w:val="both"/>
            </w:pPr>
          </w:p>
        </w:tc>
        <w:tc>
          <w:tcPr>
            <w:tcW w:w="4320" w:type="dxa"/>
            <w:tcBorders>
              <w:top w:val="single" w:sz="4" w:space="0" w:color="auto"/>
            </w:tcBorders>
            <w:shd w:val="clear" w:color="auto" w:fill="auto"/>
          </w:tcPr>
          <w:p w:rsidR="003A7DCB" w:rsidRDefault="003A7DCB" w:rsidP="003A7DCB">
            <w:pPr>
              <w:keepNext/>
              <w:keepLines/>
              <w:jc w:val="both"/>
            </w:pPr>
            <w:r>
              <w:t>Gabriella Passidomo</w:t>
            </w:r>
          </w:p>
          <w:p w:rsidR="003A7DCB" w:rsidRDefault="003A7DCB" w:rsidP="003A7DCB">
            <w:pPr>
              <w:keepNext/>
              <w:keepLines/>
              <w:jc w:val="both"/>
            </w:pPr>
            <w:r>
              <w:t>Commissioner and Prehearing Officer</w:t>
            </w:r>
          </w:p>
        </w:tc>
      </w:tr>
    </w:tbl>
    <w:p w:rsidR="003A7DCB" w:rsidRDefault="003A7DCB" w:rsidP="003A7DCB">
      <w:pPr>
        <w:pStyle w:val="OrderSigInfo"/>
        <w:keepNext/>
        <w:keepLines/>
      </w:pPr>
      <w:r>
        <w:t>Florida Public Service Commission</w:t>
      </w:r>
    </w:p>
    <w:p w:rsidR="003A7DCB" w:rsidRDefault="003A7DCB" w:rsidP="003A7DCB">
      <w:pPr>
        <w:pStyle w:val="OrderSigInfo"/>
        <w:keepNext/>
        <w:keepLines/>
      </w:pPr>
      <w:r>
        <w:t>2540 Shumard Oak Boulevard</w:t>
      </w:r>
    </w:p>
    <w:p w:rsidR="003A7DCB" w:rsidRDefault="003A7DCB" w:rsidP="003A7DCB">
      <w:pPr>
        <w:pStyle w:val="OrderSigInfo"/>
        <w:keepNext/>
        <w:keepLines/>
      </w:pPr>
      <w:r>
        <w:t>Tallahassee, Florida 32399</w:t>
      </w:r>
    </w:p>
    <w:p w:rsidR="003A7DCB" w:rsidRDefault="003A7DCB" w:rsidP="003A7DCB">
      <w:pPr>
        <w:pStyle w:val="OrderSigInfo"/>
        <w:keepNext/>
        <w:keepLines/>
      </w:pPr>
      <w:r>
        <w:t>(850) 413</w:t>
      </w:r>
      <w:r>
        <w:noBreakHyphen/>
        <w:t>6770</w:t>
      </w:r>
    </w:p>
    <w:p w:rsidR="003A7DCB" w:rsidRDefault="003A7DCB" w:rsidP="003A7DCB">
      <w:pPr>
        <w:pStyle w:val="OrderSigInfo"/>
        <w:keepNext/>
        <w:keepLines/>
      </w:pPr>
      <w:r>
        <w:t>www.floridapsc.com</w:t>
      </w:r>
    </w:p>
    <w:p w:rsidR="003A7DCB" w:rsidRDefault="003A7DCB" w:rsidP="003A7DCB">
      <w:pPr>
        <w:pStyle w:val="OrderSigInfo"/>
        <w:keepNext/>
        <w:keepLines/>
      </w:pPr>
    </w:p>
    <w:p w:rsidR="003A7DCB" w:rsidRDefault="003A7DCB" w:rsidP="003A7DCB">
      <w:pPr>
        <w:pStyle w:val="OrderSigInfo"/>
        <w:keepNext/>
        <w:keepLines/>
      </w:pPr>
      <w:r>
        <w:t>Copies furnished:  A copy of this document is provided to the parties of record at the time of issuance and, if applicable, interested persons.</w:t>
      </w:r>
    </w:p>
    <w:p w:rsidR="003A7DCB" w:rsidRDefault="003A7DCB" w:rsidP="003A7DCB">
      <w:pPr>
        <w:pStyle w:val="OrderBody"/>
        <w:keepNext/>
        <w:keepLines/>
      </w:pPr>
    </w:p>
    <w:p w:rsidR="003A7DCB" w:rsidRDefault="003A7DCB" w:rsidP="003A7DCB">
      <w:pPr>
        <w:keepNext/>
        <w:keepLines/>
        <w:jc w:val="both"/>
      </w:pPr>
    </w:p>
    <w:p w:rsidR="003A7DCB" w:rsidRDefault="003A7DCB" w:rsidP="003A7DCB">
      <w:pPr>
        <w:keepNext/>
        <w:keepLines/>
        <w:jc w:val="both"/>
      </w:pPr>
      <w:r>
        <w:t>SPS</w:t>
      </w:r>
    </w:p>
    <w:p w:rsidR="003A7DCB" w:rsidRDefault="003A7DCB" w:rsidP="003A7DCB">
      <w:pPr>
        <w:jc w:val="both"/>
      </w:pPr>
    </w:p>
    <w:p w:rsidR="003A7DCB" w:rsidRDefault="003A7DCB" w:rsidP="003A7DCB">
      <w:pPr>
        <w:jc w:val="both"/>
      </w:pPr>
    </w:p>
    <w:p w:rsidR="003A7DCB" w:rsidRDefault="003A7DCB" w:rsidP="003A7DCB">
      <w:pPr>
        <w:pStyle w:val="CenterUnderline"/>
      </w:pPr>
      <w:r>
        <w:t>NOTICE OF FURTHER PROCEEDINGS OR JUDICIAL REVIEW</w:t>
      </w:r>
    </w:p>
    <w:p w:rsidR="003A7DCB" w:rsidRDefault="003A7DCB" w:rsidP="003A7DCB">
      <w:pPr>
        <w:pStyle w:val="CenterUnderline"/>
      </w:pPr>
    </w:p>
    <w:p w:rsidR="003A7DCB" w:rsidRDefault="003A7DCB" w:rsidP="003A7D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7DCB" w:rsidRDefault="003A7DCB" w:rsidP="003A7DCB">
      <w:pPr>
        <w:pStyle w:val="OrderBody"/>
      </w:pPr>
    </w:p>
    <w:p w:rsidR="003A7DCB" w:rsidRDefault="003A7DCB" w:rsidP="003A7DCB">
      <w:pPr>
        <w:pStyle w:val="OrderBody"/>
      </w:pPr>
      <w:r>
        <w:tab/>
        <w:t>Mediation may be available on a case-by-case basis.  If mediation is conducted, it does not affect a substantially interested person's right to a hearing.</w:t>
      </w:r>
    </w:p>
    <w:p w:rsidR="003A7DCB" w:rsidRDefault="003A7DCB" w:rsidP="003A7DCB">
      <w:pPr>
        <w:pStyle w:val="OrderBody"/>
      </w:pPr>
    </w:p>
    <w:p w:rsidR="005F2751" w:rsidRDefault="003A7DCB" w:rsidP="00F4707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CB" w:rsidRDefault="003A7DCB">
      <w:r>
        <w:separator/>
      </w:r>
    </w:p>
  </w:endnote>
  <w:endnote w:type="continuationSeparator" w:id="0">
    <w:p w:rsidR="003A7DCB" w:rsidRDefault="003A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CB" w:rsidRDefault="003A7DCB">
      <w:r>
        <w:separator/>
      </w:r>
    </w:p>
  </w:footnote>
  <w:footnote w:type="continuationSeparator" w:id="0">
    <w:p w:rsidR="003A7DCB" w:rsidRDefault="003A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6 ">
      <w:r w:rsidR="00E72A9B">
        <w:t>PSC-2024-0256-PCO-EI</w:t>
      </w:r>
    </w:fldSimple>
  </w:p>
  <w:p w:rsidR="00FA6EFD" w:rsidRDefault="003A7DCB">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2A9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3A7DC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176B8"/>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CD2"/>
    <w:rsid w:val="00360F30"/>
    <w:rsid w:val="00361522"/>
    <w:rsid w:val="0037196E"/>
    <w:rsid w:val="003744F5"/>
    <w:rsid w:val="00382C6A"/>
    <w:rsid w:val="003875A9"/>
    <w:rsid w:val="00387BDE"/>
    <w:rsid w:val="00390DD8"/>
    <w:rsid w:val="00394DC6"/>
    <w:rsid w:val="00397C3E"/>
    <w:rsid w:val="003A7DC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6BA"/>
    <w:rsid w:val="0055595D"/>
    <w:rsid w:val="00556A10"/>
    <w:rsid w:val="00557F50"/>
    <w:rsid w:val="00571D3D"/>
    <w:rsid w:val="0058264B"/>
    <w:rsid w:val="00586368"/>
    <w:rsid w:val="005868AA"/>
    <w:rsid w:val="00590845"/>
    <w:rsid w:val="005963C2"/>
    <w:rsid w:val="005A0D69"/>
    <w:rsid w:val="005A31F4"/>
    <w:rsid w:val="005A73EA"/>
    <w:rsid w:val="005B2A9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546"/>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1D8E"/>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33D2"/>
    <w:rsid w:val="00804E7A"/>
    <w:rsid w:val="00805FBB"/>
    <w:rsid w:val="00814292"/>
    <w:rsid w:val="008169A4"/>
    <w:rsid w:val="008278FE"/>
    <w:rsid w:val="00832598"/>
    <w:rsid w:val="0083397E"/>
    <w:rsid w:val="0083534B"/>
    <w:rsid w:val="0084161F"/>
    <w:rsid w:val="00842035"/>
    <w:rsid w:val="00842602"/>
    <w:rsid w:val="008449F0"/>
    <w:rsid w:val="00846F11"/>
    <w:rsid w:val="00847B45"/>
    <w:rsid w:val="00863A66"/>
    <w:rsid w:val="008703D7"/>
    <w:rsid w:val="00874429"/>
    <w:rsid w:val="00875D22"/>
    <w:rsid w:val="00883D9A"/>
    <w:rsid w:val="008910E5"/>
    <w:rsid w:val="008919EF"/>
    <w:rsid w:val="00892B20"/>
    <w:rsid w:val="008931BC"/>
    <w:rsid w:val="0089695B"/>
    <w:rsid w:val="00897740"/>
    <w:rsid w:val="008A12EC"/>
    <w:rsid w:val="008A2402"/>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0E5"/>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0BC4"/>
    <w:rsid w:val="00B51074"/>
    <w:rsid w:val="00B54DAA"/>
    <w:rsid w:val="00B552E0"/>
    <w:rsid w:val="00B55AB0"/>
    <w:rsid w:val="00B55EE5"/>
    <w:rsid w:val="00B61D42"/>
    <w:rsid w:val="00B6373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21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0E81"/>
    <w:rsid w:val="00D80E2D"/>
    <w:rsid w:val="00D84D5E"/>
    <w:rsid w:val="00D8560E"/>
    <w:rsid w:val="00D8758F"/>
    <w:rsid w:val="00DA36D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2A9B"/>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47074"/>
    <w:rsid w:val="00F54380"/>
    <w:rsid w:val="00F54B47"/>
    <w:rsid w:val="00F61247"/>
    <w:rsid w:val="00F61F61"/>
    <w:rsid w:val="00F63191"/>
    <w:rsid w:val="00F6702E"/>
    <w:rsid w:val="00F70E84"/>
    <w:rsid w:val="00F73510"/>
    <w:rsid w:val="00F80685"/>
    <w:rsid w:val="00F94968"/>
    <w:rsid w:val="00FA092B"/>
    <w:rsid w:val="00FA4F6C"/>
    <w:rsid w:val="00FA6EFD"/>
    <w:rsid w:val="00FB3791"/>
    <w:rsid w:val="00FB6780"/>
    <w:rsid w:val="00FB74EA"/>
    <w:rsid w:val="00FB75C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3A7DCB"/>
    <w:pPr>
      <w:numPr>
        <w:numId w:val="1"/>
      </w:numPr>
    </w:pPr>
  </w:style>
  <w:style w:type="character" w:styleId="Hyperlink">
    <w:name w:val="Hyperlink"/>
    <w:basedOn w:val="DefaultParagraphFont"/>
    <w:unhideWhenUsed/>
    <w:rsid w:val="003A7DCB"/>
    <w:rPr>
      <w:color w:val="0000FF" w:themeColor="hyperlink"/>
      <w:u w:val="single"/>
    </w:rPr>
  </w:style>
  <w:style w:type="paragraph" w:styleId="BalloonText">
    <w:name w:val="Balloon Text"/>
    <w:basedOn w:val="Normal"/>
    <w:link w:val="BalloonTextChar"/>
    <w:semiHidden/>
    <w:unhideWhenUsed/>
    <w:rsid w:val="008A2402"/>
    <w:rPr>
      <w:rFonts w:ascii="Segoe UI" w:hAnsi="Segoe UI" w:cs="Segoe UI"/>
      <w:sz w:val="18"/>
      <w:szCs w:val="18"/>
    </w:rPr>
  </w:style>
  <w:style w:type="character" w:customStyle="1" w:styleId="BalloonTextChar">
    <w:name w:val="Balloon Text Char"/>
    <w:basedOn w:val="DefaultParagraphFont"/>
    <w:link w:val="BalloonText"/>
    <w:semiHidden/>
    <w:rsid w:val="008A2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e@spilmanlaw.com" TargetMode="External"/><Relationship Id="rId3" Type="http://schemas.openxmlformats.org/officeDocument/2006/relationships/settings" Target="settings.xml"/><Relationship Id="rId7" Type="http://schemas.openxmlformats.org/officeDocument/2006/relationships/hyperlink" Target="mailto:seaton@spilman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2024-07-22T17:31:00Z</dcterms:created>
  <dcterms:modified xsi:type="dcterms:W3CDTF">2024-07-22T19:09:00Z</dcterms:modified>
</cp:coreProperties>
</file>