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5DCE" w14:textId="77777777" w:rsidR="00CB5276" w:rsidRDefault="00FA6B65" w:rsidP="00FA6B65">
      <w:pPr>
        <w:pStyle w:val="OrderHeading"/>
      </w:pPr>
      <w:r>
        <w:t>BEFORE THE FLORIDA PUBLIC SERVICE COMMISSION</w:t>
      </w:r>
    </w:p>
    <w:p w14:paraId="2B157949" w14:textId="77777777" w:rsidR="00FA6B65" w:rsidRDefault="00FA6B65" w:rsidP="00FA6B65">
      <w:pPr>
        <w:pStyle w:val="OrderBody"/>
      </w:pPr>
    </w:p>
    <w:p w14:paraId="71DAAA00" w14:textId="77777777" w:rsidR="00FA6B65" w:rsidRDefault="00FA6B65" w:rsidP="00FA6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6B65" w:rsidRPr="00C63FCF" w14:paraId="2DA8EAF0" w14:textId="77777777" w:rsidTr="00C63FCF">
        <w:trPr>
          <w:trHeight w:val="828"/>
        </w:trPr>
        <w:tc>
          <w:tcPr>
            <w:tcW w:w="4788" w:type="dxa"/>
            <w:tcBorders>
              <w:bottom w:val="single" w:sz="8" w:space="0" w:color="auto"/>
              <w:right w:val="double" w:sz="6" w:space="0" w:color="auto"/>
            </w:tcBorders>
            <w:shd w:val="clear" w:color="auto" w:fill="auto"/>
          </w:tcPr>
          <w:p w14:paraId="6CB8C2F3" w14:textId="77777777" w:rsidR="00FA6B65" w:rsidRDefault="00FA6B65"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071BD559" w14:textId="77777777" w:rsidR="00FA6B65" w:rsidRDefault="00FA6B65" w:rsidP="00FA6B65">
            <w:pPr>
              <w:pStyle w:val="OrderBody"/>
            </w:pPr>
            <w:r>
              <w:t xml:space="preserve">DOCKET NO. </w:t>
            </w:r>
            <w:bookmarkStart w:id="1" w:name="SSDocketNo"/>
            <w:bookmarkEnd w:id="1"/>
            <w:r>
              <w:t>20240025-EI</w:t>
            </w:r>
          </w:p>
          <w:p w14:paraId="51D46E8E" w14:textId="09851D33" w:rsidR="00FA6B65" w:rsidRDefault="00FA6B65" w:rsidP="00C63FCF">
            <w:pPr>
              <w:pStyle w:val="OrderBody"/>
              <w:tabs>
                <w:tab w:val="center" w:pos="4320"/>
                <w:tab w:val="right" w:pos="8640"/>
              </w:tabs>
              <w:jc w:val="left"/>
            </w:pPr>
            <w:r>
              <w:t xml:space="preserve">ORDER NO. </w:t>
            </w:r>
            <w:bookmarkStart w:id="2" w:name="OrderNo0264"/>
            <w:r w:rsidR="004A7A28">
              <w:t>PSC-2024-0264-PCO-EI</w:t>
            </w:r>
            <w:bookmarkEnd w:id="2"/>
          </w:p>
          <w:p w14:paraId="5DA21267" w14:textId="6A067D39" w:rsidR="00FA6B65" w:rsidRDefault="00FA6B65" w:rsidP="00C63FCF">
            <w:pPr>
              <w:pStyle w:val="OrderBody"/>
              <w:tabs>
                <w:tab w:val="center" w:pos="4320"/>
                <w:tab w:val="right" w:pos="8640"/>
              </w:tabs>
              <w:jc w:val="left"/>
            </w:pPr>
            <w:r>
              <w:t xml:space="preserve">ISSUED: </w:t>
            </w:r>
            <w:r w:rsidR="004A7A28">
              <w:t>July 24, 2024</w:t>
            </w:r>
          </w:p>
        </w:tc>
      </w:tr>
    </w:tbl>
    <w:p w14:paraId="4449B3C8" w14:textId="77777777" w:rsidR="00FA6B65" w:rsidRDefault="00FA6B65" w:rsidP="00FA6B65"/>
    <w:p w14:paraId="5A82DB24" w14:textId="77777777" w:rsidR="00FA6B65" w:rsidRDefault="00FA6B65" w:rsidP="00FA6B65"/>
    <w:p w14:paraId="691DEBF6" w14:textId="77777777" w:rsidR="00CB5276" w:rsidRDefault="00FA6B65" w:rsidP="00FA6B65">
      <w:pPr>
        <w:pStyle w:val="CenterUnderline"/>
      </w:pPr>
      <w:bookmarkStart w:id="3" w:name="Commissioners"/>
      <w:bookmarkEnd w:id="3"/>
      <w:r>
        <w:t>FIRST ORDER</w:t>
      </w:r>
      <w:bookmarkStart w:id="4" w:name="OrderTitle"/>
      <w:r>
        <w:t xml:space="preserve"> </w:t>
      </w:r>
      <w:r w:rsidR="00B93759">
        <w:t>REVISING</w:t>
      </w:r>
      <w:r>
        <w:t xml:space="preserve"> ORDER ESTABLISHING PROCEDURE </w:t>
      </w:r>
      <w:bookmarkEnd w:id="4"/>
    </w:p>
    <w:p w14:paraId="3BF22E2F" w14:textId="77777777" w:rsidR="00FA6B65" w:rsidRDefault="00FA6B65" w:rsidP="00FA6B65">
      <w:pPr>
        <w:pStyle w:val="OrderBody"/>
      </w:pPr>
    </w:p>
    <w:p w14:paraId="54E2978A"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14:paraId="13DC7A81"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545386" w14:textId="51BE2524" w:rsidR="00FA6B65" w:rsidRDefault="00FA6B65" w:rsidP="00CA4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A4F20" w:rsidRPr="00AB33CB">
        <w:t>Duke Energy Florida</w:t>
      </w:r>
      <w:r w:rsidR="00CA4F20">
        <w:t>, LLC (DEF</w:t>
      </w:r>
      <w:r w:rsidR="00CA4F20" w:rsidRPr="00AB33CB">
        <w:t xml:space="preserve">) filed its Petition for Rate Increase, minimum filing requirements (MFRs), and </w:t>
      </w:r>
      <w:r w:rsidR="00CA4F20">
        <w:t>testimony on April 2, 2024. DEF</w:t>
      </w:r>
      <w:r w:rsidR="00CA4F20" w:rsidRPr="00AB33CB">
        <w:t xml:space="preserve"> filed its MFRs based on projected test years from January 1 to December 31, 2025; January 1 to December 31, 2026; and January 1 to December 31, 2027. </w:t>
      </w:r>
      <w:r w:rsidR="00CA4F20">
        <w:t xml:space="preserve">By Order No. PSC-2024-0092-PCO-EI, issued April 11, 2024, </w:t>
      </w:r>
      <w:r w:rsidR="00CA4F20" w:rsidRPr="00AB33CB">
        <w:t>a</w:t>
      </w:r>
      <w:r w:rsidR="00CA4F20">
        <w:t xml:space="preserve"> fi</w:t>
      </w:r>
      <w:r w:rsidR="00CA4F20" w:rsidRPr="00AB33CB">
        <w:t>n</w:t>
      </w:r>
      <w:r w:rsidR="00CA4F20">
        <w:t>al</w:t>
      </w:r>
      <w:r w:rsidR="00CA4F20" w:rsidRPr="00AB33CB">
        <w:t xml:space="preserve"> administrative hearing </w:t>
      </w:r>
      <w:r w:rsidR="00561858">
        <w:t>was</w:t>
      </w:r>
      <w:r w:rsidR="00CA4F20" w:rsidRPr="00AB33CB">
        <w:t xml:space="preserve"> scheduled for August 12 – </w:t>
      </w:r>
      <w:r w:rsidR="00CA4F20">
        <w:t>16</w:t>
      </w:r>
      <w:r w:rsidR="00CA4F20" w:rsidRPr="00AB33CB">
        <w:t>, 2024</w:t>
      </w:r>
      <w:r w:rsidR="00561858">
        <w:t>, with</w:t>
      </w:r>
      <w:r w:rsidR="00CA4F20">
        <w:t xml:space="preserve"> August 19 – 23, 2024, also reserved for the continuation and conclusion of th</w:t>
      </w:r>
      <w:r w:rsidR="00561858">
        <w:t>e</w:t>
      </w:r>
      <w:r w:rsidR="00CA4F20">
        <w:t xml:space="preserve"> hearing, if necessary.</w:t>
      </w:r>
    </w:p>
    <w:p w14:paraId="1A14F90C" w14:textId="77777777" w:rsidR="00CA4F20" w:rsidRDefault="00CA4F20" w:rsidP="00CA4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A31222" w14:textId="77777777" w:rsidR="00B56A86" w:rsidRDefault="00CA4F20" w:rsidP="00B56A86">
      <w:pPr>
        <w:autoSpaceDE w:val="0"/>
        <w:autoSpaceDN w:val="0"/>
        <w:adjustRightInd w:val="0"/>
        <w:jc w:val="both"/>
      </w:pPr>
      <w:r>
        <w:tab/>
        <w:t>Intervention by the</w:t>
      </w:r>
      <w:r w:rsidR="009B7AF9" w:rsidRPr="009B7AF9">
        <w:t xml:space="preserve"> </w:t>
      </w:r>
      <w:r w:rsidR="009B7AF9">
        <w:t>Citizens of the State of Florida through the Office of Public Counsel</w:t>
      </w:r>
      <w:r>
        <w:t xml:space="preserve"> </w:t>
      </w:r>
      <w:r w:rsidR="00B3740F">
        <w:t xml:space="preserve">(OPC) </w:t>
      </w:r>
      <w:r>
        <w:t xml:space="preserve">was acknowledged by Order No. PSC-2024-0041-PCO-EI, issued February 16, 2024. </w:t>
      </w:r>
      <w:r w:rsidR="00B56A86">
        <w:t>Petitions to Intervene filed by t</w:t>
      </w:r>
      <w:r>
        <w:t>he following entities and associations</w:t>
      </w:r>
      <w:r w:rsidR="003824F4">
        <w:t xml:space="preserve"> </w:t>
      </w:r>
      <w:r>
        <w:t>were subsequently granted: Florida Rising, Inc. and the League of United Latin American C</w:t>
      </w:r>
      <w:r w:rsidRPr="003824F4">
        <w:t>itizens of Florida</w:t>
      </w:r>
      <w:r w:rsidR="003824F4" w:rsidRPr="003824F4">
        <w:t xml:space="preserve"> (collectively </w:t>
      </w:r>
      <w:r w:rsidR="00B3740F">
        <w:t>(</w:t>
      </w:r>
      <w:r w:rsidR="003824F4" w:rsidRPr="003824F4">
        <w:t>LULAC)</w:t>
      </w:r>
      <w:r w:rsidR="00B56A86">
        <w:t>;</w:t>
      </w:r>
      <w:r w:rsidR="003824F4" w:rsidRPr="003824F4">
        <w:rPr>
          <w:rStyle w:val="FootnoteReference"/>
        </w:rPr>
        <w:footnoteReference w:id="1"/>
      </w:r>
      <w:r w:rsidRPr="003824F4">
        <w:t xml:space="preserve"> </w:t>
      </w:r>
      <w:r w:rsidR="003824F4" w:rsidRPr="003824F4">
        <w:t>Florida Industrial Power Users Group (FIPUG)</w:t>
      </w:r>
      <w:r w:rsidR="00B56A86">
        <w:t>;</w:t>
      </w:r>
      <w:r w:rsidR="003824F4" w:rsidRPr="003824F4">
        <w:rPr>
          <w:rStyle w:val="FootnoteReference"/>
        </w:rPr>
        <w:footnoteReference w:id="2"/>
      </w:r>
      <w:r w:rsidR="003824F4" w:rsidRPr="003824F4">
        <w:t xml:space="preserve"> </w:t>
      </w:r>
      <w:r w:rsidRPr="003824F4">
        <w:t>Florida Retail Federation</w:t>
      </w:r>
      <w:r w:rsidR="003824F4" w:rsidRPr="003824F4">
        <w:t xml:space="preserve"> (FRF)</w:t>
      </w:r>
      <w:r w:rsidR="00B56A86">
        <w:t>;</w:t>
      </w:r>
      <w:r w:rsidR="003824F4" w:rsidRPr="003824F4">
        <w:rPr>
          <w:rStyle w:val="FootnoteReference"/>
        </w:rPr>
        <w:footnoteReference w:id="3"/>
      </w:r>
      <w:r w:rsidRPr="003824F4">
        <w:t xml:space="preserve"> </w:t>
      </w:r>
      <w:r w:rsidR="003824F4" w:rsidRPr="003824F4">
        <w:t>Sierra Club</w:t>
      </w:r>
      <w:r w:rsidR="00B56A86">
        <w:t>;</w:t>
      </w:r>
      <w:r w:rsidR="003824F4" w:rsidRPr="003824F4">
        <w:rPr>
          <w:rStyle w:val="FootnoteReference"/>
        </w:rPr>
        <w:footnoteReference w:id="4"/>
      </w:r>
      <w:r w:rsidR="003824F4" w:rsidRPr="003824F4">
        <w:t xml:space="preserve"> </w:t>
      </w:r>
      <w:r w:rsidR="003824F4" w:rsidRPr="003824F4">
        <w:rPr>
          <w:color w:val="101010"/>
        </w:rPr>
        <w:t>White Sprin</w:t>
      </w:r>
      <w:r w:rsidR="003824F4" w:rsidRPr="003824F4">
        <w:rPr>
          <w:color w:val="343434"/>
        </w:rPr>
        <w:t xml:space="preserve">gs </w:t>
      </w:r>
      <w:r w:rsidR="003824F4" w:rsidRPr="003824F4">
        <w:rPr>
          <w:color w:val="252525"/>
        </w:rPr>
        <w:t xml:space="preserve">Agricultural Chemicals, </w:t>
      </w:r>
      <w:r w:rsidR="003824F4" w:rsidRPr="003824F4">
        <w:rPr>
          <w:color w:val="101010"/>
        </w:rPr>
        <w:t>Inc</w:t>
      </w:r>
      <w:r w:rsidR="003824F4" w:rsidRPr="003824F4">
        <w:rPr>
          <w:color w:val="4A4750"/>
        </w:rPr>
        <w:t xml:space="preserve">. </w:t>
      </w:r>
      <w:r w:rsidR="003824F4" w:rsidRPr="003824F4">
        <w:rPr>
          <w:color w:val="101010"/>
        </w:rPr>
        <w:t>d/b</w:t>
      </w:r>
      <w:r w:rsidR="003824F4" w:rsidRPr="003824F4">
        <w:rPr>
          <w:color w:val="616063"/>
        </w:rPr>
        <w:t>/</w:t>
      </w:r>
      <w:r w:rsidR="003824F4" w:rsidRPr="003824F4">
        <w:rPr>
          <w:color w:val="252525"/>
        </w:rPr>
        <w:t xml:space="preserve">a </w:t>
      </w:r>
      <w:r w:rsidR="003824F4" w:rsidRPr="003824F4">
        <w:rPr>
          <w:color w:val="101010"/>
        </w:rPr>
        <w:t>PCS</w:t>
      </w:r>
      <w:r w:rsidR="003824F4">
        <w:rPr>
          <w:color w:val="101010"/>
        </w:rPr>
        <w:t xml:space="preserve"> </w:t>
      </w:r>
      <w:r w:rsidR="003824F4" w:rsidRPr="003824F4">
        <w:rPr>
          <w:color w:val="101010"/>
        </w:rPr>
        <w:t>Pho</w:t>
      </w:r>
      <w:r w:rsidR="003824F4" w:rsidRPr="003824F4">
        <w:rPr>
          <w:color w:val="343434"/>
        </w:rPr>
        <w:t>s</w:t>
      </w:r>
      <w:r w:rsidR="003824F4" w:rsidRPr="003824F4">
        <w:rPr>
          <w:color w:val="101010"/>
        </w:rPr>
        <w:t xml:space="preserve">phate </w:t>
      </w:r>
      <w:r w:rsidR="003824F4" w:rsidRPr="003824F4">
        <w:rPr>
          <w:color w:val="616063"/>
        </w:rPr>
        <w:t xml:space="preserve">- </w:t>
      </w:r>
      <w:r w:rsidR="003824F4" w:rsidRPr="003824F4">
        <w:rPr>
          <w:color w:val="101010"/>
        </w:rPr>
        <w:t xml:space="preserve">White </w:t>
      </w:r>
      <w:r w:rsidR="003824F4" w:rsidRPr="003824F4">
        <w:rPr>
          <w:color w:val="252525"/>
        </w:rPr>
        <w:t>Springs</w:t>
      </w:r>
      <w:r w:rsidR="003824F4">
        <w:rPr>
          <w:color w:val="252525"/>
        </w:rPr>
        <w:t xml:space="preserve"> (</w:t>
      </w:r>
      <w:r w:rsidR="00291037">
        <w:rPr>
          <w:color w:val="252525"/>
        </w:rPr>
        <w:t>PCS Phosphate</w:t>
      </w:r>
      <w:r w:rsidR="003824F4">
        <w:rPr>
          <w:color w:val="252525"/>
        </w:rPr>
        <w:t>)</w:t>
      </w:r>
      <w:r w:rsidR="00B56A86">
        <w:rPr>
          <w:color w:val="252525"/>
        </w:rPr>
        <w:t>;</w:t>
      </w:r>
      <w:r w:rsidR="003824F4">
        <w:rPr>
          <w:rStyle w:val="FootnoteReference"/>
          <w:color w:val="252525"/>
        </w:rPr>
        <w:footnoteReference w:id="5"/>
      </w:r>
      <w:r w:rsidR="003824F4">
        <w:rPr>
          <w:color w:val="252525"/>
        </w:rPr>
        <w:t xml:space="preserve"> </w:t>
      </w:r>
      <w:r w:rsidR="003824F4">
        <w:t>Nucor Steel Florida, Inc.</w:t>
      </w:r>
      <w:r w:rsidR="003824F4" w:rsidRPr="00357D43">
        <w:t xml:space="preserve"> (</w:t>
      </w:r>
      <w:r w:rsidR="003824F4">
        <w:t>Nucor</w:t>
      </w:r>
      <w:r w:rsidR="003824F4" w:rsidRPr="00357D43">
        <w:t>)</w:t>
      </w:r>
      <w:r w:rsidR="00B56A86">
        <w:t>;</w:t>
      </w:r>
      <w:r w:rsidR="003824F4">
        <w:rPr>
          <w:rStyle w:val="FootnoteReference"/>
        </w:rPr>
        <w:footnoteReference w:id="6"/>
      </w:r>
      <w:r w:rsidR="00B56A86" w:rsidRPr="00B56A86">
        <w:t xml:space="preserve"> </w:t>
      </w:r>
      <w:r w:rsidR="00B56A86" w:rsidRPr="001C144C">
        <w:t xml:space="preserve">the </w:t>
      </w:r>
      <w:r w:rsidR="00B56A86">
        <w:t>Southern Alliance for Clean Energy (SACE);</w:t>
      </w:r>
      <w:r w:rsidR="00B56A86">
        <w:rPr>
          <w:rStyle w:val="FootnoteReference"/>
        </w:rPr>
        <w:footnoteReference w:id="7"/>
      </w:r>
      <w:r w:rsidR="00B56A86" w:rsidRPr="00B56A86">
        <w:t xml:space="preserve"> </w:t>
      </w:r>
      <w:r w:rsidR="00B56A86">
        <w:t>Americans for Affordable Clean Energy, Inc., Circle K Stores, Inc., RaceTrac, Inc., and Wawa, Inc. (collectively Fuel Retailers);</w:t>
      </w:r>
      <w:r w:rsidR="00B56A86">
        <w:rPr>
          <w:rStyle w:val="FootnoteReference"/>
        </w:rPr>
        <w:footnoteReference w:id="8"/>
      </w:r>
      <w:r w:rsidR="00B56A86">
        <w:t xml:space="preserve"> EVgo Services, LLC (EVgo)</w:t>
      </w:r>
      <w:r w:rsidR="00B3740F">
        <w:t>;</w:t>
      </w:r>
      <w:r w:rsidR="00B56A86">
        <w:rPr>
          <w:rStyle w:val="FootnoteReference"/>
        </w:rPr>
        <w:footnoteReference w:id="9"/>
      </w:r>
      <w:r w:rsidR="00B3740F">
        <w:t xml:space="preserve"> and Walmart, Inc. (Walmart).</w:t>
      </w:r>
      <w:r w:rsidR="00B3740F">
        <w:rPr>
          <w:rStyle w:val="FootnoteReference"/>
        </w:rPr>
        <w:footnoteReference w:id="10"/>
      </w:r>
      <w:r w:rsidR="00B3740F">
        <w:t xml:space="preserve"> The Petition to Intervene by the Florida Solar Energy Industry Association was denied without prejudice.</w:t>
      </w:r>
      <w:r w:rsidR="00B3740F">
        <w:rPr>
          <w:rStyle w:val="FootnoteReference"/>
        </w:rPr>
        <w:footnoteReference w:id="11"/>
      </w:r>
    </w:p>
    <w:p w14:paraId="57FB74D9" w14:textId="77777777" w:rsidR="00B3740F" w:rsidRPr="00B56A86" w:rsidRDefault="00B3740F" w:rsidP="00B56A86">
      <w:pPr>
        <w:autoSpaceDE w:val="0"/>
        <w:autoSpaceDN w:val="0"/>
        <w:adjustRightInd w:val="0"/>
        <w:jc w:val="both"/>
        <w:rPr>
          <w:color w:val="252525"/>
        </w:rPr>
      </w:pPr>
    </w:p>
    <w:p w14:paraId="64BE8225" w14:textId="3C01C27C" w:rsidR="00CA4F20" w:rsidRDefault="00CA4F20" w:rsidP="009B7AF9">
      <w:pPr>
        <w:autoSpaceDE w:val="0"/>
        <w:autoSpaceDN w:val="0"/>
        <w:adjustRightInd w:val="0"/>
        <w:jc w:val="both"/>
      </w:pPr>
      <w:r w:rsidRPr="003824F4">
        <w:tab/>
      </w:r>
      <w:r w:rsidR="009B7AF9">
        <w:t>On July 8, 2024, DEF and OPC filed a Joint Motion to Suspend Procedural Schedule</w:t>
      </w:r>
      <w:r w:rsidR="00D15401">
        <w:t xml:space="preserve"> (Motion to Suspend)</w:t>
      </w:r>
      <w:r w:rsidR="009B7AF9">
        <w:t>. In the Motion</w:t>
      </w:r>
      <w:r w:rsidR="00D15401">
        <w:t xml:space="preserve"> to Suspend</w:t>
      </w:r>
      <w:r w:rsidR="009B7AF9">
        <w:t>, DEF and OPC represented that they had reached an agreement in principle to resolve all issues in this docket, and</w:t>
      </w:r>
      <w:r w:rsidR="009B7AF9" w:rsidRPr="009B7AF9">
        <w:t xml:space="preserve"> </w:t>
      </w:r>
      <w:r w:rsidR="009B7AF9">
        <w:t xml:space="preserve">requested </w:t>
      </w:r>
      <w:r w:rsidR="009B7AF9" w:rsidRPr="00982DBB">
        <w:t xml:space="preserve">that the Commission </w:t>
      </w:r>
      <w:r w:rsidR="009B7AF9">
        <w:t>“</w:t>
      </w:r>
      <w:r w:rsidR="009B7AF9" w:rsidRPr="00982DBB">
        <w:t>suspend all pending hearings, deadlines, and other matters in this docket (including discovery not related to the Settlement Agreement) . . . .”</w:t>
      </w:r>
      <w:r w:rsidR="009B7AF9">
        <w:t xml:space="preserve"> </w:t>
      </w:r>
      <w:r w:rsidR="00D15401">
        <w:t xml:space="preserve">FIPUG, FRF, LULAC, Nucor, and PCS </w:t>
      </w:r>
      <w:r w:rsidR="00AF4D88">
        <w:lastRenderedPageBreak/>
        <w:t>Phosphate</w:t>
      </w:r>
      <w:r w:rsidR="00D15401">
        <w:t xml:space="preserve"> support the Motion to Suspend; </w:t>
      </w:r>
      <w:r w:rsidR="00AF4D88">
        <w:t>EVg</w:t>
      </w:r>
      <w:r w:rsidR="009B7AF9" w:rsidRPr="00982DBB">
        <w:t>o and S</w:t>
      </w:r>
      <w:r w:rsidR="009B7AF9">
        <w:t>ACE</w:t>
      </w:r>
      <w:r w:rsidR="009B7AF9" w:rsidRPr="00982DBB">
        <w:t xml:space="preserve"> </w:t>
      </w:r>
      <w:r w:rsidR="009B7AF9">
        <w:t xml:space="preserve">did </w:t>
      </w:r>
      <w:r w:rsidR="009B7AF9" w:rsidRPr="00982DBB">
        <w:t>not oppose</w:t>
      </w:r>
      <w:r w:rsidR="009B7AF9">
        <w:t xml:space="preserve">, </w:t>
      </w:r>
      <w:r w:rsidR="00A93A7F">
        <w:t xml:space="preserve">and </w:t>
      </w:r>
      <w:r w:rsidR="009B7AF9">
        <w:t>the Fuel Retailers and</w:t>
      </w:r>
      <w:r w:rsidR="009B7AF9" w:rsidRPr="00982DBB">
        <w:t xml:space="preserve"> Sierra Club t</w:t>
      </w:r>
      <w:r w:rsidR="009B7AF9">
        <w:t>ook</w:t>
      </w:r>
      <w:r w:rsidR="009B7AF9" w:rsidRPr="00982DBB">
        <w:t xml:space="preserve"> no position.</w:t>
      </w:r>
      <w:r w:rsidR="00797A1D">
        <w:t xml:space="preserve"> By Order No. PSC-2024-0234-PCO-EI, issued July 11, 2024, t</w:t>
      </w:r>
      <w:r w:rsidR="009B7AF9">
        <w:t xml:space="preserve">he Joint Motion was granted and </w:t>
      </w:r>
      <w:r w:rsidR="00561858">
        <w:t>the controlling dates</w:t>
      </w:r>
      <w:r>
        <w:t xml:space="preserve"> were </w:t>
      </w:r>
      <w:r w:rsidR="00797A1D">
        <w:t>suspended</w:t>
      </w:r>
      <w:r>
        <w:t>.</w:t>
      </w:r>
    </w:p>
    <w:p w14:paraId="7B93B30F" w14:textId="77777777" w:rsidR="00291037" w:rsidRDefault="00291037" w:rsidP="009B7AF9">
      <w:pPr>
        <w:autoSpaceDE w:val="0"/>
        <w:autoSpaceDN w:val="0"/>
        <w:adjustRightInd w:val="0"/>
        <w:jc w:val="both"/>
      </w:pPr>
    </w:p>
    <w:p w14:paraId="6C493CAF" w14:textId="15541C13" w:rsidR="00291037" w:rsidRDefault="00291037" w:rsidP="009B7AF9">
      <w:pPr>
        <w:autoSpaceDE w:val="0"/>
        <w:autoSpaceDN w:val="0"/>
        <w:adjustRightInd w:val="0"/>
        <w:jc w:val="both"/>
      </w:pPr>
      <w:r>
        <w:tab/>
        <w:t>On July 15, 2024, DEF, OPC, FRF, FIPUG, Nucor, a</w:t>
      </w:r>
      <w:r w:rsidR="00561858">
        <w:t xml:space="preserve">nd PCS Phosphate (collectively </w:t>
      </w:r>
      <w:r>
        <w:t>Signatories) filed a Joint Motion for Approv</w:t>
      </w:r>
      <w:r w:rsidR="003446B9">
        <w:t>al of 2024 Settlement Agreement</w:t>
      </w:r>
      <w:r w:rsidR="00FD4D13">
        <w:t xml:space="preserve"> (Motion for Approval), with a copy of the 2024 Settlement Agreement appended thereto as Attachment 1. The Signatories request that the Commission consider the Settlement Agreement during the two-week period that ha</w:t>
      </w:r>
      <w:r w:rsidR="00561858">
        <w:t>d</w:t>
      </w:r>
      <w:r w:rsidR="00FD4D13">
        <w:t xml:space="preserve"> been set aside for the final hearing in this docket</w:t>
      </w:r>
      <w:r w:rsidR="00FC3AFC">
        <w:t>, and approve the Settlement Agreement in its entirety as being in the public interest. LULAC, SACE, Walmart, and Sierra Club do not oppose the Motion for Approval; EVgo does not object to either; and the Fuel Retailers take no position and “reserve all rights” to take a position after further review of the final Settlement Agreement.</w:t>
      </w:r>
      <w:r w:rsidR="00336CDA">
        <w:t xml:space="preserve"> No responses in opposition to the Motion for Approval have been filed, and the time for doing so has expired.</w:t>
      </w:r>
    </w:p>
    <w:p w14:paraId="50A9F7B0" w14:textId="77777777" w:rsidR="00CA4F20" w:rsidRDefault="00CA4F20"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900D5B"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C3AFC">
        <w:t xml:space="preserve">As was noted in the Order Granting Joint Motion to Suspend Procedural Order, “[a] separate order will be issued establishing the appropriate process and controlling dates that will govern this proceeding.” </w:t>
      </w:r>
      <w:r>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685D1D8B"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7435442"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42497B">
        <w:rPr>
          <w:b/>
        </w:rPr>
        <w:t>I</w:t>
      </w:r>
      <w:r>
        <w:rPr>
          <w:b/>
        </w:rPr>
        <w:t>.</w:t>
      </w:r>
      <w:r>
        <w:rPr>
          <w:b/>
        </w:rPr>
        <w:tab/>
      </w:r>
      <w:r>
        <w:rPr>
          <w:b/>
          <w:u w:val="single"/>
        </w:rPr>
        <w:t xml:space="preserve">Tentative List of </w:t>
      </w:r>
      <w:r w:rsidR="00DE76F0">
        <w:rPr>
          <w:b/>
          <w:u w:val="single"/>
        </w:rPr>
        <w:t xml:space="preserve">Major Elements of </w:t>
      </w:r>
      <w:r w:rsidR="00FC3AFC">
        <w:rPr>
          <w:b/>
          <w:u w:val="single"/>
        </w:rPr>
        <w:t>Settlement Agreement</w:t>
      </w:r>
    </w:p>
    <w:p w14:paraId="4D043DFE" w14:textId="77777777"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36CB2732" w14:textId="77777777" w:rsidR="00532728"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 </w:t>
      </w:r>
      <w:r w:rsidR="00DE76F0">
        <w:t xml:space="preserve">tentative </w:t>
      </w:r>
      <w:r>
        <w:t xml:space="preserve">list of the </w:t>
      </w:r>
      <w:r w:rsidR="00DE76F0">
        <w:t>major elements of the 2024 Settlement Agreement</w:t>
      </w:r>
      <w:r>
        <w:t xml:space="preserve"> </w:t>
      </w:r>
      <w:r w:rsidR="00532728">
        <w:t>that the Commission will consider in determining whether the Agreement is in the public interest</w:t>
      </w:r>
      <w:r w:rsidR="00532728">
        <w:rPr>
          <w:rStyle w:val="FootnoteReference"/>
        </w:rPr>
        <w:footnoteReference w:id="12"/>
      </w:r>
      <w:r w:rsidR="00532728">
        <w:t xml:space="preserve"> is append</w:t>
      </w:r>
      <w:r>
        <w:t>ed hereto as A</w:t>
      </w:r>
      <w:r w:rsidR="00532728">
        <w:t>ttachment</w:t>
      </w:r>
      <w:r>
        <w:t xml:space="preserve"> A.</w:t>
      </w:r>
    </w:p>
    <w:p w14:paraId="2AAB6E8D" w14:textId="60B9B5CF" w:rsidR="00FA6B65" w:rsidRDefault="00FA6B65"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0DBCD258" w14:textId="77777777" w:rsidR="00FA6B65" w:rsidRDefault="0042497B" w:rsidP="00FA6B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156196">
        <w:rPr>
          <w:b/>
        </w:rPr>
        <w:t>II</w:t>
      </w:r>
      <w:r w:rsidR="00FA6B65">
        <w:rPr>
          <w:b/>
        </w:rPr>
        <w:t>.</w:t>
      </w:r>
      <w:r w:rsidR="00FA6B65">
        <w:rPr>
          <w:b/>
        </w:rPr>
        <w:tab/>
      </w:r>
      <w:r w:rsidR="00C4077E">
        <w:rPr>
          <w:b/>
          <w:u w:val="single"/>
        </w:rPr>
        <w:t>Discovery</w:t>
      </w:r>
    </w:p>
    <w:p w14:paraId="1FDE3983" w14:textId="77777777" w:rsidR="00C4077E" w:rsidRDefault="00C4077E" w:rsidP="001715F5">
      <w:pPr>
        <w:pStyle w:val="CenterUnderline"/>
        <w:jc w:val="both"/>
        <w:rPr>
          <w:u w:val="none"/>
        </w:rPr>
      </w:pPr>
    </w:p>
    <w:p w14:paraId="46D58589" w14:textId="520D1B00" w:rsidR="00561858" w:rsidRDefault="00561858" w:rsidP="001715F5">
      <w:pPr>
        <w:pStyle w:val="CenterUnderline"/>
        <w:jc w:val="both"/>
        <w:rPr>
          <w:u w:val="none"/>
        </w:rPr>
      </w:pPr>
      <w:r>
        <w:rPr>
          <w:u w:val="none"/>
        </w:rPr>
        <w:tab/>
        <w:t xml:space="preserve">All discovery for which responses were pending on July 11, 2024, when </w:t>
      </w:r>
      <w:r w:rsidR="00E2403C">
        <w:rPr>
          <w:u w:val="none"/>
        </w:rPr>
        <w:t xml:space="preserve">the </w:t>
      </w:r>
      <w:r w:rsidRPr="00561858">
        <w:rPr>
          <w:u w:val="none"/>
        </w:rPr>
        <w:t>Order Granting Joint Motion to Suspend Procedural Order was issued, shall be considered withdrawn.</w:t>
      </w:r>
    </w:p>
    <w:p w14:paraId="7C63F648" w14:textId="77777777" w:rsidR="00561858" w:rsidRDefault="00561858" w:rsidP="001715F5">
      <w:pPr>
        <w:pStyle w:val="CenterUnderline"/>
        <w:jc w:val="both"/>
        <w:rPr>
          <w:u w:val="none"/>
        </w:rPr>
      </w:pPr>
    </w:p>
    <w:p w14:paraId="2ABC32FB" w14:textId="5BD20544" w:rsidR="002061E6" w:rsidRDefault="00F53DA0" w:rsidP="001715F5">
      <w:pPr>
        <w:pStyle w:val="CenterUnderline"/>
        <w:jc w:val="both"/>
        <w:rPr>
          <w:u w:val="none"/>
        </w:rPr>
      </w:pPr>
      <w:r>
        <w:rPr>
          <w:u w:val="none"/>
        </w:rPr>
        <w:tab/>
        <w:t>All parties and Commission staff may propound discovery related to the Settlement Agreement.</w:t>
      </w:r>
      <w:r w:rsidR="002061E6">
        <w:rPr>
          <w:u w:val="none"/>
        </w:rPr>
        <w:t xml:space="preserve"> Section V(A) of</w:t>
      </w:r>
      <w:r>
        <w:rPr>
          <w:u w:val="none"/>
        </w:rPr>
        <w:t xml:space="preserve"> </w:t>
      </w:r>
      <w:r w:rsidR="002061E6" w:rsidRPr="00F9631A">
        <w:rPr>
          <w:u w:val="none"/>
        </w:rPr>
        <w:t>Order No. PSC-2024-0092-PCO-EI</w:t>
      </w:r>
      <w:r w:rsidR="002061E6" w:rsidRPr="002061E6">
        <w:rPr>
          <w:u w:val="none"/>
        </w:rPr>
        <w:t xml:space="preserve"> </w:t>
      </w:r>
      <w:r w:rsidR="006239AB">
        <w:rPr>
          <w:u w:val="none"/>
        </w:rPr>
        <w:t>is</w:t>
      </w:r>
      <w:r w:rsidR="002061E6" w:rsidRPr="002061E6">
        <w:rPr>
          <w:u w:val="none"/>
        </w:rPr>
        <w:t xml:space="preserve"> amended as follows:</w:t>
      </w:r>
    </w:p>
    <w:p w14:paraId="50845FF8" w14:textId="08BCFFFF" w:rsidR="002061E6" w:rsidRDefault="002061E6" w:rsidP="001715F5">
      <w:pPr>
        <w:pStyle w:val="CenterUnderline"/>
        <w:jc w:val="both"/>
        <w:rPr>
          <w:u w:val="none"/>
        </w:rPr>
      </w:pPr>
    </w:p>
    <w:p w14:paraId="735DE0EC" w14:textId="09AEC346" w:rsidR="002061E6" w:rsidRDefault="002061E6" w:rsidP="006239AB">
      <w:pPr>
        <w:autoSpaceDE w:val="0"/>
        <w:autoSpaceDN w:val="0"/>
        <w:adjustRightInd w:val="0"/>
        <w:ind w:left="720" w:right="720"/>
        <w:jc w:val="both"/>
        <w:rPr>
          <w:rFonts w:ascii="TimesNewRomanPSMT" w:hAnsi="TimesNewRomanPSMT" w:cs="TimesNewRomanPSMT"/>
        </w:rPr>
      </w:pPr>
      <w:r>
        <w:rPr>
          <w:rFonts w:ascii="TimesNewRomanPSMT" w:hAnsi="TimesNewRomanPSMT" w:cs="TimesNewRomanPSMT"/>
        </w:rPr>
        <w:t xml:space="preserve">(1) Discovery shall be completed by </w:t>
      </w:r>
      <w:r w:rsidR="006239AB" w:rsidRPr="001D3995">
        <w:rPr>
          <w:rFonts w:ascii="TimesNewRomanPSMT" w:hAnsi="TimesNewRomanPSMT" w:cs="TimesNewRomanPSMT"/>
          <w:b/>
          <w:u w:val="single"/>
        </w:rPr>
        <w:t>August 16</w:t>
      </w:r>
      <w:r w:rsidRPr="001D3995">
        <w:rPr>
          <w:rFonts w:ascii="TimesNewRomanPSMT" w:hAnsi="TimesNewRomanPSMT" w:cs="TimesNewRomanPSMT"/>
          <w:b/>
          <w:u w:val="single"/>
        </w:rPr>
        <w:t>, 2024</w:t>
      </w:r>
      <w:r>
        <w:rPr>
          <w:rFonts w:ascii="TimesNewRomanPSMT" w:hAnsi="TimesNewRomanPSMT" w:cs="TimesNewRomanPSMT"/>
        </w:rPr>
        <w:t>.</w:t>
      </w:r>
    </w:p>
    <w:p w14:paraId="52988ED2" w14:textId="77777777" w:rsidR="002061E6" w:rsidRDefault="002061E6" w:rsidP="006239AB">
      <w:pPr>
        <w:autoSpaceDE w:val="0"/>
        <w:autoSpaceDN w:val="0"/>
        <w:adjustRightInd w:val="0"/>
        <w:ind w:left="720" w:right="720"/>
        <w:jc w:val="both"/>
        <w:rPr>
          <w:rFonts w:ascii="TimesNewRomanPSMT" w:hAnsi="TimesNewRomanPSMT" w:cs="TimesNewRomanPSMT"/>
        </w:rPr>
      </w:pPr>
    </w:p>
    <w:p w14:paraId="55B593A1" w14:textId="6EFEA97E" w:rsidR="002061E6" w:rsidRDefault="002061E6" w:rsidP="006239AB">
      <w:pPr>
        <w:autoSpaceDE w:val="0"/>
        <w:autoSpaceDN w:val="0"/>
        <w:adjustRightInd w:val="0"/>
        <w:ind w:left="720" w:right="720"/>
        <w:jc w:val="both"/>
        <w:rPr>
          <w:rFonts w:ascii="TimesNewRomanPSMT" w:hAnsi="TimesNewRomanPSMT" w:cs="TimesNewRomanPSMT"/>
        </w:rPr>
      </w:pPr>
      <w:r>
        <w:rPr>
          <w:rFonts w:ascii="TimesNewRomanPSMT" w:hAnsi="TimesNewRomanPSMT" w:cs="TimesNewRomanPSMT"/>
        </w:rPr>
        <w:t xml:space="preserve">(2) </w:t>
      </w:r>
      <w:r w:rsidRPr="001D3995">
        <w:rPr>
          <w:rFonts w:ascii="TimesNewRomanPSMT" w:hAnsi="TimesNewRomanPSMT" w:cs="TimesNewRomanPSMT"/>
          <w:b/>
        </w:rPr>
        <w:t>Discovery requests and responses shall be served by e-mail</w:t>
      </w:r>
      <w:r w:rsidR="00AE0A14" w:rsidRPr="00AE0A14">
        <w:rPr>
          <w:rFonts w:ascii="TimesNewRomanPSMT" w:hAnsi="TimesNewRomanPSMT" w:cs="TimesNewRomanPSMT"/>
        </w:rPr>
        <w:t>.</w:t>
      </w:r>
      <w:r>
        <w:rPr>
          <w:rFonts w:ascii="TimesNewRomanPSMT" w:hAnsi="TimesNewRomanPSMT" w:cs="TimesNewRomanPSMT"/>
        </w:rPr>
        <w:t xml:space="preserve"> Discovery served via e-mail shall be limited to 5 MB per attachment, shall indicate how </w:t>
      </w:r>
      <w:r>
        <w:rPr>
          <w:rFonts w:ascii="TimesNewRomanPSMT" w:hAnsi="TimesNewRomanPSMT" w:cs="TimesNewRomanPSMT"/>
        </w:rPr>
        <w:lastRenderedPageBreak/>
        <w:t>many e-mails are being sent related to the discovery (such as 1 of 6 e-mails), and shall be numbered sequentially. Documents provided in response to a document request may be provided via a CD, DVD, or flash drive if not served electronically.</w:t>
      </w:r>
    </w:p>
    <w:p w14:paraId="6F6C6EA8" w14:textId="77777777" w:rsidR="002061E6" w:rsidRDefault="002061E6" w:rsidP="006239AB">
      <w:pPr>
        <w:autoSpaceDE w:val="0"/>
        <w:autoSpaceDN w:val="0"/>
        <w:adjustRightInd w:val="0"/>
        <w:ind w:left="720" w:right="720"/>
        <w:jc w:val="both"/>
        <w:rPr>
          <w:rFonts w:ascii="TimesNewRomanPSMT" w:hAnsi="TimesNewRomanPSMT" w:cs="TimesNewRomanPSMT"/>
        </w:rPr>
      </w:pPr>
    </w:p>
    <w:p w14:paraId="3B5413CA" w14:textId="3BBF21C8" w:rsidR="002061E6" w:rsidRDefault="002061E6" w:rsidP="006239AB">
      <w:pPr>
        <w:autoSpaceDE w:val="0"/>
        <w:autoSpaceDN w:val="0"/>
        <w:adjustRightInd w:val="0"/>
        <w:ind w:left="720" w:right="720"/>
        <w:jc w:val="both"/>
      </w:pPr>
      <w:r>
        <w:rPr>
          <w:rFonts w:ascii="TimesNewRomanPSMT" w:hAnsi="TimesNewRomanPSMT" w:cs="TimesNewRomanPSMT"/>
        </w:rPr>
        <w:t xml:space="preserve">(6) Discovery responses shall be served within </w:t>
      </w:r>
      <w:r w:rsidR="006239AB" w:rsidRPr="001D3995">
        <w:rPr>
          <w:rFonts w:ascii="TimesNewRomanPSMT" w:hAnsi="TimesNewRomanPSMT" w:cs="TimesNewRomanPSMT"/>
          <w:b/>
          <w:u w:val="single"/>
        </w:rPr>
        <w:t>5</w:t>
      </w:r>
      <w:r w:rsidR="006239AB">
        <w:rPr>
          <w:rFonts w:ascii="TimesNewRomanPSMT" w:hAnsi="TimesNewRomanPSMT" w:cs="TimesNewRomanPSMT"/>
        </w:rPr>
        <w:t xml:space="preserve"> </w:t>
      </w:r>
      <w:r>
        <w:rPr>
          <w:rFonts w:ascii="TimesNewRomanPSMT" w:hAnsi="TimesNewRomanPSMT" w:cs="TimesNewRomanPSMT"/>
        </w:rPr>
        <w:t xml:space="preserve">days of receipt of the discovery request. </w:t>
      </w:r>
      <w:r w:rsidRPr="001D3995">
        <w:rPr>
          <w:b/>
          <w:u w:val="single"/>
        </w:rPr>
        <w:t>All written responses must be accompanied by an affidavit sworn or affirmed by the person(s) providing the responses.</w:t>
      </w:r>
      <w:r w:rsidR="006239AB" w:rsidRPr="006239AB">
        <w:t xml:space="preserve"> </w:t>
      </w:r>
    </w:p>
    <w:p w14:paraId="46377981" w14:textId="77777777" w:rsidR="002061E6" w:rsidRDefault="002061E6" w:rsidP="006239AB">
      <w:pPr>
        <w:pStyle w:val="CenterUnderline"/>
        <w:ind w:left="720" w:right="720"/>
        <w:jc w:val="both"/>
      </w:pPr>
    </w:p>
    <w:p w14:paraId="77546257" w14:textId="186C617A" w:rsidR="002061E6" w:rsidRDefault="006239AB" w:rsidP="006239AB">
      <w:pPr>
        <w:pStyle w:val="CenterUnderline"/>
        <w:ind w:left="720" w:right="720"/>
        <w:jc w:val="both"/>
        <w:rPr>
          <w:u w:val="none"/>
        </w:rPr>
      </w:pPr>
      <w:r>
        <w:rPr>
          <w:u w:val="none"/>
        </w:rPr>
        <w:t>[</w:t>
      </w:r>
      <w:r w:rsidR="002061E6">
        <w:rPr>
          <w:u w:val="none"/>
        </w:rPr>
        <w:t>unnumbered paragraph]</w:t>
      </w:r>
      <w:r>
        <w:rPr>
          <w:u w:val="none"/>
        </w:rPr>
        <w:t xml:space="preserve"> </w:t>
      </w:r>
      <w:r w:rsidR="002061E6" w:rsidRPr="006239AB">
        <w:rPr>
          <w:rFonts w:ascii="TimesNewRomanPSMT" w:hAnsi="TimesNewRomanPSMT" w:cs="TimesNewRomanPSMT"/>
          <w:u w:val="none"/>
        </w:rPr>
        <w:t xml:space="preserve">When a discovery request is served and the respondent intends to seek clarification of any portion of the discovery request, the respondent shall request such clarification within </w:t>
      </w:r>
      <w:r w:rsidRPr="001D3995">
        <w:rPr>
          <w:rFonts w:ascii="TimesNewRomanPSMT" w:hAnsi="TimesNewRomanPSMT" w:cs="TimesNewRomanPSMT"/>
          <w:b/>
        </w:rPr>
        <w:t>2</w:t>
      </w:r>
      <w:r w:rsidRPr="00010731">
        <w:rPr>
          <w:rFonts w:ascii="TimesNewRomanPSMT" w:hAnsi="TimesNewRomanPSMT" w:cs="TimesNewRomanPSMT"/>
          <w:b/>
        </w:rPr>
        <w:t xml:space="preserve"> </w:t>
      </w:r>
      <w:r w:rsidR="002061E6" w:rsidRPr="00010731">
        <w:rPr>
          <w:rFonts w:ascii="TimesNewRomanPSMT" w:hAnsi="TimesNewRomanPSMT" w:cs="TimesNewRomanPSMT"/>
          <w:b/>
        </w:rPr>
        <w:t>d</w:t>
      </w:r>
      <w:r w:rsidR="002061E6" w:rsidRPr="001D3995">
        <w:rPr>
          <w:rFonts w:ascii="TimesNewRomanPSMT" w:hAnsi="TimesNewRomanPSMT" w:cs="TimesNewRomanPSMT"/>
          <w:b/>
        </w:rPr>
        <w:t>ays of service of the</w:t>
      </w:r>
      <w:r w:rsidR="002061E6">
        <w:rPr>
          <w:rFonts w:ascii="TimesNewRomanPSMT" w:hAnsi="TimesNewRomanPSMT" w:cs="TimesNewRomanPSMT"/>
        </w:rPr>
        <w:t xml:space="preserve"> </w:t>
      </w:r>
      <w:r w:rsidR="002061E6" w:rsidRPr="001D3995">
        <w:rPr>
          <w:rFonts w:ascii="TimesNewRomanPSMT" w:hAnsi="TimesNewRomanPSMT" w:cs="TimesNewRomanPSMT"/>
          <w:b/>
        </w:rPr>
        <w:t>discovery request.</w:t>
      </w:r>
      <w:r w:rsidR="002061E6" w:rsidRPr="006239AB">
        <w:rPr>
          <w:rFonts w:ascii="TimesNewRomanPSMT" w:hAnsi="TimesNewRomanPSMT" w:cs="TimesNewRomanPSMT"/>
          <w:u w:val="none"/>
        </w:rPr>
        <w:t xml:space="preserve"> This procedure is intended to</w:t>
      </w:r>
      <w:r w:rsidR="00A35CCC">
        <w:rPr>
          <w:rFonts w:ascii="TimesNewRomanPSMT" w:hAnsi="TimesNewRomanPSMT" w:cs="TimesNewRomanPSMT"/>
          <w:u w:val="none"/>
        </w:rPr>
        <w:t xml:space="preserve"> </w:t>
      </w:r>
      <w:r w:rsidR="002061E6" w:rsidRPr="006239AB">
        <w:rPr>
          <w:rFonts w:ascii="TimesNewRomanPSMT" w:hAnsi="TimesNewRomanPSMT" w:cs="TimesNewRomanPSMT"/>
          <w:u w:val="none"/>
        </w:rPr>
        <w:t>reduce delay in resolving discovery disputes.</w:t>
      </w:r>
    </w:p>
    <w:p w14:paraId="188FA60B" w14:textId="77777777" w:rsidR="002061E6" w:rsidRDefault="002061E6" w:rsidP="002061E6">
      <w:pPr>
        <w:pStyle w:val="CenterUnderline"/>
        <w:jc w:val="both"/>
        <w:rPr>
          <w:u w:val="none"/>
        </w:rPr>
      </w:pPr>
    </w:p>
    <w:p w14:paraId="0EDE5588" w14:textId="4763BB3D" w:rsidR="00561858" w:rsidRDefault="00561858" w:rsidP="00E3527F">
      <w:pPr>
        <w:ind w:firstLine="720"/>
        <w:jc w:val="both"/>
      </w:pPr>
      <w:r>
        <w:rPr>
          <w:rFonts w:cs="Courier New"/>
        </w:rPr>
        <w:t xml:space="preserve">All provisions in </w:t>
      </w:r>
      <w:r w:rsidRPr="00F9631A">
        <w:t>Order No. PSC-2024-0092-PCO-EI</w:t>
      </w:r>
      <w:r>
        <w:t xml:space="preserve"> regarding discovery not specifically amended by the above remain applicable.</w:t>
      </w:r>
    </w:p>
    <w:p w14:paraId="4B67B92D" w14:textId="77777777" w:rsidR="00C4077E" w:rsidRDefault="00C4077E" w:rsidP="003879E1">
      <w:pPr>
        <w:autoSpaceDE w:val="0"/>
        <w:autoSpaceDN w:val="0"/>
        <w:adjustRightInd w:val="0"/>
        <w:jc w:val="both"/>
        <w:rPr>
          <w:b/>
        </w:rPr>
      </w:pPr>
    </w:p>
    <w:p w14:paraId="6537D37B" w14:textId="77777777" w:rsidR="003879E1" w:rsidRPr="003879E1" w:rsidRDefault="00C4077E" w:rsidP="003879E1">
      <w:pPr>
        <w:autoSpaceDE w:val="0"/>
        <w:autoSpaceDN w:val="0"/>
        <w:adjustRightInd w:val="0"/>
        <w:jc w:val="both"/>
        <w:rPr>
          <w:b/>
          <w:u w:val="single"/>
        </w:rPr>
      </w:pPr>
      <w:r>
        <w:rPr>
          <w:b/>
        </w:rPr>
        <w:t>I</w:t>
      </w:r>
      <w:r w:rsidR="003879E1">
        <w:rPr>
          <w:b/>
        </w:rPr>
        <w:t>V.</w:t>
      </w:r>
      <w:r w:rsidR="003879E1">
        <w:rPr>
          <w:b/>
        </w:rPr>
        <w:tab/>
      </w:r>
      <w:r w:rsidR="003879E1">
        <w:rPr>
          <w:b/>
          <w:u w:val="single"/>
        </w:rPr>
        <w:t>Controlling Dates</w:t>
      </w:r>
    </w:p>
    <w:p w14:paraId="29B8F13F" w14:textId="77777777" w:rsidR="003879E1" w:rsidRDefault="003879E1" w:rsidP="003879E1">
      <w:pPr>
        <w:autoSpaceDE w:val="0"/>
        <w:autoSpaceDN w:val="0"/>
        <w:adjustRightInd w:val="0"/>
        <w:jc w:val="both"/>
      </w:pPr>
    </w:p>
    <w:p w14:paraId="370BD661" w14:textId="77777777" w:rsidR="003879E1" w:rsidRDefault="003879E1" w:rsidP="003879E1">
      <w:pPr>
        <w:autoSpaceDE w:val="0"/>
        <w:autoSpaceDN w:val="0"/>
        <w:adjustRightInd w:val="0"/>
        <w:jc w:val="both"/>
      </w:pPr>
      <w:r>
        <w:tab/>
        <w:t>The following dates are established for Commission consideration of the Joint Motion for Approval of 2024 Settlement Agreement:</w:t>
      </w:r>
    </w:p>
    <w:p w14:paraId="74E21E95" w14:textId="77777777" w:rsidR="008654F4" w:rsidRDefault="008654F4" w:rsidP="003879E1">
      <w:pPr>
        <w:pStyle w:val="CenterUnderline"/>
        <w:jc w:val="both"/>
        <w:rPr>
          <w:u w:val="none"/>
        </w:rPr>
      </w:pPr>
    </w:p>
    <w:p w14:paraId="21BC1EE9" w14:textId="2882C827" w:rsidR="00C4077E" w:rsidRDefault="00C4077E" w:rsidP="003879E1">
      <w:pPr>
        <w:pStyle w:val="CenterUnderline"/>
        <w:jc w:val="both"/>
        <w:rPr>
          <w:u w:val="none"/>
        </w:rPr>
      </w:pPr>
      <w:r>
        <w:rPr>
          <w:u w:val="none"/>
        </w:rPr>
        <w:tab/>
      </w:r>
      <w:r w:rsidR="0043421E">
        <w:rPr>
          <w:u w:val="none"/>
        </w:rPr>
        <w:t xml:space="preserve">Discovery </w:t>
      </w:r>
      <w:r w:rsidR="0011137E">
        <w:rPr>
          <w:u w:val="none"/>
        </w:rPr>
        <w:t>deadline</w:t>
      </w:r>
      <w:r w:rsidR="0011137E">
        <w:rPr>
          <w:u w:val="none"/>
        </w:rPr>
        <w:tab/>
      </w:r>
      <w:r w:rsidR="0043421E">
        <w:rPr>
          <w:u w:val="none"/>
        </w:rPr>
        <w:tab/>
      </w:r>
      <w:r>
        <w:rPr>
          <w:u w:val="none"/>
        </w:rPr>
        <w:tab/>
      </w:r>
      <w:r>
        <w:rPr>
          <w:u w:val="none"/>
        </w:rPr>
        <w:tab/>
        <w:t>August 1</w:t>
      </w:r>
      <w:r w:rsidR="00F40ACB">
        <w:rPr>
          <w:u w:val="none"/>
        </w:rPr>
        <w:t>6</w:t>
      </w:r>
      <w:r>
        <w:rPr>
          <w:u w:val="none"/>
        </w:rPr>
        <w:t>, 2024</w:t>
      </w:r>
    </w:p>
    <w:p w14:paraId="025721CB" w14:textId="77777777" w:rsidR="007801D4" w:rsidRDefault="003879E1" w:rsidP="003879E1">
      <w:pPr>
        <w:pStyle w:val="CenterUnderline"/>
        <w:jc w:val="both"/>
        <w:rPr>
          <w:u w:val="none"/>
        </w:rPr>
      </w:pPr>
      <w:r>
        <w:rPr>
          <w:u w:val="none"/>
        </w:rPr>
        <w:tab/>
      </w:r>
    </w:p>
    <w:p w14:paraId="4F719680" w14:textId="36196891" w:rsidR="003879E1" w:rsidRDefault="007801D4" w:rsidP="003879E1">
      <w:pPr>
        <w:pStyle w:val="CenterUnderline"/>
        <w:jc w:val="both"/>
        <w:rPr>
          <w:u w:val="none"/>
        </w:rPr>
      </w:pPr>
      <w:r>
        <w:rPr>
          <w:u w:val="none"/>
        </w:rPr>
        <w:tab/>
      </w:r>
      <w:r w:rsidR="003879E1">
        <w:rPr>
          <w:u w:val="none"/>
        </w:rPr>
        <w:t>Final h</w:t>
      </w:r>
      <w:r w:rsidR="00AD63FF">
        <w:rPr>
          <w:u w:val="none"/>
        </w:rPr>
        <w:t>earing</w:t>
      </w:r>
      <w:r w:rsidR="00AD63FF">
        <w:rPr>
          <w:u w:val="none"/>
        </w:rPr>
        <w:tab/>
      </w:r>
      <w:r w:rsidR="00AD63FF">
        <w:rPr>
          <w:u w:val="none"/>
        </w:rPr>
        <w:tab/>
      </w:r>
      <w:r w:rsidR="00AD63FF">
        <w:rPr>
          <w:u w:val="none"/>
        </w:rPr>
        <w:tab/>
      </w:r>
      <w:r w:rsidR="00AD63FF">
        <w:rPr>
          <w:u w:val="none"/>
        </w:rPr>
        <w:tab/>
      </w:r>
      <w:r w:rsidR="00AD63FF">
        <w:rPr>
          <w:u w:val="none"/>
        </w:rPr>
        <w:tab/>
        <w:t xml:space="preserve">August </w:t>
      </w:r>
      <w:r w:rsidR="006239AB">
        <w:rPr>
          <w:u w:val="none"/>
        </w:rPr>
        <w:t>2</w:t>
      </w:r>
      <w:r w:rsidR="00336CDA">
        <w:rPr>
          <w:u w:val="none"/>
        </w:rPr>
        <w:t>1</w:t>
      </w:r>
      <w:r w:rsidR="003879E1">
        <w:rPr>
          <w:u w:val="none"/>
        </w:rPr>
        <w:t>, 202</w:t>
      </w:r>
      <w:r w:rsidR="00AD63FF">
        <w:rPr>
          <w:u w:val="none"/>
        </w:rPr>
        <w:t>4</w:t>
      </w:r>
    </w:p>
    <w:p w14:paraId="53A786F0" w14:textId="30F4E72A" w:rsidR="003879E1" w:rsidRDefault="003879E1" w:rsidP="003879E1">
      <w:pPr>
        <w:pStyle w:val="CenterUnderline"/>
        <w:jc w:val="both"/>
        <w:rPr>
          <w:u w:val="none"/>
        </w:rPr>
      </w:pPr>
      <w:r>
        <w:rPr>
          <w:u w:val="none"/>
        </w:rPr>
        <w:tab/>
      </w:r>
      <w:r w:rsidR="00987BC7">
        <w:rPr>
          <w:u w:val="none"/>
        </w:rPr>
        <w:tab/>
      </w:r>
      <w:r w:rsidR="00987BC7">
        <w:rPr>
          <w:u w:val="none"/>
        </w:rPr>
        <w:tab/>
      </w:r>
      <w:r w:rsidR="00987BC7">
        <w:rPr>
          <w:u w:val="none"/>
        </w:rPr>
        <w:tab/>
      </w:r>
      <w:r w:rsidR="00987BC7">
        <w:rPr>
          <w:u w:val="none"/>
        </w:rPr>
        <w:tab/>
      </w:r>
      <w:r w:rsidR="00987BC7">
        <w:rPr>
          <w:u w:val="none"/>
        </w:rPr>
        <w:tab/>
      </w:r>
      <w:r w:rsidR="00987BC7">
        <w:rPr>
          <w:u w:val="none"/>
        </w:rPr>
        <w:tab/>
        <w:t>August 22, 2024, if necessary</w:t>
      </w:r>
    </w:p>
    <w:p w14:paraId="57D32843" w14:textId="77777777" w:rsidR="00987BC7" w:rsidRDefault="00987BC7" w:rsidP="003879E1">
      <w:pPr>
        <w:pStyle w:val="CenterUnderline"/>
        <w:jc w:val="both"/>
        <w:rPr>
          <w:u w:val="none"/>
        </w:rPr>
      </w:pPr>
    </w:p>
    <w:p w14:paraId="5CF0883E" w14:textId="10D716D8" w:rsidR="003879E1" w:rsidRDefault="003879E1" w:rsidP="003879E1">
      <w:pPr>
        <w:pStyle w:val="CenterUnderline"/>
        <w:jc w:val="both"/>
        <w:rPr>
          <w:u w:val="none"/>
        </w:rPr>
      </w:pPr>
      <w:r>
        <w:rPr>
          <w:u w:val="none"/>
        </w:rPr>
        <w:tab/>
        <w:t>Post-Hearing Briefs</w:t>
      </w:r>
      <w:r>
        <w:rPr>
          <w:u w:val="none"/>
        </w:rPr>
        <w:tab/>
      </w:r>
      <w:r>
        <w:rPr>
          <w:u w:val="none"/>
        </w:rPr>
        <w:tab/>
      </w:r>
      <w:r>
        <w:rPr>
          <w:u w:val="none"/>
        </w:rPr>
        <w:tab/>
      </w:r>
      <w:r>
        <w:rPr>
          <w:u w:val="none"/>
        </w:rPr>
        <w:tab/>
      </w:r>
      <w:r w:rsidR="00F53DA0">
        <w:rPr>
          <w:u w:val="none"/>
        </w:rPr>
        <w:t xml:space="preserve">September </w:t>
      </w:r>
      <w:r w:rsidR="006239AB">
        <w:rPr>
          <w:u w:val="none"/>
        </w:rPr>
        <w:t>6</w:t>
      </w:r>
      <w:r w:rsidR="00F53DA0">
        <w:rPr>
          <w:u w:val="none"/>
        </w:rPr>
        <w:t>, 2024</w:t>
      </w:r>
    </w:p>
    <w:p w14:paraId="12A79150" w14:textId="77777777" w:rsidR="003879E1" w:rsidRDefault="003879E1" w:rsidP="00FA6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8CB7AE" w14:textId="77777777" w:rsidR="00FA6B65" w:rsidRDefault="00FA6B65" w:rsidP="00FA6B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7F6F4ECC" w14:textId="77777777" w:rsidR="00F9631A" w:rsidRDefault="00F9631A" w:rsidP="00FA6B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2ED7FA" w14:textId="1FC63ED8" w:rsidR="00F9631A" w:rsidRDefault="00F9631A" w:rsidP="00F9631A">
      <w:pPr>
        <w:pStyle w:val="CenterUnderline"/>
        <w:jc w:val="both"/>
        <w:rPr>
          <w:u w:val="none"/>
        </w:rPr>
      </w:pPr>
      <w:r>
        <w:rPr>
          <w:u w:val="none"/>
        </w:rPr>
        <w:tab/>
        <w:t xml:space="preserve">ORDERED by </w:t>
      </w:r>
      <w:r w:rsidRPr="00F9631A">
        <w:rPr>
          <w:u w:val="none"/>
        </w:rPr>
        <w:t>Commissioner Gabriella Passidomo, as Prehearing Officer,</w:t>
      </w:r>
      <w:r>
        <w:rPr>
          <w:u w:val="none"/>
        </w:rPr>
        <w:t xml:space="preserve"> that</w:t>
      </w:r>
      <w:r w:rsidR="00561858">
        <w:rPr>
          <w:u w:val="none"/>
        </w:rPr>
        <w:t xml:space="preserve"> </w:t>
      </w:r>
      <w:r w:rsidRPr="00F9631A">
        <w:rPr>
          <w:u w:val="none"/>
        </w:rPr>
        <w:t>Order No. PSC-2024-0092-PCO-EI, issued April 11, 2024,</w:t>
      </w:r>
      <w:r>
        <w:rPr>
          <w:u w:val="none"/>
        </w:rPr>
        <w:t xml:space="preserve"> shall be modified as stated above.</w:t>
      </w:r>
      <w:r w:rsidR="00DE67FE">
        <w:rPr>
          <w:u w:val="none"/>
        </w:rPr>
        <w:t xml:space="preserve"> The provisions of that Order are reaffirmed to the extent no</w:t>
      </w:r>
      <w:r w:rsidR="007801D4">
        <w:rPr>
          <w:u w:val="none"/>
        </w:rPr>
        <w:t>t</w:t>
      </w:r>
      <w:r w:rsidR="00DE67FE">
        <w:rPr>
          <w:u w:val="none"/>
        </w:rPr>
        <w:t xml:space="preserve"> inconsistent with this Order. </w:t>
      </w:r>
      <w:r>
        <w:rPr>
          <w:u w:val="none"/>
        </w:rPr>
        <w:t>It is further</w:t>
      </w:r>
    </w:p>
    <w:p w14:paraId="5C207300" w14:textId="77777777" w:rsidR="00FA6B65" w:rsidRDefault="00FA6B65" w:rsidP="00FA6B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E8B777" w14:textId="77777777" w:rsidR="00FA6B65" w:rsidRDefault="00FA6B65" w:rsidP="00EC22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the provisions of this Order shall govern this proceeding unless modified by the Commission.</w:t>
      </w:r>
    </w:p>
    <w:p w14:paraId="71D342B8" w14:textId="77777777" w:rsidR="00EC2204" w:rsidRDefault="00EC2204" w:rsidP="00EC22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B37BA9" w14:textId="77777777" w:rsidR="00EC2204" w:rsidRDefault="00EC2204" w:rsidP="00EC22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E217AE" w14:textId="7D5E4CC1"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Gabriella Passidomo, as Prehearing Officer, this </w:t>
      </w:r>
      <w:bookmarkStart w:id="6" w:name="replaceDate"/>
      <w:bookmarkEnd w:id="6"/>
      <w:r w:rsidR="004A7A28">
        <w:rPr>
          <w:u w:val="single"/>
        </w:rPr>
        <w:t>24th</w:t>
      </w:r>
      <w:r w:rsidR="004A7A28">
        <w:t xml:space="preserve"> day of </w:t>
      </w:r>
      <w:r w:rsidR="004A7A28">
        <w:rPr>
          <w:u w:val="single"/>
        </w:rPr>
        <w:t>July</w:t>
      </w:r>
      <w:r w:rsidR="004A7A28">
        <w:t xml:space="preserve">, </w:t>
      </w:r>
      <w:r w:rsidR="004A7A28">
        <w:rPr>
          <w:u w:val="single"/>
        </w:rPr>
        <w:t>2024</w:t>
      </w:r>
      <w:r w:rsidR="004A7A28">
        <w:t>.</w:t>
      </w:r>
    </w:p>
    <w:p w14:paraId="25B37CDA" w14:textId="77777777" w:rsidR="004A7A28" w:rsidRPr="004A7A28" w:rsidRDefault="004A7A28"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B36C18"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468E30"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EC2204" w14:paraId="620404CC" w14:textId="77777777" w:rsidTr="00EC2204">
        <w:tc>
          <w:tcPr>
            <w:tcW w:w="720" w:type="dxa"/>
            <w:shd w:val="clear" w:color="auto" w:fill="auto"/>
          </w:tcPr>
          <w:p w14:paraId="04C9AD7E"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14:paraId="48117D62" w14:textId="0BF8D2F4" w:rsidR="00EC2204" w:rsidRDefault="004A7A28"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w:t>
            </w:r>
            <w:bookmarkStart w:id="8" w:name="_GoBack"/>
            <w:bookmarkEnd w:id="8"/>
          </w:p>
        </w:tc>
      </w:tr>
      <w:bookmarkEnd w:id="7"/>
      <w:tr w:rsidR="00EC2204" w14:paraId="32A6D15B" w14:textId="77777777" w:rsidTr="00EC2204">
        <w:tc>
          <w:tcPr>
            <w:tcW w:w="720" w:type="dxa"/>
            <w:shd w:val="clear" w:color="auto" w:fill="auto"/>
          </w:tcPr>
          <w:p w14:paraId="4F38EB0A"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559DABCF"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w:t>
            </w:r>
          </w:p>
          <w:p w14:paraId="1CD5017D"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44BA6BB2" w14:textId="77777777" w:rsidR="00EC2204" w:rsidRDefault="00EC2204" w:rsidP="00EC2204">
      <w:pPr>
        <w:pStyle w:val="OrderSigInfo"/>
        <w:keepNext/>
        <w:keepLines/>
      </w:pPr>
      <w:r>
        <w:t>Florida Public Service Commission</w:t>
      </w:r>
    </w:p>
    <w:p w14:paraId="3EC26B20" w14:textId="77777777" w:rsidR="00EC2204" w:rsidRDefault="00EC2204" w:rsidP="00EC2204">
      <w:pPr>
        <w:pStyle w:val="OrderSigInfo"/>
        <w:keepNext/>
        <w:keepLines/>
      </w:pPr>
      <w:r>
        <w:t>2540 Shumard Oak Boulevard</w:t>
      </w:r>
    </w:p>
    <w:p w14:paraId="43946DD6" w14:textId="77777777" w:rsidR="00EC2204" w:rsidRDefault="00EC2204" w:rsidP="00EC2204">
      <w:pPr>
        <w:pStyle w:val="OrderSigInfo"/>
        <w:keepNext/>
        <w:keepLines/>
      </w:pPr>
      <w:r>
        <w:t>Tallahassee, Florida 32399</w:t>
      </w:r>
    </w:p>
    <w:p w14:paraId="304681F6" w14:textId="77777777" w:rsidR="00EC2204" w:rsidRDefault="00EC2204" w:rsidP="00EC2204">
      <w:pPr>
        <w:pStyle w:val="OrderSigInfo"/>
        <w:keepNext/>
        <w:keepLines/>
      </w:pPr>
      <w:r>
        <w:t>(850) 413</w:t>
      </w:r>
      <w:r>
        <w:noBreakHyphen/>
        <w:t>6770</w:t>
      </w:r>
    </w:p>
    <w:p w14:paraId="1BF47E54" w14:textId="77777777" w:rsidR="00EC2204" w:rsidRDefault="00EC2204" w:rsidP="00EC2204">
      <w:pPr>
        <w:pStyle w:val="OrderSigInfo"/>
        <w:keepNext/>
        <w:keepLines/>
      </w:pPr>
      <w:r>
        <w:t>www.floridapsc.com</w:t>
      </w:r>
    </w:p>
    <w:p w14:paraId="0D9F2CB1" w14:textId="77777777" w:rsidR="00EC2204" w:rsidRDefault="00EC2204" w:rsidP="00EC2204">
      <w:pPr>
        <w:pStyle w:val="OrderSigInfo"/>
        <w:keepNext/>
        <w:keepLines/>
      </w:pPr>
    </w:p>
    <w:p w14:paraId="2E82436A" w14:textId="77777777" w:rsidR="00EC2204" w:rsidRDefault="00EC2204" w:rsidP="00EC2204">
      <w:pPr>
        <w:pStyle w:val="OrderSigInfo"/>
        <w:keepNext/>
        <w:keepLines/>
      </w:pPr>
      <w:r>
        <w:t>Copies furnished:  A copy of this document is provided to the parties of record at the time of issuance and, if applicable, interested persons.</w:t>
      </w:r>
    </w:p>
    <w:p w14:paraId="56610D6D" w14:textId="77777777" w:rsidR="00EC2204" w:rsidRDefault="00EC2204" w:rsidP="00EC2204">
      <w:pPr>
        <w:pStyle w:val="OrderBody"/>
        <w:keepNext/>
        <w:keepLines/>
      </w:pPr>
    </w:p>
    <w:p w14:paraId="644CF938"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01C563" w14:textId="77777777" w:rsidR="00EC2204" w:rsidRDefault="00EC2204" w:rsidP="00EC22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SPS</w:t>
      </w:r>
    </w:p>
    <w:p w14:paraId="76FE6451" w14:textId="77777777" w:rsidR="00EC2204" w:rsidRDefault="00EC2204" w:rsidP="00EC22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5B7349" w14:textId="77777777" w:rsidR="00EC2204" w:rsidRDefault="00EC2204" w:rsidP="00EC22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6274BD" w14:textId="77777777" w:rsidR="00EC2204" w:rsidRDefault="00EC2204" w:rsidP="00EC2204">
      <w:pPr>
        <w:pStyle w:val="CenterUnderline"/>
      </w:pPr>
      <w:r>
        <w:t>NOTICE OF FURTHER PROCEEDINGS OR JUDICIAL REVIEW</w:t>
      </w:r>
    </w:p>
    <w:p w14:paraId="6725397E" w14:textId="77777777" w:rsidR="00EC2204" w:rsidRDefault="00EC2204" w:rsidP="00EC2204">
      <w:pPr>
        <w:pStyle w:val="CenterUnderline"/>
      </w:pPr>
    </w:p>
    <w:p w14:paraId="1A1B97E1" w14:textId="77777777" w:rsidR="00EC2204" w:rsidRDefault="00EC2204" w:rsidP="00EC22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F9E44F1" w14:textId="77777777" w:rsidR="00EC2204" w:rsidRDefault="00EC2204" w:rsidP="00EC2204">
      <w:pPr>
        <w:pStyle w:val="OrderBody"/>
      </w:pPr>
    </w:p>
    <w:p w14:paraId="65C79FD9" w14:textId="77777777" w:rsidR="00EC2204" w:rsidRDefault="00EC2204" w:rsidP="00EC2204">
      <w:pPr>
        <w:pStyle w:val="OrderBody"/>
      </w:pPr>
      <w:r>
        <w:tab/>
        <w:t>Mediation may be available on a case-by-case basis.  If mediation is conducted, it does not affect a substantially interested person's right to a hearing.</w:t>
      </w:r>
    </w:p>
    <w:p w14:paraId="364C40EB" w14:textId="77777777" w:rsidR="00EC2204" w:rsidRDefault="00EC2204" w:rsidP="00EC2204">
      <w:pPr>
        <w:pStyle w:val="OrderBody"/>
      </w:pPr>
    </w:p>
    <w:p w14:paraId="26633F3B" w14:textId="77777777" w:rsidR="00EC2204" w:rsidRDefault="00EC2204" w:rsidP="00EC22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15159FF" w14:textId="77777777" w:rsidR="002F45A9" w:rsidRDefault="002F45A9" w:rsidP="00EC2204">
      <w:pPr>
        <w:pStyle w:val="OrderBody"/>
        <w:sectPr w:rsidR="002F45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7537E1BA" w14:textId="77777777" w:rsidR="002F45A9" w:rsidRPr="002F45A9" w:rsidRDefault="002F45A9" w:rsidP="002F45A9">
      <w:pPr>
        <w:jc w:val="center"/>
      </w:pPr>
      <w:r w:rsidRPr="002F45A9">
        <w:rPr>
          <w:i/>
        </w:rPr>
        <w:lastRenderedPageBreak/>
        <w:t xml:space="preserve">In re: Petition for rate increase by Duke Energy Florida, LLC, </w:t>
      </w:r>
      <w:r w:rsidRPr="002F45A9">
        <w:t>Docket No. 20240025-EI</w:t>
      </w:r>
    </w:p>
    <w:p w14:paraId="7BDB9EDE" w14:textId="77777777" w:rsidR="002F45A9" w:rsidRPr="002F45A9" w:rsidRDefault="002F45A9" w:rsidP="002F45A9">
      <w:pPr>
        <w:jc w:val="center"/>
      </w:pPr>
    </w:p>
    <w:p w14:paraId="336AA60E" w14:textId="77777777" w:rsidR="002F45A9" w:rsidRPr="002F45A9" w:rsidRDefault="002F45A9" w:rsidP="002F45A9">
      <w:pPr>
        <w:jc w:val="center"/>
        <w:rPr>
          <w:b/>
          <w:u w:val="single"/>
        </w:rPr>
      </w:pPr>
      <w:r w:rsidRPr="002F45A9">
        <w:rPr>
          <w:b/>
          <w:u w:val="single"/>
        </w:rPr>
        <w:t>MAJOR ELEMENTS OF SETTLEMENT AGREEMENT</w:t>
      </w:r>
    </w:p>
    <w:p w14:paraId="1D714739" w14:textId="77777777" w:rsidR="002F45A9" w:rsidRPr="002F45A9" w:rsidRDefault="002F45A9" w:rsidP="002F45A9">
      <w:pPr>
        <w:jc w:val="both"/>
      </w:pPr>
    </w:p>
    <w:p w14:paraId="1DC60AE9" w14:textId="77777777" w:rsidR="002F45A9" w:rsidRPr="002F45A9" w:rsidRDefault="002F45A9" w:rsidP="002F45A9">
      <w:pPr>
        <w:jc w:val="both"/>
      </w:pPr>
      <w:r w:rsidRPr="002F45A9">
        <w:t>1.</w:t>
      </w:r>
      <w:r w:rsidRPr="002F45A9">
        <w:tab/>
        <w:t>2025 Test Year Rate Increase:</w:t>
      </w:r>
      <w:r w:rsidRPr="002F45A9">
        <w:tab/>
        <w:t>$203 million</w:t>
      </w:r>
    </w:p>
    <w:p w14:paraId="519D3EC5" w14:textId="77777777" w:rsidR="002F45A9" w:rsidRPr="002F45A9" w:rsidRDefault="002F45A9" w:rsidP="002F45A9">
      <w:pPr>
        <w:jc w:val="both"/>
      </w:pPr>
    </w:p>
    <w:p w14:paraId="187DF944" w14:textId="77777777" w:rsidR="002F45A9" w:rsidRPr="002F45A9" w:rsidRDefault="002F45A9" w:rsidP="002F45A9">
      <w:pPr>
        <w:jc w:val="both"/>
      </w:pPr>
      <w:r w:rsidRPr="002F45A9">
        <w:t>2.</w:t>
      </w:r>
      <w:r w:rsidRPr="002F45A9">
        <w:tab/>
        <w:t>2026 Subsequent Year Adjustment</w:t>
      </w:r>
      <w:r w:rsidRPr="001D3995">
        <w:t>:</w:t>
      </w:r>
      <w:r w:rsidRPr="002F45A9">
        <w:rPr>
          <w:b/>
        </w:rPr>
        <w:t xml:space="preserve"> </w:t>
      </w:r>
      <w:r w:rsidRPr="002F45A9">
        <w:rPr>
          <w:b/>
        </w:rPr>
        <w:tab/>
      </w:r>
      <w:r w:rsidRPr="002F45A9">
        <w:t>$59 million</w:t>
      </w:r>
    </w:p>
    <w:p w14:paraId="33D0562F" w14:textId="77777777" w:rsidR="002F45A9" w:rsidRPr="002F45A9" w:rsidRDefault="002F45A9" w:rsidP="002F45A9">
      <w:pPr>
        <w:jc w:val="both"/>
      </w:pPr>
    </w:p>
    <w:p w14:paraId="5A87108E" w14:textId="77777777" w:rsidR="002F45A9" w:rsidRPr="002F45A9" w:rsidRDefault="002F45A9" w:rsidP="002F45A9">
      <w:pPr>
        <w:jc w:val="both"/>
      </w:pPr>
      <w:r w:rsidRPr="002F45A9">
        <w:t>3.</w:t>
      </w:r>
      <w:r w:rsidRPr="002F45A9">
        <w:tab/>
        <w:t xml:space="preserve">Return on Equity: </w:t>
      </w:r>
      <w:r w:rsidRPr="002F45A9">
        <w:tab/>
      </w:r>
      <w:r w:rsidRPr="002F45A9">
        <w:tab/>
      </w:r>
      <w:r w:rsidRPr="002F45A9">
        <w:tab/>
        <w:t>9.3% - 11.3%, 10.3% midpoint</w:t>
      </w:r>
    </w:p>
    <w:p w14:paraId="0A92FC5E" w14:textId="77777777" w:rsidR="002F45A9" w:rsidRPr="002F45A9" w:rsidRDefault="002F45A9" w:rsidP="002F45A9">
      <w:pPr>
        <w:jc w:val="both"/>
      </w:pPr>
    </w:p>
    <w:p w14:paraId="43E86163" w14:textId="77777777" w:rsidR="002F45A9" w:rsidRPr="002F45A9" w:rsidRDefault="002F45A9" w:rsidP="002F45A9">
      <w:pPr>
        <w:jc w:val="both"/>
      </w:pPr>
      <w:r w:rsidRPr="002F45A9">
        <w:t>4.</w:t>
      </w:r>
      <w:r w:rsidRPr="002F45A9">
        <w:tab/>
        <w:t>Investment Tax Credit:</w:t>
      </w:r>
      <w:r w:rsidRPr="002F45A9">
        <w:tab/>
      </w:r>
      <w:r w:rsidRPr="002F45A9">
        <w:tab/>
        <w:t>Powerline Battery Storage Project</w:t>
      </w:r>
    </w:p>
    <w:p w14:paraId="44ECF87E" w14:textId="77777777" w:rsidR="002F45A9" w:rsidRPr="002F45A9" w:rsidRDefault="002F45A9" w:rsidP="002F45A9">
      <w:pPr>
        <w:jc w:val="both"/>
      </w:pPr>
    </w:p>
    <w:p w14:paraId="5205D855" w14:textId="77777777" w:rsidR="002F45A9" w:rsidRPr="002F45A9" w:rsidRDefault="002F45A9" w:rsidP="002F45A9">
      <w:pPr>
        <w:jc w:val="both"/>
      </w:pPr>
      <w:r w:rsidRPr="002F45A9">
        <w:t>5.</w:t>
      </w:r>
      <w:r w:rsidRPr="002F45A9">
        <w:tab/>
        <w:t>Rate Design and Revenue Allocation</w:t>
      </w:r>
    </w:p>
    <w:p w14:paraId="4549178F" w14:textId="77777777" w:rsidR="002F45A9" w:rsidRPr="002F45A9" w:rsidRDefault="002F45A9" w:rsidP="002F45A9">
      <w:pPr>
        <w:jc w:val="both"/>
      </w:pPr>
    </w:p>
    <w:p w14:paraId="2019AB42" w14:textId="77777777" w:rsidR="002F45A9" w:rsidRPr="002F45A9" w:rsidRDefault="002F45A9" w:rsidP="002F45A9">
      <w:pPr>
        <w:jc w:val="both"/>
      </w:pPr>
      <w:r w:rsidRPr="002F45A9">
        <w:t>6.</w:t>
      </w:r>
      <w:r w:rsidRPr="002F45A9">
        <w:tab/>
        <w:t>Solar Base Rate Adjustment</w:t>
      </w:r>
    </w:p>
    <w:p w14:paraId="13CBC272" w14:textId="77777777" w:rsidR="002F45A9" w:rsidRPr="002F45A9" w:rsidRDefault="002F45A9" w:rsidP="002F45A9">
      <w:pPr>
        <w:jc w:val="both"/>
      </w:pPr>
    </w:p>
    <w:p w14:paraId="0AEF3D20" w14:textId="77777777" w:rsidR="002F45A9" w:rsidRPr="002F45A9" w:rsidRDefault="002F45A9" w:rsidP="002F45A9">
      <w:pPr>
        <w:jc w:val="both"/>
      </w:pPr>
      <w:r w:rsidRPr="002F45A9">
        <w:t>7.</w:t>
      </w:r>
      <w:r w:rsidRPr="002F45A9">
        <w:tab/>
        <w:t>Potential Fossil Generation Acquisition</w:t>
      </w:r>
    </w:p>
    <w:p w14:paraId="1708A076" w14:textId="77777777" w:rsidR="002F45A9" w:rsidRPr="002F45A9" w:rsidRDefault="002F45A9" w:rsidP="002F45A9">
      <w:pPr>
        <w:jc w:val="both"/>
      </w:pPr>
    </w:p>
    <w:p w14:paraId="41008C4F" w14:textId="77777777" w:rsidR="002F45A9" w:rsidRPr="002F45A9" w:rsidRDefault="002F45A9" w:rsidP="002F45A9">
      <w:pPr>
        <w:jc w:val="both"/>
      </w:pPr>
      <w:r w:rsidRPr="002F45A9">
        <w:t>8.</w:t>
      </w:r>
      <w:r w:rsidRPr="002F45A9">
        <w:tab/>
        <w:t>Make Ready EV Program</w:t>
      </w:r>
    </w:p>
    <w:p w14:paraId="4D138A71" w14:textId="77777777" w:rsidR="002F45A9" w:rsidRPr="002F45A9" w:rsidRDefault="002F45A9" w:rsidP="002F45A9">
      <w:pPr>
        <w:jc w:val="both"/>
      </w:pPr>
    </w:p>
    <w:p w14:paraId="01B2DF6E" w14:textId="77777777" w:rsidR="002F45A9" w:rsidRPr="002F45A9" w:rsidRDefault="002F45A9" w:rsidP="002F45A9">
      <w:pPr>
        <w:jc w:val="both"/>
      </w:pPr>
      <w:r w:rsidRPr="002F45A9">
        <w:t>9.</w:t>
      </w:r>
      <w:r w:rsidRPr="002F45A9">
        <w:tab/>
        <w:t>Corporate Income Tax Changes</w:t>
      </w:r>
    </w:p>
    <w:p w14:paraId="46323249" w14:textId="77777777" w:rsidR="002F45A9" w:rsidRPr="002F45A9" w:rsidRDefault="002F45A9" w:rsidP="002F45A9">
      <w:pPr>
        <w:jc w:val="both"/>
      </w:pPr>
    </w:p>
    <w:p w14:paraId="0EC004A0" w14:textId="77777777" w:rsidR="002F45A9" w:rsidRPr="002F45A9" w:rsidRDefault="002F45A9" w:rsidP="002F45A9">
      <w:pPr>
        <w:jc w:val="both"/>
      </w:pPr>
      <w:r w:rsidRPr="002F45A9">
        <w:t>10.</w:t>
      </w:r>
      <w:r w:rsidRPr="002F45A9">
        <w:tab/>
        <w:t>Production Tax Credit</w:t>
      </w:r>
    </w:p>
    <w:p w14:paraId="777E1A08" w14:textId="77777777" w:rsidR="002F45A9" w:rsidRPr="002F45A9" w:rsidRDefault="002F45A9" w:rsidP="002F45A9">
      <w:pPr>
        <w:jc w:val="both"/>
      </w:pPr>
    </w:p>
    <w:p w14:paraId="3BB98FAE" w14:textId="77777777" w:rsidR="002F45A9" w:rsidRPr="002F45A9" w:rsidRDefault="002F45A9" w:rsidP="002F45A9">
      <w:pPr>
        <w:jc w:val="both"/>
      </w:pPr>
      <w:r w:rsidRPr="002F45A9">
        <w:t>11.</w:t>
      </w:r>
      <w:r w:rsidRPr="002F45A9">
        <w:tab/>
        <w:t>Dismantlement Study</w:t>
      </w:r>
    </w:p>
    <w:p w14:paraId="58C9D9E8" w14:textId="77777777" w:rsidR="002F45A9" w:rsidRPr="002F45A9" w:rsidRDefault="002F45A9" w:rsidP="002F45A9">
      <w:pPr>
        <w:jc w:val="both"/>
      </w:pPr>
    </w:p>
    <w:p w14:paraId="52B96F00" w14:textId="77777777" w:rsidR="002F45A9" w:rsidRPr="002F45A9" w:rsidRDefault="002F45A9" w:rsidP="002F45A9">
      <w:pPr>
        <w:jc w:val="both"/>
      </w:pPr>
      <w:r w:rsidRPr="002F45A9">
        <w:t>12.</w:t>
      </w:r>
      <w:r w:rsidRPr="002F45A9">
        <w:tab/>
        <w:t>Depreciation Study</w:t>
      </w:r>
    </w:p>
    <w:p w14:paraId="2EE4250C" w14:textId="77777777" w:rsidR="002F45A9" w:rsidRPr="002F45A9" w:rsidRDefault="002F45A9" w:rsidP="002F45A9">
      <w:pPr>
        <w:jc w:val="both"/>
      </w:pPr>
    </w:p>
    <w:p w14:paraId="016E133B" w14:textId="77777777" w:rsidR="002F45A9" w:rsidRPr="002F45A9" w:rsidRDefault="002F45A9" w:rsidP="002F45A9">
      <w:pPr>
        <w:jc w:val="both"/>
      </w:pPr>
      <w:r w:rsidRPr="002F45A9">
        <w:t>13.</w:t>
      </w:r>
      <w:r w:rsidRPr="002F45A9">
        <w:tab/>
        <w:t>Asset Optimization Mechanism</w:t>
      </w:r>
    </w:p>
    <w:p w14:paraId="76E4780D" w14:textId="77777777" w:rsidR="002F45A9" w:rsidRPr="002F45A9" w:rsidRDefault="002F45A9" w:rsidP="002F45A9">
      <w:pPr>
        <w:jc w:val="both"/>
      </w:pPr>
    </w:p>
    <w:p w14:paraId="35DE7EB7" w14:textId="77777777" w:rsidR="002F45A9" w:rsidRPr="002F45A9" w:rsidRDefault="002F45A9" w:rsidP="002F45A9">
      <w:pPr>
        <w:jc w:val="both"/>
      </w:pPr>
      <w:r w:rsidRPr="002F45A9">
        <w:t>13.</w:t>
      </w:r>
      <w:r w:rsidRPr="002F45A9">
        <w:tab/>
        <w:t xml:space="preserve">FEECA Stipulations in Docket No. 20240013-EI (Interruptible, Curtailable, and Standby </w:t>
      </w:r>
      <w:r w:rsidRPr="002F45A9">
        <w:tab/>
        <w:t>Generation)</w:t>
      </w:r>
    </w:p>
    <w:p w14:paraId="33AFF864" w14:textId="77777777" w:rsidR="002F45A9" w:rsidRPr="002F45A9" w:rsidRDefault="002F45A9" w:rsidP="002F45A9">
      <w:pPr>
        <w:jc w:val="both"/>
      </w:pPr>
    </w:p>
    <w:p w14:paraId="00D8D9DE" w14:textId="77777777" w:rsidR="002F45A9" w:rsidRPr="002F45A9" w:rsidRDefault="002F45A9" w:rsidP="002F45A9">
      <w:pPr>
        <w:jc w:val="both"/>
      </w:pPr>
      <w:r w:rsidRPr="002F45A9">
        <w:t>14.</w:t>
      </w:r>
      <w:r w:rsidRPr="002F45A9">
        <w:tab/>
        <w:t>Customer connections</w:t>
      </w:r>
    </w:p>
    <w:p w14:paraId="1A2ABC58" w14:textId="77777777" w:rsidR="002F45A9" w:rsidRPr="002F45A9" w:rsidRDefault="002F45A9" w:rsidP="002F45A9">
      <w:pPr>
        <w:jc w:val="both"/>
      </w:pPr>
    </w:p>
    <w:p w14:paraId="74883344" w14:textId="77777777" w:rsidR="002F45A9" w:rsidRPr="002F45A9" w:rsidRDefault="002F45A9" w:rsidP="002F45A9">
      <w:pPr>
        <w:jc w:val="both"/>
      </w:pPr>
      <w:r w:rsidRPr="002F45A9">
        <w:tab/>
        <w:t>a.</w:t>
      </w:r>
      <w:r w:rsidRPr="002F45A9">
        <w:tab/>
        <w:t>Reconnect fees eliminated</w:t>
      </w:r>
    </w:p>
    <w:p w14:paraId="28239EFE" w14:textId="77777777" w:rsidR="002F45A9" w:rsidRPr="002F45A9" w:rsidRDefault="002F45A9" w:rsidP="002F45A9">
      <w:pPr>
        <w:jc w:val="both"/>
      </w:pPr>
      <w:r w:rsidRPr="002F45A9">
        <w:tab/>
        <w:t>b.</w:t>
      </w:r>
      <w:r w:rsidRPr="002F45A9">
        <w:tab/>
        <w:t>Minimum bill</w:t>
      </w:r>
    </w:p>
    <w:p w14:paraId="79974C10" w14:textId="77777777" w:rsidR="002F45A9" w:rsidRPr="002F45A9" w:rsidRDefault="002F45A9" w:rsidP="002F45A9">
      <w:pPr>
        <w:jc w:val="both"/>
        <w:rPr>
          <w:b/>
        </w:rPr>
      </w:pPr>
      <w:r w:rsidRPr="002F45A9">
        <w:tab/>
        <w:t>c.</w:t>
      </w:r>
      <w:r w:rsidRPr="002F45A9">
        <w:tab/>
        <w:t>No disconnections during extreme weather</w:t>
      </w:r>
    </w:p>
    <w:p w14:paraId="3C4E0131" w14:textId="77777777" w:rsidR="002F45A9" w:rsidRPr="002F45A9" w:rsidRDefault="002F45A9" w:rsidP="002F45A9">
      <w:pPr>
        <w:jc w:val="both"/>
      </w:pPr>
    </w:p>
    <w:p w14:paraId="1790868D" w14:textId="77777777" w:rsidR="002F45A9" w:rsidRPr="002F45A9" w:rsidRDefault="002F45A9" w:rsidP="002F45A9">
      <w:pPr>
        <w:jc w:val="both"/>
      </w:pPr>
      <w:r w:rsidRPr="002F45A9">
        <w:t>15.</w:t>
      </w:r>
      <w:r w:rsidRPr="002F45A9">
        <w:tab/>
        <w:t>Storm recovery</w:t>
      </w:r>
    </w:p>
    <w:p w14:paraId="1E868938" w14:textId="77777777" w:rsidR="002F45A9" w:rsidRPr="002F45A9" w:rsidRDefault="002F45A9" w:rsidP="002F45A9">
      <w:pPr>
        <w:jc w:val="both"/>
      </w:pPr>
      <w:r w:rsidRPr="002F45A9">
        <w:t xml:space="preserve"> </w:t>
      </w:r>
      <w:r w:rsidRPr="002F45A9">
        <w:tab/>
      </w:r>
    </w:p>
    <w:p w14:paraId="2A4AF373" w14:textId="77777777" w:rsidR="002F45A9" w:rsidRPr="002F45A9" w:rsidRDefault="002F45A9" w:rsidP="002F45A9">
      <w:pPr>
        <w:jc w:val="both"/>
      </w:pPr>
      <w:r w:rsidRPr="002F45A9">
        <w:tab/>
        <w:t>a.</w:t>
      </w:r>
      <w:r w:rsidRPr="002F45A9">
        <w:tab/>
        <w:t>Surcharge</w:t>
      </w:r>
    </w:p>
    <w:p w14:paraId="186A4EE8" w14:textId="77777777" w:rsidR="002F45A9" w:rsidRPr="002F45A9" w:rsidRDefault="002F45A9" w:rsidP="002F45A9">
      <w:pPr>
        <w:jc w:val="both"/>
        <w:rPr>
          <w:b/>
        </w:rPr>
      </w:pPr>
      <w:r w:rsidRPr="002F45A9">
        <w:tab/>
        <w:t>b.</w:t>
      </w:r>
      <w:r w:rsidRPr="002F45A9">
        <w:tab/>
        <w:t>Reserve Study</w:t>
      </w:r>
    </w:p>
    <w:p w14:paraId="487D7554" w14:textId="47054C6A" w:rsidR="00EC2204" w:rsidRDefault="00EC2204" w:rsidP="00EC2204">
      <w:pPr>
        <w:pStyle w:val="OrderBody"/>
      </w:pPr>
    </w:p>
    <w:sectPr w:rsidR="00EC220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7F91" w14:textId="77777777" w:rsidR="00DE4363" w:rsidRDefault="00DE4363">
      <w:r>
        <w:separator/>
      </w:r>
    </w:p>
  </w:endnote>
  <w:endnote w:type="continuationSeparator" w:id="0">
    <w:p w14:paraId="43F85C12" w14:textId="77777777" w:rsidR="00DE4363" w:rsidRDefault="00DE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ACAE" w14:textId="77777777" w:rsidR="004A7A28" w:rsidRDefault="004A7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390F" w14:textId="77777777" w:rsidR="004A7A28" w:rsidRDefault="004A7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D85D" w14:textId="77777777" w:rsidR="00FA6EFD" w:rsidRDefault="00FA6EFD">
    <w:pPr>
      <w:pStyle w:val="Footer"/>
    </w:pPr>
  </w:p>
  <w:p w14:paraId="4106241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EC1BB" w14:textId="77777777" w:rsidR="00DE4363" w:rsidRDefault="00DE4363">
      <w:r>
        <w:separator/>
      </w:r>
    </w:p>
  </w:footnote>
  <w:footnote w:type="continuationSeparator" w:id="0">
    <w:p w14:paraId="00156C53" w14:textId="77777777" w:rsidR="00DE4363" w:rsidRDefault="00DE4363">
      <w:r>
        <w:continuationSeparator/>
      </w:r>
    </w:p>
  </w:footnote>
  <w:footnote w:id="1">
    <w:p w14:paraId="01FE13D7" w14:textId="7BBE5A76" w:rsidR="003824F4" w:rsidRPr="00FD4D13" w:rsidRDefault="003824F4">
      <w:pPr>
        <w:pStyle w:val="FootnoteText"/>
      </w:pPr>
      <w:r w:rsidRPr="00FD4D13">
        <w:rPr>
          <w:rStyle w:val="FootnoteReference"/>
        </w:rPr>
        <w:footnoteRef/>
      </w:r>
      <w:r w:rsidRPr="00FD4D13">
        <w:t xml:space="preserve"> Order </w:t>
      </w:r>
      <w:r w:rsidR="00AE0A14">
        <w:t xml:space="preserve">No. </w:t>
      </w:r>
      <w:r w:rsidRPr="00FD4D13">
        <w:t>PSC-2024-0106-PCO-EI, issued April 19, 2024.</w:t>
      </w:r>
    </w:p>
  </w:footnote>
  <w:footnote w:id="2">
    <w:p w14:paraId="0B4BCAF1" w14:textId="615F14C7" w:rsidR="003824F4" w:rsidRPr="00FD4D13" w:rsidRDefault="003824F4">
      <w:pPr>
        <w:pStyle w:val="FootnoteText"/>
      </w:pPr>
      <w:r w:rsidRPr="00FD4D13">
        <w:rPr>
          <w:rStyle w:val="FootnoteReference"/>
        </w:rPr>
        <w:footnoteRef/>
      </w:r>
      <w:r w:rsidRPr="00FD4D13">
        <w:t xml:space="preserve"> Order </w:t>
      </w:r>
      <w:r w:rsidR="00AE0A14">
        <w:t xml:space="preserve">No. </w:t>
      </w:r>
      <w:r w:rsidRPr="00FD4D13">
        <w:t>PSC-2024-0107-PCO-EI, issued April 19, 2024.</w:t>
      </w:r>
    </w:p>
  </w:footnote>
  <w:footnote w:id="3">
    <w:p w14:paraId="75B53CFE" w14:textId="5860978C" w:rsidR="003824F4" w:rsidRPr="00FD4D13" w:rsidRDefault="003824F4">
      <w:pPr>
        <w:pStyle w:val="FootnoteText"/>
      </w:pPr>
      <w:r w:rsidRPr="00FD4D13">
        <w:rPr>
          <w:rStyle w:val="FootnoteReference"/>
        </w:rPr>
        <w:footnoteRef/>
      </w:r>
      <w:r w:rsidRPr="00FD4D13">
        <w:t xml:space="preserve"> Order </w:t>
      </w:r>
      <w:r w:rsidR="00AE0A14">
        <w:t xml:space="preserve">No. </w:t>
      </w:r>
      <w:r w:rsidRPr="00FD4D13">
        <w:t>PSC-2024-0108-PCO-EI, issued April 19, 2024.</w:t>
      </w:r>
    </w:p>
  </w:footnote>
  <w:footnote w:id="4">
    <w:p w14:paraId="44F1CB02" w14:textId="30741F97" w:rsidR="003824F4" w:rsidRPr="00FD4D13" w:rsidRDefault="003824F4">
      <w:pPr>
        <w:pStyle w:val="FootnoteText"/>
      </w:pPr>
      <w:r w:rsidRPr="00FD4D13">
        <w:rPr>
          <w:rStyle w:val="FootnoteReference"/>
        </w:rPr>
        <w:footnoteRef/>
      </w:r>
      <w:r w:rsidRPr="00FD4D13">
        <w:t xml:space="preserve"> Order </w:t>
      </w:r>
      <w:r w:rsidR="00AE0A14">
        <w:t xml:space="preserve">No. </w:t>
      </w:r>
      <w:r w:rsidRPr="00FD4D13">
        <w:t>PSC-2024-0109-PCO-EI, issued April 19, 2024.</w:t>
      </w:r>
    </w:p>
  </w:footnote>
  <w:footnote w:id="5">
    <w:p w14:paraId="0B05E844" w14:textId="5B144699" w:rsidR="003824F4" w:rsidRPr="00FD4D13" w:rsidRDefault="003824F4" w:rsidP="003824F4">
      <w:pPr>
        <w:pStyle w:val="FootnoteText"/>
      </w:pPr>
      <w:r w:rsidRPr="00FD4D13">
        <w:rPr>
          <w:rStyle w:val="FootnoteReference"/>
        </w:rPr>
        <w:footnoteRef/>
      </w:r>
      <w:r w:rsidRPr="00FD4D13">
        <w:t xml:space="preserve"> Order </w:t>
      </w:r>
      <w:r w:rsidR="00AE0A14">
        <w:t xml:space="preserve">No. </w:t>
      </w:r>
      <w:r w:rsidRPr="00FD4D13">
        <w:t>PSC-2024-0129-PCO-EI, issued April 24, 2024.</w:t>
      </w:r>
    </w:p>
  </w:footnote>
  <w:footnote w:id="6">
    <w:p w14:paraId="7CAC38B0" w14:textId="428784CE" w:rsidR="003824F4" w:rsidRPr="00FD4D13" w:rsidRDefault="003824F4">
      <w:pPr>
        <w:pStyle w:val="FootnoteText"/>
      </w:pPr>
      <w:r w:rsidRPr="00FD4D13">
        <w:rPr>
          <w:rStyle w:val="FootnoteReference"/>
        </w:rPr>
        <w:footnoteRef/>
      </w:r>
      <w:r w:rsidRPr="00FD4D13">
        <w:t xml:space="preserve"> Order </w:t>
      </w:r>
      <w:r w:rsidR="00AE0A14">
        <w:t xml:space="preserve">No. </w:t>
      </w:r>
      <w:r w:rsidRPr="00FD4D13">
        <w:t>PSC-2024-0130-PCO-EI, issued April 24, 2024.</w:t>
      </w:r>
    </w:p>
  </w:footnote>
  <w:footnote w:id="7">
    <w:p w14:paraId="7607BCC8" w14:textId="6DA86D1B" w:rsidR="00B56A86" w:rsidRPr="00FD4D13" w:rsidRDefault="00B56A86">
      <w:pPr>
        <w:pStyle w:val="FootnoteText"/>
      </w:pPr>
      <w:r w:rsidRPr="00FD4D13">
        <w:rPr>
          <w:rStyle w:val="FootnoteReference"/>
        </w:rPr>
        <w:footnoteRef/>
      </w:r>
      <w:r w:rsidRPr="00FD4D13">
        <w:t xml:space="preserve"> Order </w:t>
      </w:r>
      <w:r w:rsidR="00AE0A14">
        <w:t xml:space="preserve">No. </w:t>
      </w:r>
      <w:r w:rsidRPr="00FD4D13">
        <w:t>PSC-2024-0150-PCO-EI, issued May 13, 2024.</w:t>
      </w:r>
    </w:p>
  </w:footnote>
  <w:footnote w:id="8">
    <w:p w14:paraId="21E246CF" w14:textId="769F176F" w:rsidR="00B56A86" w:rsidRPr="00FD4D13" w:rsidRDefault="00B56A86">
      <w:pPr>
        <w:pStyle w:val="FootnoteText"/>
      </w:pPr>
      <w:r w:rsidRPr="00FD4D13">
        <w:rPr>
          <w:rStyle w:val="FootnoteReference"/>
        </w:rPr>
        <w:footnoteRef/>
      </w:r>
      <w:r w:rsidRPr="00FD4D13">
        <w:t xml:space="preserve"> Order </w:t>
      </w:r>
      <w:r w:rsidR="00AE0A14">
        <w:t xml:space="preserve">No. </w:t>
      </w:r>
      <w:r w:rsidRPr="00FD4D13">
        <w:t>PSC-2024-0184-PCO-EI, issued June 4, 2024.</w:t>
      </w:r>
    </w:p>
  </w:footnote>
  <w:footnote w:id="9">
    <w:p w14:paraId="00C33A4F" w14:textId="17F649FA" w:rsidR="00B56A86" w:rsidRDefault="00B56A86">
      <w:pPr>
        <w:pStyle w:val="FootnoteText"/>
      </w:pPr>
      <w:r w:rsidRPr="00FD4D13">
        <w:rPr>
          <w:rStyle w:val="FootnoteReference"/>
        </w:rPr>
        <w:footnoteRef/>
      </w:r>
      <w:r w:rsidRPr="00FD4D13">
        <w:t xml:space="preserve"> Order </w:t>
      </w:r>
      <w:r w:rsidR="00AE0A14">
        <w:t xml:space="preserve">No. </w:t>
      </w:r>
      <w:r w:rsidRPr="00FD4D13">
        <w:t>PSC-2024-0185-PCO-EI, issued June 4, 2024.</w:t>
      </w:r>
    </w:p>
  </w:footnote>
  <w:footnote w:id="10">
    <w:p w14:paraId="5CA0AAA2" w14:textId="2B166A11" w:rsidR="00B3740F" w:rsidRDefault="00B3740F">
      <w:pPr>
        <w:pStyle w:val="FootnoteText"/>
      </w:pPr>
      <w:r>
        <w:rPr>
          <w:rStyle w:val="FootnoteReference"/>
        </w:rPr>
        <w:footnoteRef/>
      </w:r>
      <w:r>
        <w:t xml:space="preserve"> </w:t>
      </w:r>
      <w:r w:rsidRPr="00FD4D13">
        <w:t xml:space="preserve">Order </w:t>
      </w:r>
      <w:r w:rsidR="00AE0A14">
        <w:t xml:space="preserve">No. </w:t>
      </w:r>
      <w:r w:rsidRPr="00FD4D13">
        <w:t>PSC</w:t>
      </w:r>
      <w:r>
        <w:t>-2024-</w:t>
      </w:r>
      <w:r w:rsidR="00A93A7F">
        <w:t>0256</w:t>
      </w:r>
      <w:r>
        <w:t>-PCO-EI, issued July 22</w:t>
      </w:r>
      <w:r w:rsidRPr="00FD4D13">
        <w:t>, 2024.</w:t>
      </w:r>
    </w:p>
  </w:footnote>
  <w:footnote w:id="11">
    <w:p w14:paraId="1ABF0310" w14:textId="4A091DF2" w:rsidR="00B3740F" w:rsidRDefault="00B3740F">
      <w:pPr>
        <w:pStyle w:val="FootnoteText"/>
      </w:pPr>
      <w:r>
        <w:rPr>
          <w:rStyle w:val="FootnoteReference"/>
        </w:rPr>
        <w:footnoteRef/>
      </w:r>
      <w:r>
        <w:t xml:space="preserve"> </w:t>
      </w:r>
      <w:r w:rsidRPr="00FD4D13">
        <w:t xml:space="preserve">Order </w:t>
      </w:r>
      <w:r w:rsidR="00AE0A14">
        <w:t xml:space="preserve">No. </w:t>
      </w:r>
      <w:r w:rsidRPr="00FD4D13">
        <w:t>PSC</w:t>
      </w:r>
      <w:r>
        <w:t>-2024-</w:t>
      </w:r>
      <w:r w:rsidR="00A93A7F">
        <w:t>0257</w:t>
      </w:r>
      <w:r>
        <w:t>-PCO-EI, issued July 22</w:t>
      </w:r>
      <w:r w:rsidRPr="00FD4D13">
        <w:t>, 2024.</w:t>
      </w:r>
    </w:p>
  </w:footnote>
  <w:footnote w:id="12">
    <w:p w14:paraId="2CE54592" w14:textId="77777777" w:rsidR="00532728" w:rsidRPr="00532728" w:rsidRDefault="00532728" w:rsidP="00532728">
      <w:pPr>
        <w:shd w:val="clear" w:color="auto" w:fill="FFFFFF"/>
        <w:jc w:val="both"/>
        <w:rPr>
          <w:color w:val="000000"/>
          <w:sz w:val="20"/>
          <w:szCs w:val="20"/>
        </w:rPr>
      </w:pPr>
      <w:r w:rsidRPr="00532728">
        <w:rPr>
          <w:rStyle w:val="FootnoteReference"/>
          <w:sz w:val="20"/>
          <w:szCs w:val="20"/>
        </w:rPr>
        <w:footnoteRef/>
      </w:r>
      <w:r w:rsidRPr="00532728">
        <w:rPr>
          <w:sz w:val="20"/>
          <w:szCs w:val="20"/>
        </w:rPr>
        <w:t xml:space="preserve"> “[W]</w:t>
      </w:r>
      <w:r w:rsidRPr="00532728">
        <w:rPr>
          <w:color w:val="000000"/>
          <w:sz w:val="20"/>
          <w:szCs w:val="20"/>
        </w:rPr>
        <w:t>hile the Commission need not resolve every issue independently in its final order when it is reviewing a settlement agre</w:t>
      </w:r>
      <w:r w:rsidRPr="00532728">
        <w:rPr>
          <w:sz w:val="20"/>
          <w:szCs w:val="20"/>
        </w:rPr>
        <w:t xml:space="preserve">ement, it must nonetheless discuss the major elements of the settlement agreement and explain why it is in the public interest.” </w:t>
      </w:r>
      <w:r w:rsidRPr="00532728">
        <w:rPr>
          <w:i/>
          <w:sz w:val="20"/>
          <w:szCs w:val="20"/>
          <w:bdr w:val="none" w:sz="0" w:space="0" w:color="auto" w:frame="1"/>
        </w:rPr>
        <w:t>Floridians Against Increased Rates, Inc. v. Clark</w:t>
      </w:r>
      <w:r w:rsidRPr="00532728">
        <w:rPr>
          <w:sz w:val="20"/>
          <w:szCs w:val="20"/>
        </w:rPr>
        <w:t>, 371 So. 3d 905, 912 (Fla. 2023) (internal quotations marks and citations omitted).</w:t>
      </w:r>
    </w:p>
    <w:p w14:paraId="72AAB3D3" w14:textId="77777777" w:rsidR="00532728" w:rsidRDefault="005327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3273" w14:textId="77777777" w:rsidR="004A7A28" w:rsidRDefault="004A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1AAC" w14:textId="675733B6" w:rsidR="00FA6EFD" w:rsidRDefault="00FA6EFD">
    <w:pPr>
      <w:pStyle w:val="OrderHeader"/>
    </w:pPr>
    <w:r>
      <w:t xml:space="preserve">ORDER NO. </w:t>
    </w:r>
    <w:fldSimple w:instr=" REF OrderNo0264 ">
      <w:r w:rsidR="004A7A28">
        <w:t>PSC-2024-0264-PCO-EI</w:t>
      </w:r>
    </w:fldSimple>
  </w:p>
  <w:p w14:paraId="60032DF8" w14:textId="77777777" w:rsidR="00FA6EFD" w:rsidRDefault="00FA6B65">
    <w:pPr>
      <w:pStyle w:val="OrderHeader"/>
    </w:pPr>
    <w:bookmarkStart w:id="9" w:name="HeaderDocketNo"/>
    <w:bookmarkEnd w:id="9"/>
    <w:r>
      <w:t>DOCKET NO. 20240025-EI</w:t>
    </w:r>
  </w:p>
  <w:p w14:paraId="75077C1A" w14:textId="233540C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2916">
      <w:rPr>
        <w:rStyle w:val="PageNumber"/>
        <w:noProof/>
      </w:rPr>
      <w:t>4</w:t>
    </w:r>
    <w:r>
      <w:rPr>
        <w:rStyle w:val="PageNumber"/>
      </w:rPr>
      <w:fldChar w:fldCharType="end"/>
    </w:r>
  </w:p>
  <w:p w14:paraId="3B30D8B2"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73F3" w14:textId="77777777" w:rsidR="004A7A28" w:rsidRDefault="004A7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8B77" w14:textId="4E7E9AD3" w:rsidR="002F45A9" w:rsidRDefault="004A7A28">
    <w:pPr>
      <w:pStyle w:val="OrderHeader"/>
    </w:pPr>
    <w:r>
      <w:t>ORDER NO. PSC-2024-0264-PCO-EI</w:t>
    </w:r>
    <w:r w:rsidR="002F45A9">
      <w:tab/>
    </w:r>
    <w:r w:rsidR="002F45A9">
      <w:tab/>
      <w:t>Attachment A</w:t>
    </w:r>
  </w:p>
  <w:p w14:paraId="64493EA0" w14:textId="77777777" w:rsidR="002F45A9" w:rsidRDefault="002F45A9">
    <w:pPr>
      <w:pStyle w:val="OrderHeader"/>
    </w:pPr>
    <w:r>
      <w:t>DOCKET NO. 20240025-EI</w:t>
    </w:r>
  </w:p>
  <w:p w14:paraId="68F47DA1" w14:textId="5765F6F0" w:rsidR="002F45A9" w:rsidRDefault="002F45A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2916">
      <w:rPr>
        <w:rStyle w:val="PageNumber"/>
        <w:noProof/>
      </w:rPr>
      <w:t>5</w:t>
    </w:r>
    <w:r>
      <w:rPr>
        <w:rStyle w:val="PageNumber"/>
      </w:rPr>
      <w:fldChar w:fldCharType="end"/>
    </w:r>
  </w:p>
  <w:p w14:paraId="06846CD9" w14:textId="77777777" w:rsidR="002F45A9" w:rsidRDefault="002F45A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FA6B65"/>
    <w:rsid w:val="000022B8"/>
    <w:rsid w:val="00003883"/>
    <w:rsid w:val="00010731"/>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3DE"/>
    <w:rsid w:val="0010226D"/>
    <w:rsid w:val="00103190"/>
    <w:rsid w:val="00104333"/>
    <w:rsid w:val="001052BA"/>
    <w:rsid w:val="001107B3"/>
    <w:rsid w:val="0011137E"/>
    <w:rsid w:val="001114B1"/>
    <w:rsid w:val="001139D8"/>
    <w:rsid w:val="00116AD3"/>
    <w:rsid w:val="00121957"/>
    <w:rsid w:val="0012387E"/>
    <w:rsid w:val="001259EC"/>
    <w:rsid w:val="00126593"/>
    <w:rsid w:val="00134177"/>
    <w:rsid w:val="00136087"/>
    <w:rsid w:val="00142A96"/>
    <w:rsid w:val="001513DE"/>
    <w:rsid w:val="00154A71"/>
    <w:rsid w:val="00156196"/>
    <w:rsid w:val="001655D4"/>
    <w:rsid w:val="00165803"/>
    <w:rsid w:val="001715F5"/>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3995"/>
    <w:rsid w:val="001E0152"/>
    <w:rsid w:val="001E0FF5"/>
    <w:rsid w:val="001F0095"/>
    <w:rsid w:val="001F36B0"/>
    <w:rsid w:val="001F4CA3"/>
    <w:rsid w:val="001F59E0"/>
    <w:rsid w:val="002002ED"/>
    <w:rsid w:val="002044DD"/>
    <w:rsid w:val="002061E6"/>
    <w:rsid w:val="002170E5"/>
    <w:rsid w:val="00220D57"/>
    <w:rsid w:val="00223B99"/>
    <w:rsid w:val="0022721A"/>
    <w:rsid w:val="00230BB9"/>
    <w:rsid w:val="00241CEF"/>
    <w:rsid w:val="0025124E"/>
    <w:rsid w:val="00252B30"/>
    <w:rsid w:val="00255291"/>
    <w:rsid w:val="002613E4"/>
    <w:rsid w:val="00262C43"/>
    <w:rsid w:val="0026544B"/>
    <w:rsid w:val="00270F89"/>
    <w:rsid w:val="002722C7"/>
    <w:rsid w:val="00276CDC"/>
    <w:rsid w:val="00277655"/>
    <w:rsid w:val="002824B7"/>
    <w:rsid w:val="00282AC4"/>
    <w:rsid w:val="00291037"/>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45A9"/>
    <w:rsid w:val="002F7BF6"/>
    <w:rsid w:val="00303FDE"/>
    <w:rsid w:val="00313C5B"/>
    <w:rsid w:val="003140E8"/>
    <w:rsid w:val="003231C7"/>
    <w:rsid w:val="00323839"/>
    <w:rsid w:val="003270C4"/>
    <w:rsid w:val="00331ED0"/>
    <w:rsid w:val="00332B0A"/>
    <w:rsid w:val="00333A41"/>
    <w:rsid w:val="00336CDA"/>
    <w:rsid w:val="00341036"/>
    <w:rsid w:val="003446B9"/>
    <w:rsid w:val="00345434"/>
    <w:rsid w:val="00351C22"/>
    <w:rsid w:val="0035495B"/>
    <w:rsid w:val="00355A93"/>
    <w:rsid w:val="00360F30"/>
    <w:rsid w:val="00361522"/>
    <w:rsid w:val="0037196E"/>
    <w:rsid w:val="003744F5"/>
    <w:rsid w:val="003824F4"/>
    <w:rsid w:val="00382C6A"/>
    <w:rsid w:val="003875A9"/>
    <w:rsid w:val="003879E1"/>
    <w:rsid w:val="00387BDE"/>
    <w:rsid w:val="00390DD8"/>
    <w:rsid w:val="00394DC6"/>
    <w:rsid w:val="00397C3E"/>
    <w:rsid w:val="003B1A09"/>
    <w:rsid w:val="003B635E"/>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497B"/>
    <w:rsid w:val="0042527B"/>
    <w:rsid w:val="00427EAC"/>
    <w:rsid w:val="0043421E"/>
    <w:rsid w:val="004431B4"/>
    <w:rsid w:val="00445604"/>
    <w:rsid w:val="00451158"/>
    <w:rsid w:val="0045537F"/>
    <w:rsid w:val="0045538D"/>
    <w:rsid w:val="00457DC7"/>
    <w:rsid w:val="004640B3"/>
    <w:rsid w:val="00472BCC"/>
    <w:rsid w:val="00477699"/>
    <w:rsid w:val="004A25CD"/>
    <w:rsid w:val="004A26CC"/>
    <w:rsid w:val="004A7A28"/>
    <w:rsid w:val="004B2108"/>
    <w:rsid w:val="004B3A2B"/>
    <w:rsid w:val="004B70D3"/>
    <w:rsid w:val="004C312D"/>
    <w:rsid w:val="004D2D1B"/>
    <w:rsid w:val="004D42E1"/>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2728"/>
    <w:rsid w:val="00533EF6"/>
    <w:rsid w:val="00540E6B"/>
    <w:rsid w:val="0054109E"/>
    <w:rsid w:val="00544882"/>
    <w:rsid w:val="0055595D"/>
    <w:rsid w:val="00556A10"/>
    <w:rsid w:val="00557F50"/>
    <w:rsid w:val="00561858"/>
    <w:rsid w:val="00571D3D"/>
    <w:rsid w:val="0058264B"/>
    <w:rsid w:val="00586368"/>
    <w:rsid w:val="005868AA"/>
    <w:rsid w:val="00590845"/>
    <w:rsid w:val="005963C2"/>
    <w:rsid w:val="005A0D69"/>
    <w:rsid w:val="005A31F4"/>
    <w:rsid w:val="005A73EA"/>
    <w:rsid w:val="005A7770"/>
    <w:rsid w:val="005B45F7"/>
    <w:rsid w:val="005B63EA"/>
    <w:rsid w:val="005C1A88"/>
    <w:rsid w:val="005C5033"/>
    <w:rsid w:val="005D4E1B"/>
    <w:rsid w:val="005E751B"/>
    <w:rsid w:val="005F2751"/>
    <w:rsid w:val="005F3354"/>
    <w:rsid w:val="005F4AD6"/>
    <w:rsid w:val="0060005E"/>
    <w:rsid w:val="0060095B"/>
    <w:rsid w:val="00601266"/>
    <w:rsid w:val="006037D9"/>
    <w:rsid w:val="00610221"/>
    <w:rsid w:val="00610E73"/>
    <w:rsid w:val="00615F9B"/>
    <w:rsid w:val="00616DF2"/>
    <w:rsid w:val="0062385D"/>
    <w:rsid w:val="006239AB"/>
    <w:rsid w:val="00627368"/>
    <w:rsid w:val="0063168D"/>
    <w:rsid w:val="00635C79"/>
    <w:rsid w:val="006423A7"/>
    <w:rsid w:val="006455DF"/>
    <w:rsid w:val="00645AF6"/>
    <w:rsid w:val="00647025"/>
    <w:rsid w:val="0064730A"/>
    <w:rsid w:val="006507DA"/>
    <w:rsid w:val="00651CFF"/>
    <w:rsid w:val="006531A4"/>
    <w:rsid w:val="00660774"/>
    <w:rsid w:val="0066389A"/>
    <w:rsid w:val="0066495C"/>
    <w:rsid w:val="00665CC7"/>
    <w:rsid w:val="00672612"/>
    <w:rsid w:val="00674ECC"/>
    <w:rsid w:val="006764BB"/>
    <w:rsid w:val="00677F18"/>
    <w:rsid w:val="00693483"/>
    <w:rsid w:val="006A0BF3"/>
    <w:rsid w:val="006A15C8"/>
    <w:rsid w:val="006B0036"/>
    <w:rsid w:val="006B0DA6"/>
    <w:rsid w:val="006B3FA9"/>
    <w:rsid w:val="006C547E"/>
    <w:rsid w:val="006D2B51"/>
    <w:rsid w:val="006D5575"/>
    <w:rsid w:val="006D7191"/>
    <w:rsid w:val="006E21C4"/>
    <w:rsid w:val="006E42BE"/>
    <w:rsid w:val="006E5D4D"/>
    <w:rsid w:val="006E6D16"/>
    <w:rsid w:val="006F26ED"/>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01D4"/>
    <w:rsid w:val="0078166A"/>
    <w:rsid w:val="00782B79"/>
    <w:rsid w:val="00783811"/>
    <w:rsid w:val="007865E9"/>
    <w:rsid w:val="0079237D"/>
    <w:rsid w:val="00792383"/>
    <w:rsid w:val="00794D5A"/>
    <w:rsid w:val="00794DD9"/>
    <w:rsid w:val="00797A1D"/>
    <w:rsid w:val="007A060F"/>
    <w:rsid w:val="007B1C5E"/>
    <w:rsid w:val="007B350E"/>
    <w:rsid w:val="007C0FBC"/>
    <w:rsid w:val="007C29C9"/>
    <w:rsid w:val="007C35B8"/>
    <w:rsid w:val="007C36E3"/>
    <w:rsid w:val="007C3ABB"/>
    <w:rsid w:val="007C7134"/>
    <w:rsid w:val="007C7ECF"/>
    <w:rsid w:val="007D3D20"/>
    <w:rsid w:val="007D44F9"/>
    <w:rsid w:val="007D742E"/>
    <w:rsid w:val="007E0406"/>
    <w:rsid w:val="007E3AFD"/>
    <w:rsid w:val="00801DAD"/>
    <w:rsid w:val="00803189"/>
    <w:rsid w:val="00804E7A"/>
    <w:rsid w:val="00805FBB"/>
    <w:rsid w:val="00814292"/>
    <w:rsid w:val="008169A4"/>
    <w:rsid w:val="008278FE"/>
    <w:rsid w:val="00831F53"/>
    <w:rsid w:val="00832598"/>
    <w:rsid w:val="0083397E"/>
    <w:rsid w:val="0083534B"/>
    <w:rsid w:val="00842035"/>
    <w:rsid w:val="00842602"/>
    <w:rsid w:val="008449F0"/>
    <w:rsid w:val="00846F11"/>
    <w:rsid w:val="00847B45"/>
    <w:rsid w:val="00863A66"/>
    <w:rsid w:val="008654F4"/>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87BC7"/>
    <w:rsid w:val="009924CF"/>
    <w:rsid w:val="0099330F"/>
    <w:rsid w:val="00994100"/>
    <w:rsid w:val="009A04B7"/>
    <w:rsid w:val="009A6B17"/>
    <w:rsid w:val="009B052E"/>
    <w:rsid w:val="009B4E00"/>
    <w:rsid w:val="009B7AF9"/>
    <w:rsid w:val="009D4C29"/>
    <w:rsid w:val="009E58E9"/>
    <w:rsid w:val="009E6803"/>
    <w:rsid w:val="009F6AD2"/>
    <w:rsid w:val="009F7C1B"/>
    <w:rsid w:val="00A00B5B"/>
    <w:rsid w:val="00A00D8D"/>
    <w:rsid w:val="00A01BB6"/>
    <w:rsid w:val="00A108A7"/>
    <w:rsid w:val="00A228DA"/>
    <w:rsid w:val="00A22B28"/>
    <w:rsid w:val="00A3351E"/>
    <w:rsid w:val="00A35CCC"/>
    <w:rsid w:val="00A4303C"/>
    <w:rsid w:val="00A46CAF"/>
    <w:rsid w:val="00A470FD"/>
    <w:rsid w:val="00A50B5E"/>
    <w:rsid w:val="00A62DAB"/>
    <w:rsid w:val="00A6757A"/>
    <w:rsid w:val="00A726A6"/>
    <w:rsid w:val="00A74842"/>
    <w:rsid w:val="00A8269A"/>
    <w:rsid w:val="00A86A50"/>
    <w:rsid w:val="00A9178A"/>
    <w:rsid w:val="00A93A7F"/>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3FF"/>
    <w:rsid w:val="00AD74F4"/>
    <w:rsid w:val="00AE0A14"/>
    <w:rsid w:val="00AF4D88"/>
    <w:rsid w:val="00B019C1"/>
    <w:rsid w:val="00B02001"/>
    <w:rsid w:val="00B03C50"/>
    <w:rsid w:val="00B0777D"/>
    <w:rsid w:val="00B11576"/>
    <w:rsid w:val="00B1195F"/>
    <w:rsid w:val="00B14D10"/>
    <w:rsid w:val="00B209C7"/>
    <w:rsid w:val="00B26480"/>
    <w:rsid w:val="00B3644F"/>
    <w:rsid w:val="00B3740F"/>
    <w:rsid w:val="00B4057A"/>
    <w:rsid w:val="00B40894"/>
    <w:rsid w:val="00B41039"/>
    <w:rsid w:val="00B41F37"/>
    <w:rsid w:val="00B42987"/>
    <w:rsid w:val="00B444AE"/>
    <w:rsid w:val="00B45E75"/>
    <w:rsid w:val="00B50876"/>
    <w:rsid w:val="00B51074"/>
    <w:rsid w:val="00B54DAA"/>
    <w:rsid w:val="00B552E0"/>
    <w:rsid w:val="00B55AB0"/>
    <w:rsid w:val="00B55EE5"/>
    <w:rsid w:val="00B56A86"/>
    <w:rsid w:val="00B61D42"/>
    <w:rsid w:val="00B67A43"/>
    <w:rsid w:val="00B71D1F"/>
    <w:rsid w:val="00B72CFF"/>
    <w:rsid w:val="00B73DE6"/>
    <w:rsid w:val="00B761CD"/>
    <w:rsid w:val="00B76B66"/>
    <w:rsid w:val="00B86EF0"/>
    <w:rsid w:val="00B9375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77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4F20"/>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01"/>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363"/>
    <w:rsid w:val="00DE67FE"/>
    <w:rsid w:val="00DE76F0"/>
    <w:rsid w:val="00DF09A7"/>
    <w:rsid w:val="00DF2B51"/>
    <w:rsid w:val="00E001D6"/>
    <w:rsid w:val="00E03A76"/>
    <w:rsid w:val="00E04410"/>
    <w:rsid w:val="00E07484"/>
    <w:rsid w:val="00E11351"/>
    <w:rsid w:val="00E2403C"/>
    <w:rsid w:val="00E33F44"/>
    <w:rsid w:val="00E3527F"/>
    <w:rsid w:val="00E37D48"/>
    <w:rsid w:val="00E4225C"/>
    <w:rsid w:val="00E44879"/>
    <w:rsid w:val="00E66BE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8C4"/>
    <w:rsid w:val="00EC2204"/>
    <w:rsid w:val="00ED6A79"/>
    <w:rsid w:val="00EE17DF"/>
    <w:rsid w:val="00EF1482"/>
    <w:rsid w:val="00EF289F"/>
    <w:rsid w:val="00EF4621"/>
    <w:rsid w:val="00EF4D52"/>
    <w:rsid w:val="00EF6312"/>
    <w:rsid w:val="00F02916"/>
    <w:rsid w:val="00F038B0"/>
    <w:rsid w:val="00F05F34"/>
    <w:rsid w:val="00F22B27"/>
    <w:rsid w:val="00F234A7"/>
    <w:rsid w:val="00F277B6"/>
    <w:rsid w:val="00F27DA5"/>
    <w:rsid w:val="00F37E07"/>
    <w:rsid w:val="00F40ACB"/>
    <w:rsid w:val="00F4182A"/>
    <w:rsid w:val="00F464ED"/>
    <w:rsid w:val="00F53DA0"/>
    <w:rsid w:val="00F54380"/>
    <w:rsid w:val="00F54B47"/>
    <w:rsid w:val="00F61247"/>
    <w:rsid w:val="00F61F61"/>
    <w:rsid w:val="00F63191"/>
    <w:rsid w:val="00F6702E"/>
    <w:rsid w:val="00F70E84"/>
    <w:rsid w:val="00F80685"/>
    <w:rsid w:val="00F94968"/>
    <w:rsid w:val="00F9631A"/>
    <w:rsid w:val="00FA092B"/>
    <w:rsid w:val="00FA4F6C"/>
    <w:rsid w:val="00FA6B65"/>
    <w:rsid w:val="00FA6EFD"/>
    <w:rsid w:val="00FB3791"/>
    <w:rsid w:val="00FB6780"/>
    <w:rsid w:val="00FB74EA"/>
    <w:rsid w:val="00FC3AFC"/>
    <w:rsid w:val="00FD0ADB"/>
    <w:rsid w:val="00FD2C9E"/>
    <w:rsid w:val="00FD4786"/>
    <w:rsid w:val="00FD4D1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90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A6B65"/>
    <w:pPr>
      <w:autoSpaceDE w:val="0"/>
      <w:autoSpaceDN w:val="0"/>
      <w:adjustRightInd w:val="0"/>
      <w:ind w:left="720"/>
    </w:pPr>
    <w:rPr>
      <w:sz w:val="24"/>
      <w:szCs w:val="24"/>
    </w:rPr>
  </w:style>
  <w:style w:type="paragraph" w:customStyle="1" w:styleId="Level2">
    <w:name w:val="Level 2"/>
    <w:rsid w:val="00FA6B65"/>
    <w:pPr>
      <w:autoSpaceDE w:val="0"/>
      <w:autoSpaceDN w:val="0"/>
      <w:adjustRightInd w:val="0"/>
      <w:ind w:left="1440"/>
    </w:pPr>
    <w:rPr>
      <w:sz w:val="24"/>
      <w:szCs w:val="24"/>
    </w:rPr>
  </w:style>
  <w:style w:type="character" w:styleId="Hyperlink">
    <w:name w:val="Hyperlink"/>
    <w:uiPriority w:val="99"/>
    <w:unhideWhenUsed/>
    <w:rsid w:val="00FA6B65"/>
    <w:rPr>
      <w:color w:val="0000FF"/>
      <w:u w:val="single"/>
    </w:rPr>
  </w:style>
  <w:style w:type="paragraph" w:styleId="ListParagraph">
    <w:name w:val="List Paragraph"/>
    <w:basedOn w:val="Normal"/>
    <w:uiPriority w:val="34"/>
    <w:qFormat/>
    <w:rsid w:val="00FA6B65"/>
    <w:pPr>
      <w:ind w:left="720"/>
      <w:contextualSpacing/>
    </w:pPr>
  </w:style>
  <w:style w:type="character" w:customStyle="1" w:styleId="FootnoteTextChar">
    <w:name w:val="Footnote Text Char"/>
    <w:basedOn w:val="DefaultParagraphFont"/>
    <w:link w:val="FootnoteText"/>
    <w:rsid w:val="001715F5"/>
  </w:style>
  <w:style w:type="character" w:styleId="CommentReference">
    <w:name w:val="annotation reference"/>
    <w:basedOn w:val="DefaultParagraphFont"/>
    <w:semiHidden/>
    <w:unhideWhenUsed/>
    <w:rsid w:val="006764BB"/>
    <w:rPr>
      <w:sz w:val="16"/>
      <w:szCs w:val="16"/>
    </w:rPr>
  </w:style>
  <w:style w:type="paragraph" w:styleId="CommentText">
    <w:name w:val="annotation text"/>
    <w:basedOn w:val="Normal"/>
    <w:link w:val="CommentTextChar"/>
    <w:semiHidden/>
    <w:unhideWhenUsed/>
    <w:rsid w:val="006764BB"/>
    <w:rPr>
      <w:sz w:val="20"/>
      <w:szCs w:val="20"/>
    </w:rPr>
  </w:style>
  <w:style w:type="character" w:customStyle="1" w:styleId="CommentTextChar">
    <w:name w:val="Comment Text Char"/>
    <w:basedOn w:val="DefaultParagraphFont"/>
    <w:link w:val="CommentText"/>
    <w:semiHidden/>
    <w:rsid w:val="006764BB"/>
  </w:style>
  <w:style w:type="paragraph" w:styleId="CommentSubject">
    <w:name w:val="annotation subject"/>
    <w:basedOn w:val="CommentText"/>
    <w:next w:val="CommentText"/>
    <w:link w:val="CommentSubjectChar"/>
    <w:semiHidden/>
    <w:unhideWhenUsed/>
    <w:rsid w:val="006764BB"/>
    <w:rPr>
      <w:b/>
      <w:bCs/>
    </w:rPr>
  </w:style>
  <w:style w:type="character" w:customStyle="1" w:styleId="CommentSubjectChar">
    <w:name w:val="Comment Subject Char"/>
    <w:basedOn w:val="CommentTextChar"/>
    <w:link w:val="CommentSubject"/>
    <w:semiHidden/>
    <w:rsid w:val="006764BB"/>
    <w:rPr>
      <w:b/>
      <w:bCs/>
    </w:rPr>
  </w:style>
  <w:style w:type="paragraph" w:styleId="BalloonText">
    <w:name w:val="Balloon Text"/>
    <w:basedOn w:val="Normal"/>
    <w:link w:val="BalloonTextChar"/>
    <w:semiHidden/>
    <w:unhideWhenUsed/>
    <w:rsid w:val="006764BB"/>
    <w:rPr>
      <w:rFonts w:ascii="Segoe UI" w:hAnsi="Segoe UI" w:cs="Segoe UI"/>
      <w:sz w:val="18"/>
      <w:szCs w:val="18"/>
    </w:rPr>
  </w:style>
  <w:style w:type="character" w:customStyle="1" w:styleId="BalloonTextChar">
    <w:name w:val="Balloon Text Char"/>
    <w:basedOn w:val="DefaultParagraphFont"/>
    <w:link w:val="BalloonText"/>
    <w:semiHidden/>
    <w:rsid w:val="00676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91335455">
      <w:bodyDiv w:val="1"/>
      <w:marLeft w:val="0"/>
      <w:marRight w:val="0"/>
      <w:marTop w:val="0"/>
      <w:marBottom w:val="0"/>
      <w:divBdr>
        <w:top w:val="none" w:sz="0" w:space="0" w:color="auto"/>
        <w:left w:val="none" w:sz="0" w:space="0" w:color="auto"/>
        <w:bottom w:val="none" w:sz="0" w:space="0" w:color="auto"/>
        <w:right w:val="none" w:sz="0" w:space="0" w:color="auto"/>
      </w:divBdr>
      <w:divsChild>
        <w:div w:id="1687055299">
          <w:marLeft w:val="0"/>
          <w:marRight w:val="0"/>
          <w:marTop w:val="0"/>
          <w:marBottom w:val="0"/>
          <w:divBdr>
            <w:top w:val="none" w:sz="0" w:space="0" w:color="3D3D3D"/>
            <w:left w:val="none" w:sz="0" w:space="0" w:color="3D3D3D"/>
            <w:bottom w:val="none" w:sz="0" w:space="0" w:color="3D3D3D"/>
            <w:right w:val="none" w:sz="0" w:space="0" w:color="3D3D3D"/>
          </w:divBdr>
          <w:divsChild>
            <w:div w:id="14886673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C8C6-EF53-49BC-8EA3-D0F9C80F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2024-07-24T18:51:00Z</dcterms:created>
  <dcterms:modified xsi:type="dcterms:W3CDTF">2024-07-24T20:56:00Z</dcterms:modified>
</cp:coreProperties>
</file>