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AE210" w14:textId="77777777" w:rsidR="00CB5276" w:rsidRDefault="009969B1" w:rsidP="009969B1">
      <w:pPr>
        <w:pStyle w:val="OrderHeading"/>
      </w:pPr>
      <w:r>
        <w:t>BEFORE THE FLORIDA PUBLIC SERVICE COMMISSION</w:t>
      </w:r>
    </w:p>
    <w:p w14:paraId="035F6B7D" w14:textId="77777777" w:rsidR="009969B1" w:rsidRDefault="009969B1" w:rsidP="009969B1">
      <w:pPr>
        <w:pStyle w:val="OrderBody"/>
      </w:pPr>
    </w:p>
    <w:p w14:paraId="7EAB4E8F" w14:textId="77777777" w:rsidR="009969B1" w:rsidRDefault="009969B1" w:rsidP="009969B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969B1" w:rsidRPr="00C63FCF" w14:paraId="11546E85" w14:textId="77777777" w:rsidTr="00EF14FB">
        <w:trPr>
          <w:trHeight w:val="828"/>
        </w:trPr>
        <w:tc>
          <w:tcPr>
            <w:tcW w:w="4788" w:type="dxa"/>
            <w:tcBorders>
              <w:bottom w:val="single" w:sz="8" w:space="0" w:color="auto"/>
              <w:right w:val="double" w:sz="6" w:space="0" w:color="auto"/>
            </w:tcBorders>
            <w:shd w:val="clear" w:color="auto" w:fill="auto"/>
          </w:tcPr>
          <w:p w14:paraId="0CF1ADFA" w14:textId="77777777" w:rsidR="009969B1" w:rsidRDefault="009969B1" w:rsidP="00EF14FB">
            <w:pPr>
              <w:pStyle w:val="OrderBody"/>
              <w:tabs>
                <w:tab w:val="center" w:pos="4320"/>
                <w:tab w:val="right" w:pos="8640"/>
              </w:tabs>
              <w:jc w:val="left"/>
            </w:pPr>
            <w:r>
              <w:t xml:space="preserve">In re: </w:t>
            </w:r>
            <w:bookmarkStart w:id="0" w:name="SSInRe"/>
            <w:bookmarkEnd w:id="0"/>
            <w:r>
              <w:t>Petition for rate increase by St. Joe Natural Gas Company, Inc.</w:t>
            </w:r>
          </w:p>
        </w:tc>
        <w:tc>
          <w:tcPr>
            <w:tcW w:w="4788" w:type="dxa"/>
            <w:tcBorders>
              <w:left w:val="double" w:sz="6" w:space="0" w:color="auto"/>
            </w:tcBorders>
            <w:shd w:val="clear" w:color="auto" w:fill="auto"/>
          </w:tcPr>
          <w:p w14:paraId="2EAC0432" w14:textId="77777777" w:rsidR="009969B1" w:rsidRDefault="009969B1" w:rsidP="009969B1">
            <w:pPr>
              <w:pStyle w:val="OrderBody"/>
            </w:pPr>
            <w:r>
              <w:t xml:space="preserve">DOCKET NO. </w:t>
            </w:r>
            <w:bookmarkStart w:id="1" w:name="SSDocketNo"/>
            <w:bookmarkEnd w:id="1"/>
            <w:r>
              <w:t>20240046-GU</w:t>
            </w:r>
          </w:p>
          <w:p w14:paraId="1829CABB" w14:textId="6179F166" w:rsidR="009969B1" w:rsidRDefault="009969B1" w:rsidP="00EF14FB">
            <w:pPr>
              <w:pStyle w:val="OrderBody"/>
              <w:tabs>
                <w:tab w:val="center" w:pos="4320"/>
                <w:tab w:val="right" w:pos="8640"/>
              </w:tabs>
              <w:jc w:val="left"/>
            </w:pPr>
            <w:r>
              <w:t xml:space="preserve">ORDER NO. </w:t>
            </w:r>
            <w:bookmarkStart w:id="2" w:name="OrderNo0379"/>
            <w:r w:rsidR="00947D35">
              <w:t>PSC-2024-0379-PCO-GU</w:t>
            </w:r>
            <w:bookmarkEnd w:id="2"/>
          </w:p>
          <w:p w14:paraId="1653363D" w14:textId="580FCD80" w:rsidR="009969B1" w:rsidRDefault="009969B1" w:rsidP="00EF14FB">
            <w:pPr>
              <w:pStyle w:val="OrderBody"/>
              <w:tabs>
                <w:tab w:val="center" w:pos="4320"/>
                <w:tab w:val="right" w:pos="8640"/>
              </w:tabs>
              <w:jc w:val="left"/>
            </w:pPr>
            <w:r>
              <w:t xml:space="preserve">ISSUED: </w:t>
            </w:r>
            <w:r w:rsidR="00947D35">
              <w:t>August 28, 2024</w:t>
            </w:r>
          </w:p>
        </w:tc>
      </w:tr>
    </w:tbl>
    <w:p w14:paraId="6F20AC2C" w14:textId="77777777" w:rsidR="009969B1" w:rsidRDefault="009969B1" w:rsidP="009969B1"/>
    <w:p w14:paraId="5379F53E" w14:textId="77777777" w:rsidR="009969B1" w:rsidRDefault="009969B1" w:rsidP="009969B1"/>
    <w:p w14:paraId="08C21CAD" w14:textId="77777777" w:rsidR="009969B1" w:rsidRDefault="009969B1" w:rsidP="00B67A43">
      <w:pPr>
        <w:ind w:firstLine="720"/>
        <w:jc w:val="both"/>
      </w:pPr>
      <w:bookmarkStart w:id="3" w:name="Commissioners"/>
      <w:bookmarkEnd w:id="3"/>
      <w:r>
        <w:t>The following Commissioners participated in the disposition of this matter:</w:t>
      </w:r>
    </w:p>
    <w:p w14:paraId="19D2C176" w14:textId="77777777" w:rsidR="009969B1" w:rsidRDefault="009969B1" w:rsidP="00B67A43"/>
    <w:p w14:paraId="45549094" w14:textId="77777777" w:rsidR="009969B1" w:rsidRDefault="009969B1" w:rsidP="00477699">
      <w:pPr>
        <w:jc w:val="center"/>
      </w:pPr>
      <w:r>
        <w:t>MIKE LA ROSA, Chairman</w:t>
      </w:r>
    </w:p>
    <w:p w14:paraId="583B46E5" w14:textId="77777777" w:rsidR="009969B1" w:rsidRDefault="009969B1" w:rsidP="00B67A43">
      <w:pPr>
        <w:jc w:val="center"/>
      </w:pPr>
      <w:r>
        <w:t>ART GRAHAM</w:t>
      </w:r>
    </w:p>
    <w:p w14:paraId="751BA3D1" w14:textId="77777777" w:rsidR="009969B1" w:rsidRDefault="009969B1" w:rsidP="00B67A43">
      <w:pPr>
        <w:jc w:val="center"/>
      </w:pPr>
      <w:r>
        <w:t>GARY F. CLARK</w:t>
      </w:r>
    </w:p>
    <w:p w14:paraId="406886F5" w14:textId="77777777" w:rsidR="009969B1" w:rsidRDefault="009969B1" w:rsidP="00B67A43">
      <w:pPr>
        <w:jc w:val="center"/>
      </w:pPr>
      <w:r>
        <w:t>ANDREW GILES FAY</w:t>
      </w:r>
    </w:p>
    <w:p w14:paraId="050E2C90" w14:textId="77777777" w:rsidR="009969B1" w:rsidRPr="005F2751" w:rsidRDefault="009969B1" w:rsidP="00B67A43">
      <w:pPr>
        <w:jc w:val="center"/>
      </w:pPr>
      <w:r w:rsidRPr="005F2751">
        <w:rPr>
          <w:lang w:val="en"/>
        </w:rPr>
        <w:t>GABRIELLA PASSIDOMO</w:t>
      </w:r>
    </w:p>
    <w:p w14:paraId="0BD055B3" w14:textId="77777777" w:rsidR="009969B1" w:rsidRDefault="009969B1" w:rsidP="00B67A43"/>
    <w:p w14:paraId="57D8C458" w14:textId="77777777" w:rsidR="00CB5276" w:rsidRDefault="00CB5276">
      <w:pPr>
        <w:pStyle w:val="OrderBody"/>
      </w:pPr>
    </w:p>
    <w:p w14:paraId="31F13F02" w14:textId="77777777" w:rsidR="002A0484" w:rsidRDefault="009969B1" w:rsidP="009969B1">
      <w:pPr>
        <w:pStyle w:val="CenterUnderline"/>
      </w:pPr>
      <w:r>
        <w:t>ORDER</w:t>
      </w:r>
      <w:bookmarkStart w:id="4" w:name="OrderTitle"/>
      <w:r>
        <w:t xml:space="preserve"> </w:t>
      </w:r>
      <w:r w:rsidR="002A0484">
        <w:t xml:space="preserve">SUSPENDING FINAL RATES </w:t>
      </w:r>
    </w:p>
    <w:p w14:paraId="0F0AFDCE" w14:textId="77777777" w:rsidR="009969B1" w:rsidRDefault="002A0484" w:rsidP="009969B1">
      <w:pPr>
        <w:pStyle w:val="CenterUnderline"/>
      </w:pPr>
      <w:r>
        <w:t>AND GRANTING INTERIM RATES</w:t>
      </w:r>
      <w:r w:rsidR="009969B1">
        <w:t xml:space="preserve"> </w:t>
      </w:r>
      <w:bookmarkEnd w:id="4"/>
    </w:p>
    <w:p w14:paraId="33B785A7" w14:textId="77777777" w:rsidR="009969B1" w:rsidRDefault="009969B1" w:rsidP="009969B1">
      <w:pPr>
        <w:pStyle w:val="CenterUnderline"/>
      </w:pPr>
    </w:p>
    <w:p w14:paraId="228F2BE4" w14:textId="77777777" w:rsidR="009969B1" w:rsidRDefault="009969B1" w:rsidP="009969B1">
      <w:pPr>
        <w:pStyle w:val="OrderBody"/>
      </w:pPr>
      <w:r>
        <w:t>BY THE COMMISSION:</w:t>
      </w:r>
    </w:p>
    <w:p w14:paraId="69938398" w14:textId="77777777" w:rsidR="009969B1" w:rsidRDefault="009969B1" w:rsidP="009969B1">
      <w:pPr>
        <w:pStyle w:val="OrderBody"/>
      </w:pPr>
    </w:p>
    <w:p w14:paraId="5B2C6025" w14:textId="77777777" w:rsidR="009969B1" w:rsidRPr="002A0484" w:rsidRDefault="009969B1" w:rsidP="009969B1">
      <w:pPr>
        <w:pStyle w:val="RecommendationMajorSectionHeading"/>
        <w:rPr>
          <w:rFonts w:ascii="Times New Roman" w:hAnsi="Times New Roman" w:cs="Times New Roman"/>
          <w:b w:val="0"/>
          <w:u w:val="single"/>
        </w:rPr>
      </w:pPr>
      <w:bookmarkStart w:id="5" w:name="OrderText"/>
      <w:bookmarkStart w:id="6" w:name="CaseBackground"/>
      <w:bookmarkEnd w:id="5"/>
      <w:r w:rsidRPr="002A0484">
        <w:rPr>
          <w:rFonts w:ascii="Times New Roman" w:hAnsi="Times New Roman" w:cs="Times New Roman"/>
          <w:b w:val="0"/>
          <w:u w:val="single"/>
        </w:rPr>
        <w:t>Background</w:t>
      </w:r>
    </w:p>
    <w:p w14:paraId="507143EE" w14:textId="77777777" w:rsidR="009969B1" w:rsidRDefault="009969B1" w:rsidP="00EF14FB">
      <w:pPr>
        <w:pStyle w:val="BodyText"/>
        <w:spacing w:after="0"/>
        <w:ind w:firstLine="720"/>
        <w:jc w:val="both"/>
      </w:pPr>
      <w:r>
        <w:t xml:space="preserve">On May 29, 2024, St. Joe Natural Gas Company, Inc. (SJNG or Company) filed a petition seeking </w:t>
      </w:r>
      <w:r w:rsidR="00932FCC">
        <w:t>our</w:t>
      </w:r>
      <w:r>
        <w:t xml:space="preserve"> approval to increase rates and charges. SJNG provides sales and transportation of natural gas and is a public utility subject to </w:t>
      </w:r>
      <w:r w:rsidR="00932FCC">
        <w:t>our</w:t>
      </w:r>
      <w:r>
        <w:t xml:space="preserve"> regulatory jurisdiction under Chapter 366, Florida Statutes (F.S.). SJNG currently serves approximately 3,186 residential and commercial customers in Gulf and Bay Counties. In its petition, SJNG requested an increase of $1,043,838 in additional gross annual revenues.</w:t>
      </w:r>
      <w:r w:rsidRPr="00686CCA">
        <w:t xml:space="preserve"> </w:t>
      </w:r>
      <w:r>
        <w:t>The requested increase, according to SJNG, will provide the Company with an opportunity to earn an overall rate of return of 6.05 percent on the Company's plant and property used to serve its customers based on a midpoint return on equity of 11.00 percent. The Company based its request on a 13-month average rate base of $3,381,746 for the projected test year ending December 2024.</w:t>
      </w:r>
      <w:bookmarkEnd w:id="6"/>
      <w:r>
        <w:t xml:space="preserve"> SJNG is also proposing to restructure its residential service class to reduce stratification within the residential classes. Per Rule 25-7.140(1)(d), Florida Administrative Code (F.A.C.), SJNG has elected to use the five month Proposed Agency Action process authorized in Section 366.06(4) F.S.</w:t>
      </w:r>
    </w:p>
    <w:p w14:paraId="2447EF28" w14:textId="77777777" w:rsidR="009969B1" w:rsidRDefault="009969B1" w:rsidP="00EF14FB">
      <w:pPr>
        <w:pStyle w:val="BodyText"/>
        <w:spacing w:after="0"/>
        <w:jc w:val="both"/>
      </w:pPr>
    </w:p>
    <w:p w14:paraId="76AEA85F" w14:textId="77777777" w:rsidR="009969B1" w:rsidRDefault="009969B1" w:rsidP="00EF14FB">
      <w:pPr>
        <w:pStyle w:val="BodyText"/>
        <w:spacing w:after="0"/>
        <w:ind w:firstLine="720"/>
        <w:jc w:val="both"/>
      </w:pPr>
      <w:r>
        <w:t xml:space="preserve">SJNG‘s last approved rate case was in 2008 in </w:t>
      </w:r>
      <w:r w:rsidRPr="00902A25">
        <w:t>Docket No. 20070592-GU.</w:t>
      </w:r>
      <w:r>
        <w:rPr>
          <w:rStyle w:val="FootnoteReference"/>
        </w:rPr>
        <w:footnoteReference w:id="1"/>
      </w:r>
      <w:r w:rsidRPr="00902A25">
        <w:t xml:space="preserve"> More recently, </w:t>
      </w:r>
      <w:r>
        <w:t>in D</w:t>
      </w:r>
      <w:r w:rsidRPr="00902A25">
        <w:t xml:space="preserve">ocket No. 20230022-GU, </w:t>
      </w:r>
      <w:r w:rsidR="00985FC6">
        <w:t>we</w:t>
      </w:r>
      <w:r>
        <w:t xml:space="preserve"> </w:t>
      </w:r>
      <w:r w:rsidRPr="00902A25">
        <w:t xml:space="preserve">approved new depreciation rates </w:t>
      </w:r>
      <w:r>
        <w:t xml:space="preserve">with an implementation date of January 1, 2023. </w:t>
      </w:r>
      <w:r w:rsidRPr="00902A25">
        <w:t>Notably, in Docket No. 20160033-GU,</w:t>
      </w:r>
      <w:r>
        <w:rPr>
          <w:rStyle w:val="FootnoteReference"/>
        </w:rPr>
        <w:footnoteReference w:id="2"/>
      </w:r>
      <w:r w:rsidRPr="00902A25">
        <w:t xml:space="preserve"> </w:t>
      </w:r>
      <w:r w:rsidR="00985FC6">
        <w:t>we</w:t>
      </w:r>
      <w:r w:rsidRPr="00902A25">
        <w:t xml:space="preserve"> approved SJNG's request to reallocate the $285,011 annual revenue deficiency resulting from the </w:t>
      </w:r>
      <w:r w:rsidRPr="00902A25">
        <w:lastRenderedPageBreak/>
        <w:t>permanent loss of its largest customer, the Arizona Chemical Company, to the remaining customer classes.</w:t>
      </w:r>
      <w:r w:rsidRPr="00EC0841">
        <w:t xml:space="preserve"> </w:t>
      </w:r>
      <w:r>
        <w:t>Also, i</w:t>
      </w:r>
      <w:r w:rsidRPr="00902A25">
        <w:t>n Docket No. 20200039-GU</w:t>
      </w:r>
      <w:r>
        <w:t>,</w:t>
      </w:r>
      <w:r>
        <w:rPr>
          <w:rStyle w:val="FootnoteReference"/>
        </w:rPr>
        <w:footnoteReference w:id="3"/>
      </w:r>
      <w:r w:rsidRPr="00902A25">
        <w:t xml:space="preserve"> </w:t>
      </w:r>
      <w:r w:rsidR="00985FC6">
        <w:t>we</w:t>
      </w:r>
      <w:r w:rsidRPr="00902A25">
        <w:t xml:space="preserve"> approved a temporary storm cost recovery surcharge to deal with Hurricane Michael recovery.</w:t>
      </w:r>
    </w:p>
    <w:p w14:paraId="257E325C" w14:textId="77777777" w:rsidR="00985FC6" w:rsidRDefault="00985FC6" w:rsidP="00EF14FB">
      <w:pPr>
        <w:pStyle w:val="BodyText"/>
        <w:spacing w:after="0"/>
        <w:jc w:val="both"/>
      </w:pPr>
    </w:p>
    <w:p w14:paraId="755EB1FC" w14:textId="77777777" w:rsidR="009969B1" w:rsidRDefault="009969B1" w:rsidP="00985FC6">
      <w:pPr>
        <w:pStyle w:val="BodyText"/>
        <w:spacing w:after="0"/>
        <w:ind w:firstLine="720"/>
        <w:jc w:val="both"/>
      </w:pPr>
      <w:r w:rsidRPr="00902A25">
        <w:t>The Utility stated that the key drivers for the proposed rate increase are: current rates not recovering its property tax expense or property insurance expense, increases to rate base associated with extensions to serve new customers, increasing operating expenses reflecting nearly 16 years of inflation, and increases in regulatory costs, particularly federal pipeline safety regulations</w:t>
      </w:r>
      <w:r>
        <w:t>.</w:t>
      </w:r>
    </w:p>
    <w:p w14:paraId="4CDF0416" w14:textId="77777777" w:rsidR="009969B1" w:rsidRDefault="009969B1" w:rsidP="00EF14FB">
      <w:pPr>
        <w:pStyle w:val="BodyText"/>
        <w:spacing w:after="0"/>
        <w:jc w:val="both"/>
      </w:pPr>
    </w:p>
    <w:p w14:paraId="22AC9D6E" w14:textId="77777777" w:rsidR="00CB5276" w:rsidRDefault="009969B1" w:rsidP="00EF14FB">
      <w:pPr>
        <w:pStyle w:val="OrderBody"/>
        <w:ind w:firstLine="720"/>
      </w:pPr>
      <w:r w:rsidRPr="00902A25">
        <w:t xml:space="preserve">In its petition, the Company </w:t>
      </w:r>
      <w:r>
        <w:t xml:space="preserve">also </w:t>
      </w:r>
      <w:r w:rsidRPr="00902A25">
        <w:t>reques</w:t>
      </w:r>
      <w:r>
        <w:t>ted an interim rate increase of</w:t>
      </w:r>
      <w:r w:rsidRPr="00902A25">
        <w:t xml:space="preserve"> $612,209</w:t>
      </w:r>
      <w:r>
        <w:t xml:space="preserve"> based on a historic test year ended December 31, 2023</w:t>
      </w:r>
      <w:r w:rsidRPr="00902A25">
        <w:t xml:space="preserve">. Section 366.071, F.S., addresses interim rates and procedures and requires </w:t>
      </w:r>
      <w:r w:rsidR="00D23E4B">
        <w:t>us</w:t>
      </w:r>
      <w:r w:rsidRPr="00902A25">
        <w:t xml:space="preserve"> to authorize within 60 days of a filing for an interim rate increase the collection of interim rates</w:t>
      </w:r>
      <w:r>
        <w:t>.</w:t>
      </w:r>
      <w:r w:rsidRPr="00BC4A70">
        <w:t xml:space="preserve"> </w:t>
      </w:r>
      <w:r w:rsidRPr="00FE7757">
        <w:t xml:space="preserve">On </w:t>
      </w:r>
      <w:r>
        <w:t>May</w:t>
      </w:r>
      <w:r w:rsidRPr="00FE7757">
        <w:t xml:space="preserve"> </w:t>
      </w:r>
      <w:r>
        <w:t>29</w:t>
      </w:r>
      <w:r w:rsidRPr="00FE7757">
        <w:t>, 202</w:t>
      </w:r>
      <w:r>
        <w:t>4</w:t>
      </w:r>
      <w:r w:rsidRPr="00FE7757">
        <w:t xml:space="preserve">, the Company waived the 60-day provision of Section 366.071(2), F.S., and agreed to defer implementation of the proposed interim rates until </w:t>
      </w:r>
      <w:r w:rsidRPr="00EE5B75">
        <w:t xml:space="preserve">the issue </w:t>
      </w:r>
      <w:r w:rsidR="00EE5B75" w:rsidRPr="00EE5B75">
        <w:t>could be</w:t>
      </w:r>
      <w:r w:rsidRPr="00EE5B75">
        <w:t xml:space="preserve"> addressed at the scheduled August 6, 2024, Commission Conference.</w:t>
      </w:r>
      <w:r>
        <w:rPr>
          <w:rStyle w:val="FootnoteReference"/>
        </w:rPr>
        <w:footnoteReference w:id="4"/>
      </w:r>
      <w:r w:rsidR="005557DA">
        <w:t xml:space="preserve"> Due to Tropical Storm Debby, the Commission Conference scheduled for August 6, 2024, was rescheduled to August 8, 2024.</w:t>
      </w:r>
      <w:r>
        <w:t xml:space="preserve"> </w:t>
      </w:r>
      <w:r w:rsidRPr="00902A25">
        <w:t xml:space="preserve">This </w:t>
      </w:r>
      <w:r w:rsidR="00FC55DD">
        <w:t>order</w:t>
      </w:r>
      <w:r w:rsidRPr="00902A25">
        <w:t xml:space="preserve"> addresses the requested int</w:t>
      </w:r>
      <w:r>
        <w:t>erim revenue increase and rates and the suspension of the Company’s requested permanent rate increase.</w:t>
      </w:r>
      <w:r w:rsidRPr="00902A25">
        <w:t xml:space="preserve"> </w:t>
      </w:r>
      <w:r w:rsidR="00FC55DD">
        <w:t>We have</w:t>
      </w:r>
      <w:r w:rsidRPr="00902A25">
        <w:t xml:space="preserve"> jurisdiction over this request under Sections 366.06 and 366.071, F.S</w:t>
      </w:r>
      <w:r>
        <w:t>.</w:t>
      </w:r>
    </w:p>
    <w:p w14:paraId="53204BD8" w14:textId="77777777" w:rsidR="009969B1" w:rsidRDefault="009969B1" w:rsidP="009969B1">
      <w:pPr>
        <w:pStyle w:val="OrderBody"/>
      </w:pPr>
    </w:p>
    <w:p w14:paraId="190A70DE" w14:textId="77777777" w:rsidR="00202065" w:rsidRPr="009D731A" w:rsidRDefault="00202065" w:rsidP="009D731A">
      <w:pPr>
        <w:pStyle w:val="RecommendationMajorSectionHeading"/>
        <w:rPr>
          <w:rFonts w:ascii="Times New Roman" w:hAnsi="Times New Roman" w:cs="Times New Roman"/>
          <w:b w:val="0"/>
          <w:u w:val="single"/>
        </w:rPr>
      </w:pPr>
      <w:bookmarkStart w:id="7" w:name="DiscussionOfIssues"/>
      <w:r>
        <w:rPr>
          <w:rFonts w:ascii="Times New Roman" w:hAnsi="Times New Roman" w:cs="Times New Roman"/>
          <w:b w:val="0"/>
          <w:u w:val="single"/>
        </w:rPr>
        <w:t>Decision</w:t>
      </w:r>
      <w:bookmarkEnd w:id="7"/>
    </w:p>
    <w:p w14:paraId="4098AE7E" w14:textId="77777777" w:rsidR="00202065" w:rsidRDefault="00202065" w:rsidP="00202065">
      <w:pPr>
        <w:pStyle w:val="BodyText"/>
        <w:numPr>
          <w:ilvl w:val="0"/>
          <w:numId w:val="1"/>
        </w:numPr>
        <w:spacing w:after="0"/>
        <w:jc w:val="both"/>
      </w:pPr>
      <w:r>
        <w:rPr>
          <w:u w:val="single"/>
        </w:rPr>
        <w:t>Suspension of Permanent Rates</w:t>
      </w:r>
    </w:p>
    <w:p w14:paraId="3C6AFA4E" w14:textId="77777777" w:rsidR="009969B1" w:rsidRDefault="009969B1" w:rsidP="00EF14FB">
      <w:pPr>
        <w:pStyle w:val="BodyText"/>
        <w:spacing w:after="0"/>
        <w:jc w:val="both"/>
      </w:pPr>
    </w:p>
    <w:p w14:paraId="6F1156B4" w14:textId="77777777" w:rsidR="009969B1" w:rsidRDefault="00783C2B" w:rsidP="00783C2B">
      <w:pPr>
        <w:pStyle w:val="OrderBody"/>
        <w:ind w:firstLine="720"/>
      </w:pPr>
      <w:r>
        <w:t>T</w:t>
      </w:r>
      <w:r w:rsidR="009969B1">
        <w:t>he requested permanent increase in rates and charges</w:t>
      </w:r>
      <w:r>
        <w:t xml:space="preserve"> shall</w:t>
      </w:r>
      <w:r w:rsidR="009969B1">
        <w:t xml:space="preserve"> be suspended for SJNG to allow </w:t>
      </w:r>
      <w:r>
        <w:t xml:space="preserve">our </w:t>
      </w:r>
      <w:r w:rsidR="009969B1">
        <w:t xml:space="preserve">staff time to analyze the case. Pursuant to Section 366.06(3), F.S., </w:t>
      </w:r>
      <w:r>
        <w:t xml:space="preserve">we </w:t>
      </w:r>
      <w:r w:rsidR="009969B1">
        <w:t xml:space="preserve">may withhold consent to the operation of all or any portion of a new rate schedule, delivering to the utility requesting such a change, a reason, or written statement of good cause for doing so within 60 days. </w:t>
      </w:r>
      <w:r w:rsidR="009969B1" w:rsidRPr="00FE7757">
        <w:t xml:space="preserve">On </w:t>
      </w:r>
      <w:r w:rsidR="009969B1">
        <w:t>May</w:t>
      </w:r>
      <w:r w:rsidR="009969B1" w:rsidRPr="00FE7757">
        <w:t xml:space="preserve"> </w:t>
      </w:r>
      <w:r w:rsidR="009969B1">
        <w:t>29</w:t>
      </w:r>
      <w:r w:rsidR="009969B1" w:rsidRPr="00FE7757">
        <w:t>, 202</w:t>
      </w:r>
      <w:r w:rsidR="009969B1">
        <w:t>4</w:t>
      </w:r>
      <w:r w:rsidR="009969B1" w:rsidRPr="00FE7757">
        <w:t xml:space="preserve">, the Company waived the 60-day provision of Section 366.071(2), F.S., and agreed to defer </w:t>
      </w:r>
      <w:r w:rsidR="009969B1">
        <w:t>the file and suspend requirements</w:t>
      </w:r>
      <w:r w:rsidR="009969B1" w:rsidRPr="00FE7757">
        <w:t xml:space="preserve"> </w:t>
      </w:r>
      <w:r w:rsidR="009969B1" w:rsidRPr="00EE5B75">
        <w:t xml:space="preserve">until the issue </w:t>
      </w:r>
      <w:r w:rsidR="00EE5B75" w:rsidRPr="00EE5B75">
        <w:t>could be</w:t>
      </w:r>
      <w:r w:rsidR="009969B1" w:rsidRPr="00EE5B75">
        <w:t xml:space="preserve"> addressed at the scheduled August 6, 2024</w:t>
      </w:r>
      <w:r w:rsidR="009969B1">
        <w:t xml:space="preserve"> Commission</w:t>
      </w:r>
      <w:r w:rsidR="009969B1" w:rsidRPr="00FE7757">
        <w:t xml:space="preserve"> Conference</w:t>
      </w:r>
      <w:r w:rsidR="009969B1">
        <w:t>.</w:t>
      </w:r>
      <w:r w:rsidR="009969B1">
        <w:rPr>
          <w:rStyle w:val="FootnoteReference"/>
        </w:rPr>
        <w:footnoteReference w:id="5"/>
      </w:r>
      <w:r w:rsidR="005557DA" w:rsidRPr="005557DA">
        <w:t xml:space="preserve"> Due to Tropical Storm Debby, the Commission Conference scheduled for August 6, 2024, was rescheduled </w:t>
      </w:r>
      <w:r w:rsidR="005557DA">
        <w:t>to</w:t>
      </w:r>
      <w:r w:rsidR="005557DA" w:rsidRPr="005557DA">
        <w:t xml:space="preserve"> August 8, 2024</w:t>
      </w:r>
      <w:r w:rsidR="005557DA">
        <w:t>.</w:t>
      </w:r>
      <w:r w:rsidR="009969B1">
        <w:t xml:space="preserve"> </w:t>
      </w:r>
      <w:r>
        <w:t>We find</w:t>
      </w:r>
      <w:r w:rsidR="009969B1">
        <w:t xml:space="preserve"> that the reasons stated above are good cause consistent with the requirements of Section 366.06(3), F.S</w:t>
      </w:r>
      <w:r w:rsidR="009969B1" w:rsidRPr="00106C80">
        <w:t>.</w:t>
      </w:r>
    </w:p>
    <w:p w14:paraId="07382577" w14:textId="77777777" w:rsidR="00202065" w:rsidRDefault="00202065" w:rsidP="00EF14FB">
      <w:pPr>
        <w:pStyle w:val="BodyText"/>
        <w:spacing w:after="0"/>
        <w:jc w:val="both"/>
      </w:pPr>
    </w:p>
    <w:p w14:paraId="1001F344" w14:textId="77777777" w:rsidR="00202065" w:rsidRDefault="00202065" w:rsidP="00202065">
      <w:pPr>
        <w:pStyle w:val="BodyText"/>
        <w:numPr>
          <w:ilvl w:val="0"/>
          <w:numId w:val="1"/>
        </w:numPr>
        <w:spacing w:after="0"/>
        <w:jc w:val="both"/>
      </w:pPr>
      <w:r>
        <w:rPr>
          <w:u w:val="single"/>
        </w:rPr>
        <w:t>Interim Rate Base</w:t>
      </w:r>
    </w:p>
    <w:p w14:paraId="35DE318C" w14:textId="77777777" w:rsidR="00EF14FB" w:rsidRDefault="00EF14FB" w:rsidP="00EF14FB">
      <w:pPr>
        <w:pStyle w:val="BodyText"/>
        <w:spacing w:after="0"/>
        <w:jc w:val="both"/>
      </w:pPr>
    </w:p>
    <w:p w14:paraId="281FAA64" w14:textId="77777777" w:rsidR="009969B1" w:rsidRDefault="009969B1" w:rsidP="009D731A">
      <w:pPr>
        <w:ind w:firstLine="720"/>
        <w:jc w:val="both"/>
      </w:pPr>
      <w:r>
        <w:t xml:space="preserve">In its filing, the Company proposed an interim 13-month average rate base of $3,186,767 for the period ended December 31, 2023. </w:t>
      </w:r>
      <w:r w:rsidRPr="00FE7757">
        <w:t xml:space="preserve">Pursuant to Section 366.071(5)(a), F.S., the Company is permitted to elect either an average or year-end rate base to calculate its interim revenue </w:t>
      </w:r>
      <w:r w:rsidRPr="00FE7757">
        <w:lastRenderedPageBreak/>
        <w:t>request.</w:t>
      </w:r>
      <w:r w:rsidRPr="004157CB">
        <w:t xml:space="preserve"> </w:t>
      </w:r>
      <w:r w:rsidR="001E6DAF">
        <w:t>We</w:t>
      </w:r>
      <w:r w:rsidRPr="00FE7757">
        <w:t xml:space="preserve"> reviewed the rate base adjustments made in the current interim filing for consistency with the Commission-approved adjustments in </w:t>
      </w:r>
      <w:r>
        <w:t>SJNG’s</w:t>
      </w:r>
      <w:r w:rsidRPr="00FE7757">
        <w:t xml:space="preserve"> last rate case proceeding, where appropriate, as well as other applicable dockets</w:t>
      </w:r>
      <w:r>
        <w:t>.</w:t>
      </w:r>
      <w:r>
        <w:rPr>
          <w:rStyle w:val="FootnoteReference"/>
        </w:rPr>
        <w:footnoteReference w:id="6"/>
      </w:r>
      <w:r>
        <w:t xml:space="preserve"> </w:t>
      </w:r>
      <w:r w:rsidRPr="00106C80">
        <w:t xml:space="preserve">Based on </w:t>
      </w:r>
      <w:r w:rsidR="001E6DAF">
        <w:t>our</w:t>
      </w:r>
      <w:r w:rsidRPr="00106C80">
        <w:t xml:space="preserve"> review, it appears that the Company made applicable adjustments that are consis</w:t>
      </w:r>
      <w:r w:rsidR="001E6DAF">
        <w:t>tent with our prior o</w:t>
      </w:r>
      <w:r w:rsidRPr="00106C80">
        <w:t>rders</w:t>
      </w:r>
      <w:r>
        <w:t xml:space="preserve">. However, the Company made adjustments to plant and accumulated depreciation based on its non-utility allocation percentage from 2022. Therefore, </w:t>
      </w:r>
      <w:r w:rsidR="001E6DAF">
        <w:t>we shall make</w:t>
      </w:r>
      <w:r>
        <w:t xml:space="preserve"> adjustments to decrease plant and accumulated depreciation by $58,773 and $38,974, respectively, to reflect non-utility allocation for the proper 2023 interim test year. As such, $3,166,968 is the appropriate amount of rate base for the historical interim test year ended December 31, 20</w:t>
      </w:r>
      <w:r w:rsidR="001E6DAF">
        <w:t>23. The calculations are shown i</w:t>
      </w:r>
      <w:r>
        <w:t>n Attachment A</w:t>
      </w:r>
      <w:r w:rsidR="001E6DAF">
        <w:t xml:space="preserve"> to this order</w:t>
      </w:r>
      <w:r>
        <w:t>.</w:t>
      </w:r>
    </w:p>
    <w:p w14:paraId="61D892B2" w14:textId="77777777" w:rsidR="00202065" w:rsidRDefault="00202065" w:rsidP="00EF14FB">
      <w:pPr>
        <w:pStyle w:val="BodyText"/>
        <w:spacing w:after="0"/>
        <w:jc w:val="both"/>
      </w:pPr>
    </w:p>
    <w:p w14:paraId="4C80A4BC" w14:textId="77777777" w:rsidR="00202065" w:rsidRDefault="00202065" w:rsidP="00202065">
      <w:pPr>
        <w:pStyle w:val="BodyText"/>
        <w:numPr>
          <w:ilvl w:val="0"/>
          <w:numId w:val="1"/>
        </w:numPr>
        <w:spacing w:after="0"/>
        <w:jc w:val="both"/>
      </w:pPr>
      <w:r>
        <w:rPr>
          <w:u w:val="single"/>
        </w:rPr>
        <w:t>Interim Return on Equity</w:t>
      </w:r>
    </w:p>
    <w:p w14:paraId="7E3C939D" w14:textId="77777777" w:rsidR="009969B1" w:rsidRDefault="009969B1" w:rsidP="00EF14FB">
      <w:pPr>
        <w:pStyle w:val="BodyText"/>
        <w:spacing w:after="0"/>
        <w:jc w:val="both"/>
      </w:pPr>
    </w:p>
    <w:p w14:paraId="74F7EDA3" w14:textId="77777777" w:rsidR="009969B1" w:rsidRDefault="009969B1" w:rsidP="007D37A1">
      <w:pPr>
        <w:pStyle w:val="BodyText"/>
        <w:spacing w:after="0"/>
        <w:ind w:firstLine="720"/>
        <w:jc w:val="both"/>
      </w:pPr>
      <w:r w:rsidRPr="00FE7757">
        <w:t xml:space="preserve">For purposes of its interim rate request, </w:t>
      </w:r>
      <w:r>
        <w:t>SJNG</w:t>
      </w:r>
      <w:r w:rsidRPr="00FE7757">
        <w:t xml:space="preserve"> used an</w:t>
      </w:r>
      <w:r>
        <w:t xml:space="preserve"> overall cost of capital of 5.46</w:t>
      </w:r>
      <w:r w:rsidRPr="00FE7757">
        <w:t xml:space="preserve"> percen</w:t>
      </w:r>
      <w:r>
        <w:t>t</w:t>
      </w:r>
      <w:r w:rsidRPr="00FE7757">
        <w:t xml:space="preserve"> based on a return on equity (ROE) of </w:t>
      </w:r>
      <w:r>
        <w:t>11.00</w:t>
      </w:r>
      <w:r w:rsidRPr="00FE7757">
        <w:t xml:space="preserve"> percent. </w:t>
      </w:r>
      <w:r>
        <w:t>The Company</w:t>
      </w:r>
      <w:r w:rsidRPr="00FE7757">
        <w:t xml:space="preserve"> reflected a capital structure for the 13-month average historical interim test year ended December 31, 202</w:t>
      </w:r>
      <w:r>
        <w:t>3</w:t>
      </w:r>
      <w:r w:rsidRPr="00FE7757">
        <w:t>. Several adjustments are necessary</w:t>
      </w:r>
      <w:r>
        <w:t>.</w:t>
      </w:r>
    </w:p>
    <w:p w14:paraId="66646CF1" w14:textId="77777777" w:rsidR="009969B1" w:rsidRDefault="009969B1" w:rsidP="00EF14FB">
      <w:pPr>
        <w:pStyle w:val="BodyText"/>
        <w:spacing w:after="0"/>
        <w:jc w:val="both"/>
      </w:pPr>
    </w:p>
    <w:p w14:paraId="35B43497" w14:textId="77777777" w:rsidR="009969B1" w:rsidRDefault="009969B1" w:rsidP="00EF14FB">
      <w:pPr>
        <w:pStyle w:val="BodyText"/>
        <w:spacing w:after="0"/>
        <w:ind w:firstLine="720"/>
        <w:jc w:val="both"/>
      </w:pPr>
      <w:r w:rsidRPr="00FE7757">
        <w:t>Pursuant to Section 366.071(2)(a), F.S., the appropriate ROE for purposes of determining an interim rate increase is the minimum of the Company’s currently authorized ROE range</w:t>
      </w:r>
      <w:r>
        <w:t xml:space="preserve">. In its last rate case, SJNG’s ROE midpoint was set at 11.00 percent, with a range of plus or minus 100 basis points. Therefore, </w:t>
      </w:r>
      <w:r w:rsidR="00C54607">
        <w:t>we find</w:t>
      </w:r>
      <w:r>
        <w:t xml:space="preserve"> </w:t>
      </w:r>
      <w:r w:rsidR="00387CE8">
        <w:t xml:space="preserve">that </w:t>
      </w:r>
      <w:r>
        <w:t>an ROE of 10.00 percent</w:t>
      </w:r>
      <w:r w:rsidR="00C54607">
        <w:t xml:space="preserve"> </w:t>
      </w:r>
      <w:r w:rsidR="00387CE8">
        <w:t>is</w:t>
      </w:r>
      <w:r w:rsidR="00C54607">
        <w:t xml:space="preserve"> appropriate</w:t>
      </w:r>
      <w:r>
        <w:t xml:space="preserve"> for the purpose of determining interim rates.</w:t>
      </w:r>
    </w:p>
    <w:p w14:paraId="5D5252EE" w14:textId="77777777" w:rsidR="009969B1" w:rsidRDefault="009969B1" w:rsidP="00EF14FB">
      <w:pPr>
        <w:pStyle w:val="BodyText"/>
        <w:spacing w:after="0"/>
        <w:jc w:val="both"/>
      </w:pPr>
    </w:p>
    <w:p w14:paraId="3A4458A4" w14:textId="77777777" w:rsidR="009969B1" w:rsidRDefault="009969B1" w:rsidP="00EF14FB">
      <w:pPr>
        <w:pStyle w:val="BodyText"/>
        <w:spacing w:after="0"/>
        <w:ind w:firstLine="720"/>
        <w:jc w:val="both"/>
      </w:pPr>
      <w:r>
        <w:t xml:space="preserve">In the last rate case, </w:t>
      </w:r>
      <w:r w:rsidR="00C54607">
        <w:t>we</w:t>
      </w:r>
      <w:r>
        <w:t xml:space="preserve"> made an adjustment to limit the Company’s equity ratio to no more than 60 percent equity as a percentage of investor sources of capital.</w:t>
      </w:r>
      <w:r>
        <w:rPr>
          <w:rStyle w:val="FootnoteReference"/>
        </w:rPr>
        <w:footnoteReference w:id="7"/>
      </w:r>
      <w:r>
        <w:t xml:space="preserve"> In the present filing, SJNG’s equity ratio exceeds 60 percent. Therefore, </w:t>
      </w:r>
      <w:r w:rsidR="0096022F">
        <w:t xml:space="preserve">we find that </w:t>
      </w:r>
      <w:r>
        <w:t>an adjustment to the capital structure to limit the equity ratio to 60 percent equity as a percentage of investor capital</w:t>
      </w:r>
      <w:r w:rsidR="0096022F">
        <w:t xml:space="preserve"> is appropriate</w:t>
      </w:r>
      <w:r>
        <w:t>.</w:t>
      </w:r>
    </w:p>
    <w:p w14:paraId="6B095FCC" w14:textId="77777777" w:rsidR="009969B1" w:rsidRDefault="009969B1" w:rsidP="009969B1">
      <w:pPr>
        <w:pStyle w:val="BodyText"/>
        <w:spacing w:after="0"/>
      </w:pPr>
    </w:p>
    <w:p w14:paraId="61ACF53E" w14:textId="77777777" w:rsidR="009969B1" w:rsidRDefault="009969B1" w:rsidP="00EF14FB">
      <w:pPr>
        <w:pStyle w:val="BodyText"/>
        <w:spacing w:after="0"/>
        <w:ind w:firstLine="720"/>
        <w:jc w:val="both"/>
      </w:pPr>
      <w:r>
        <w:t xml:space="preserve">Additionally, MFR Schedule F-8 reflected total capital that was not equal to the rate base that </w:t>
      </w:r>
      <w:r w:rsidR="00472DF7">
        <w:t>we determined</w:t>
      </w:r>
      <w:r>
        <w:t xml:space="preserve">. Therefore, </w:t>
      </w:r>
      <w:r w:rsidR="00472DF7">
        <w:t>we</w:t>
      </w:r>
      <w:r>
        <w:t xml:space="preserve"> made pro rata adjustments to the investor sources of capital to reconcile to rate base. These adjustments result in an overall cost of capital of 4.81 percent.</w:t>
      </w:r>
    </w:p>
    <w:p w14:paraId="43492729" w14:textId="77777777" w:rsidR="00EF14FB" w:rsidRDefault="00EF14FB" w:rsidP="00EF14FB">
      <w:pPr>
        <w:pStyle w:val="BodyText"/>
        <w:spacing w:after="0"/>
        <w:ind w:firstLine="720"/>
        <w:jc w:val="both"/>
      </w:pPr>
    </w:p>
    <w:p w14:paraId="68702F5A" w14:textId="77777777" w:rsidR="009969B1" w:rsidRDefault="00472DF7" w:rsidP="00472DF7">
      <w:pPr>
        <w:ind w:firstLine="720"/>
        <w:jc w:val="both"/>
      </w:pPr>
      <w:r>
        <w:t>We find</w:t>
      </w:r>
      <w:r w:rsidR="009969B1">
        <w:t xml:space="preserve"> that the capital structure of SJNG for the historical interim 13-month average test year </w:t>
      </w:r>
      <w:r>
        <w:t xml:space="preserve">shall </w:t>
      </w:r>
      <w:r w:rsidR="0074392A">
        <w:t>reflect an ROE of 10.00 percent</w:t>
      </w:r>
      <w:r w:rsidR="009969B1">
        <w:t xml:space="preserve"> resulting in an overall cost of capital of 4.81 percent. Attachment B</w:t>
      </w:r>
      <w:r>
        <w:t xml:space="preserve"> to this order</w:t>
      </w:r>
      <w:r w:rsidR="009969B1">
        <w:t xml:space="preserve"> details the calculations of the overall cost of capital.</w:t>
      </w:r>
    </w:p>
    <w:p w14:paraId="32D57945" w14:textId="77777777" w:rsidR="001D0726" w:rsidRDefault="001D0726" w:rsidP="00472DF7">
      <w:pPr>
        <w:ind w:firstLine="720"/>
        <w:jc w:val="both"/>
      </w:pPr>
    </w:p>
    <w:p w14:paraId="3B964209" w14:textId="77777777" w:rsidR="00202065" w:rsidRDefault="00202065" w:rsidP="00202065">
      <w:pPr>
        <w:pStyle w:val="BodyText"/>
        <w:numPr>
          <w:ilvl w:val="0"/>
          <w:numId w:val="1"/>
        </w:numPr>
        <w:spacing w:after="0"/>
        <w:jc w:val="both"/>
      </w:pPr>
      <w:r>
        <w:rPr>
          <w:u w:val="single"/>
        </w:rPr>
        <w:t>Interim Test Year Net Operating Income</w:t>
      </w:r>
    </w:p>
    <w:p w14:paraId="0E702731" w14:textId="77777777" w:rsidR="009969B1" w:rsidRDefault="009969B1" w:rsidP="00EF14FB">
      <w:pPr>
        <w:pStyle w:val="BodyText"/>
        <w:spacing w:after="0"/>
        <w:jc w:val="both"/>
      </w:pPr>
    </w:p>
    <w:p w14:paraId="7F9C470F" w14:textId="77777777" w:rsidR="009969B1" w:rsidRDefault="009969B1" w:rsidP="00472DF7">
      <w:pPr>
        <w:pStyle w:val="BodyText"/>
        <w:spacing w:after="0"/>
        <w:ind w:firstLine="720"/>
        <w:jc w:val="both"/>
      </w:pPr>
      <w:r>
        <w:t xml:space="preserve">The proposed </w:t>
      </w:r>
      <w:r w:rsidRPr="00FE7757">
        <w:t xml:space="preserve">net operating income for </w:t>
      </w:r>
      <w:r>
        <w:t>SJNG</w:t>
      </w:r>
      <w:r w:rsidRPr="00FE7757">
        <w:t xml:space="preserve"> </w:t>
      </w:r>
      <w:r w:rsidRPr="00ED1C7E">
        <w:t xml:space="preserve">of negative $284,430 is the twelve-month amount for the historical interim test year ended December 31, 2023. </w:t>
      </w:r>
      <w:r w:rsidR="00923A5B">
        <w:t>We</w:t>
      </w:r>
      <w:r w:rsidRPr="00ED1C7E">
        <w:t xml:space="preserve"> reviewed the net </w:t>
      </w:r>
      <w:r w:rsidRPr="00ED1C7E">
        <w:lastRenderedPageBreak/>
        <w:t>operating income adjustments made in the current interim filing for consistency with the Commission-approved adjustments in the last rate case proceeding, as well as other applicable dockets.</w:t>
      </w:r>
      <w:r w:rsidRPr="00ED1C7E">
        <w:rPr>
          <w:rStyle w:val="FootnoteReference"/>
        </w:rPr>
        <w:footnoteReference w:id="8"/>
      </w:r>
      <w:r w:rsidRPr="00ED1C7E">
        <w:t xml:space="preserve"> Based on </w:t>
      </w:r>
      <w:r w:rsidR="00923A5B">
        <w:t>our</w:t>
      </w:r>
      <w:r w:rsidRPr="00ED1C7E">
        <w:t xml:space="preserve"> review, it appears that the Company made applicable adjustments that are consistent with </w:t>
      </w:r>
      <w:r w:rsidR="00923A5B">
        <w:t>our</w:t>
      </w:r>
      <w:r w:rsidRPr="00ED1C7E">
        <w:t xml:space="preserve"> prior </w:t>
      </w:r>
      <w:r w:rsidR="00923A5B">
        <w:t>o</w:t>
      </w:r>
      <w:r w:rsidRPr="00ED1C7E">
        <w:t xml:space="preserve">rder. However, </w:t>
      </w:r>
      <w:r>
        <w:t>MFR Schedule F-4 failed to reflect the Company’s adjustment to depreciation expense</w:t>
      </w:r>
      <w:r w:rsidRPr="00A074D6">
        <w:t xml:space="preserve"> </w:t>
      </w:r>
      <w:r>
        <w:t xml:space="preserve">based on its non-utility allocation percentage. Therefore, </w:t>
      </w:r>
      <w:r w:rsidR="00923A5B">
        <w:t>we shall make</w:t>
      </w:r>
      <w:r w:rsidRPr="00ED1C7E">
        <w:t xml:space="preserve"> an adjustment to reduce depreciation expense by $</w:t>
      </w:r>
      <w:r>
        <w:t xml:space="preserve">34,073 to reflect the appropriate 2023 allocation. </w:t>
      </w:r>
      <w:r w:rsidR="00B54F30">
        <w:t xml:space="preserve">We </w:t>
      </w:r>
      <w:r w:rsidRPr="00ED1C7E">
        <w:t xml:space="preserve">also </w:t>
      </w:r>
      <w:r w:rsidR="00B54F30">
        <w:t>mad</w:t>
      </w:r>
      <w:r w:rsidR="00923A5B">
        <w:t>e</w:t>
      </w:r>
      <w:r w:rsidRPr="00ED1C7E">
        <w:t xml:space="preserve"> adjustments to rate base in </w:t>
      </w:r>
      <w:r w:rsidR="00923A5B">
        <w:t>Section II</w:t>
      </w:r>
      <w:r w:rsidRPr="00ED1C7E">
        <w:t xml:space="preserve"> and cost of capital in </w:t>
      </w:r>
      <w:r w:rsidR="00923A5B">
        <w:t>Section III</w:t>
      </w:r>
      <w:r w:rsidRPr="00ED1C7E">
        <w:t>. These adjustments have fallout effects which have altered the proposed net operating income for SJNG.</w:t>
      </w:r>
    </w:p>
    <w:p w14:paraId="295EF67F" w14:textId="77777777" w:rsidR="009969B1" w:rsidRPr="00ED1C7E" w:rsidRDefault="009969B1" w:rsidP="00EF14FB">
      <w:pPr>
        <w:pStyle w:val="BodyText"/>
        <w:spacing w:after="0"/>
        <w:jc w:val="both"/>
      </w:pPr>
    </w:p>
    <w:p w14:paraId="3B233D47" w14:textId="77777777" w:rsidR="009969B1" w:rsidRDefault="00923A5B" w:rsidP="00EF14FB">
      <w:pPr>
        <w:ind w:firstLine="720"/>
        <w:jc w:val="both"/>
      </w:pPr>
      <w:r>
        <w:t>We find</w:t>
      </w:r>
      <w:r w:rsidR="009969B1" w:rsidRPr="00ED1C7E">
        <w:t xml:space="preserve"> that </w:t>
      </w:r>
      <w:r w:rsidR="009969B1">
        <w:t xml:space="preserve">negative </w:t>
      </w:r>
      <w:r w:rsidR="009969B1" w:rsidRPr="00ED1C7E">
        <w:t>$</w:t>
      </w:r>
      <w:r w:rsidR="009969B1">
        <w:t>250,357 is</w:t>
      </w:r>
      <w:r w:rsidR="009969B1" w:rsidRPr="00FE7757">
        <w:t xml:space="preserve"> the appropriate amount of net operating income for the historical interim test year ended December 31, 202</w:t>
      </w:r>
      <w:r w:rsidR="009969B1">
        <w:t>3</w:t>
      </w:r>
      <w:r>
        <w:t>. The calculations are shown i</w:t>
      </w:r>
      <w:r w:rsidR="009969B1" w:rsidRPr="00FE7757">
        <w:t>n Attachment A</w:t>
      </w:r>
      <w:r>
        <w:t xml:space="preserve"> to this order</w:t>
      </w:r>
      <w:r w:rsidR="009969B1">
        <w:t>.</w:t>
      </w:r>
    </w:p>
    <w:p w14:paraId="51F2B026" w14:textId="77777777" w:rsidR="00202065" w:rsidRDefault="00202065" w:rsidP="00EF14FB">
      <w:pPr>
        <w:pStyle w:val="BodyText"/>
        <w:spacing w:after="0"/>
        <w:jc w:val="both"/>
      </w:pPr>
    </w:p>
    <w:p w14:paraId="665C7619" w14:textId="77777777" w:rsidR="00202065" w:rsidRDefault="00202065" w:rsidP="00202065">
      <w:pPr>
        <w:pStyle w:val="BodyText"/>
        <w:numPr>
          <w:ilvl w:val="0"/>
          <w:numId w:val="1"/>
        </w:numPr>
        <w:spacing w:after="0"/>
        <w:jc w:val="both"/>
      </w:pPr>
      <w:r>
        <w:rPr>
          <w:u w:val="single"/>
        </w:rPr>
        <w:t>Interim Net Operating Income</w:t>
      </w:r>
      <w:r w:rsidR="002C249C">
        <w:rPr>
          <w:u w:val="single"/>
        </w:rPr>
        <w:t xml:space="preserve"> (NOI)</w:t>
      </w:r>
      <w:r>
        <w:rPr>
          <w:u w:val="single"/>
        </w:rPr>
        <w:t xml:space="preserve"> Multiplier</w:t>
      </w:r>
    </w:p>
    <w:p w14:paraId="042B8430" w14:textId="77777777" w:rsidR="009969B1" w:rsidRDefault="009969B1" w:rsidP="00EF14FB">
      <w:pPr>
        <w:pStyle w:val="BodyText"/>
        <w:spacing w:after="0"/>
        <w:jc w:val="both"/>
      </w:pPr>
    </w:p>
    <w:p w14:paraId="147AD685" w14:textId="5E727FFC" w:rsidR="009969B1" w:rsidRDefault="009969B1" w:rsidP="002C249C">
      <w:pPr>
        <w:pStyle w:val="BodyText"/>
        <w:spacing w:after="0"/>
        <w:ind w:firstLine="720"/>
        <w:jc w:val="both"/>
      </w:pPr>
      <w:r w:rsidRPr="00FE7757">
        <w:t xml:space="preserve">On MFR Schedule F-6, </w:t>
      </w:r>
      <w:r>
        <w:t xml:space="preserve">SJNG </w:t>
      </w:r>
      <w:r w:rsidRPr="00FE7757">
        <w:t xml:space="preserve">calculated an interim </w:t>
      </w:r>
      <w:r>
        <w:t xml:space="preserve">NOI multiplier of 1.3356 based on a </w:t>
      </w:r>
      <w:r w:rsidRPr="00FE7757">
        <w:t>revenue expansion factor of 74.</w:t>
      </w:r>
      <w:r>
        <w:t>8744</w:t>
      </w:r>
      <w:r w:rsidRPr="00FE7757">
        <w:t xml:space="preserve"> using a 21 perc</w:t>
      </w:r>
      <w:r>
        <w:t xml:space="preserve">ent federal income tax rate, a </w:t>
      </w:r>
      <w:r w:rsidRPr="00511D69">
        <w:t>4.458 percent state income tax rate</w:t>
      </w:r>
      <w:r w:rsidRPr="00FE7757">
        <w:t xml:space="preserve">, </w:t>
      </w:r>
      <w:r>
        <w:t xml:space="preserve">a 0.3 percent bad debt rate </w:t>
      </w:r>
      <w:r w:rsidRPr="00FE7757">
        <w:t>and a 0.5 percent factor for regulatory assessment fees</w:t>
      </w:r>
      <w:r>
        <w:t xml:space="preserve">. However, the appropriate state income tax rate for the interim test year </w:t>
      </w:r>
      <w:r w:rsidR="002C249C">
        <w:t>is</w:t>
      </w:r>
      <w:r>
        <w:t xml:space="preserve"> 5.5 percent. Therefore, </w:t>
      </w:r>
      <w:r w:rsidR="002C249C">
        <w:t>we find</w:t>
      </w:r>
      <w:r>
        <w:t xml:space="preserve"> that 1.3503 is the appropriate interim NOI multiplier. The calculations are shown below.</w:t>
      </w:r>
    </w:p>
    <w:p w14:paraId="47845ED1" w14:textId="77777777" w:rsidR="009969B1" w:rsidRPr="006110FE" w:rsidRDefault="009969B1" w:rsidP="009969B1">
      <w:pPr>
        <w:pStyle w:val="TableNumber"/>
        <w:keepNext/>
        <w:rPr>
          <w:rFonts w:ascii="Times New Roman" w:hAnsi="Times New Roman"/>
        </w:rPr>
      </w:pPr>
      <w:r w:rsidRPr="006110FE">
        <w:rPr>
          <w:rFonts w:ascii="Times New Roman" w:hAnsi="Times New Roman"/>
        </w:rPr>
        <w:t xml:space="preserve">Table </w:t>
      </w:r>
      <w:r w:rsidR="006110FE">
        <w:rPr>
          <w:rFonts w:ascii="Times New Roman" w:hAnsi="Times New Roman"/>
        </w:rPr>
        <w:t>1</w:t>
      </w:r>
    </w:p>
    <w:p w14:paraId="3C36621A" w14:textId="77777777" w:rsidR="009969B1" w:rsidRPr="006110FE" w:rsidRDefault="009969B1" w:rsidP="009969B1">
      <w:pPr>
        <w:pStyle w:val="TableTitle"/>
        <w:keepNext/>
        <w:rPr>
          <w:rFonts w:ascii="Times New Roman" w:hAnsi="Times New Roman"/>
        </w:rPr>
      </w:pPr>
      <w:r w:rsidRPr="006110FE">
        <w:rPr>
          <w:rFonts w:ascii="Times New Roman" w:hAnsi="Times New Roman"/>
        </w:rPr>
        <w:t>Interim NOI Multiplier</w:t>
      </w:r>
    </w:p>
    <w:tbl>
      <w:tblPr>
        <w:tblStyle w:val="TableGrid"/>
        <w:tblW w:w="0" w:type="auto"/>
        <w:tblInd w:w="2358" w:type="dxa"/>
        <w:tblLook w:val="04A0" w:firstRow="1" w:lastRow="0" w:firstColumn="1" w:lastColumn="0" w:noHBand="0" w:noVBand="1"/>
      </w:tblPr>
      <w:tblGrid>
        <w:gridCol w:w="3330"/>
        <w:gridCol w:w="1440"/>
      </w:tblGrid>
      <w:tr w:rsidR="009969B1" w14:paraId="56A640A1" w14:textId="77777777" w:rsidTr="00EF14FB">
        <w:tc>
          <w:tcPr>
            <w:tcW w:w="3330" w:type="dxa"/>
            <w:tcBorders>
              <w:bottom w:val="single" w:sz="4" w:space="0" w:color="auto"/>
            </w:tcBorders>
          </w:tcPr>
          <w:p w14:paraId="0D5E41AF" w14:textId="77777777" w:rsidR="009969B1" w:rsidRPr="00131004" w:rsidRDefault="009969B1" w:rsidP="00EF14FB">
            <w:pPr>
              <w:jc w:val="center"/>
              <w:rPr>
                <w:b/>
                <w:u w:val="single"/>
              </w:rPr>
            </w:pPr>
            <w:r>
              <w:rPr>
                <w:b/>
                <w:u w:val="single"/>
              </w:rPr>
              <w:t>Description</w:t>
            </w:r>
          </w:p>
        </w:tc>
        <w:tc>
          <w:tcPr>
            <w:tcW w:w="1440" w:type="dxa"/>
            <w:tcBorders>
              <w:bottom w:val="single" w:sz="4" w:space="0" w:color="auto"/>
            </w:tcBorders>
          </w:tcPr>
          <w:p w14:paraId="740A9FED" w14:textId="77777777" w:rsidR="009969B1" w:rsidRDefault="009969B1" w:rsidP="00EF14FB"/>
        </w:tc>
      </w:tr>
      <w:tr w:rsidR="009969B1" w14:paraId="069CB9D8" w14:textId="77777777" w:rsidTr="00EF14FB">
        <w:tc>
          <w:tcPr>
            <w:tcW w:w="3330" w:type="dxa"/>
            <w:tcBorders>
              <w:bottom w:val="nil"/>
            </w:tcBorders>
          </w:tcPr>
          <w:p w14:paraId="430A524E" w14:textId="77777777" w:rsidR="009969B1" w:rsidRDefault="009969B1" w:rsidP="00EF14FB">
            <w:r>
              <w:t>Revenue Requirement</w:t>
            </w:r>
          </w:p>
        </w:tc>
        <w:tc>
          <w:tcPr>
            <w:tcW w:w="1440" w:type="dxa"/>
            <w:tcBorders>
              <w:bottom w:val="nil"/>
            </w:tcBorders>
          </w:tcPr>
          <w:p w14:paraId="7E0450CD" w14:textId="77777777" w:rsidR="009969B1" w:rsidRDefault="009969B1" w:rsidP="00EF14FB">
            <w:pPr>
              <w:jc w:val="right"/>
            </w:pPr>
            <w:r>
              <w:t>100.0000%</w:t>
            </w:r>
          </w:p>
        </w:tc>
      </w:tr>
      <w:tr w:rsidR="009969B1" w14:paraId="57DBB0B9" w14:textId="77777777" w:rsidTr="00EF14FB">
        <w:tc>
          <w:tcPr>
            <w:tcW w:w="3330" w:type="dxa"/>
            <w:tcBorders>
              <w:top w:val="nil"/>
              <w:bottom w:val="nil"/>
            </w:tcBorders>
          </w:tcPr>
          <w:p w14:paraId="45924033" w14:textId="77777777" w:rsidR="009969B1" w:rsidRDefault="009969B1" w:rsidP="00EF14FB">
            <w:r>
              <w:t>Regulatory Assessment Fee</w:t>
            </w:r>
          </w:p>
        </w:tc>
        <w:tc>
          <w:tcPr>
            <w:tcW w:w="1440" w:type="dxa"/>
            <w:tcBorders>
              <w:top w:val="nil"/>
              <w:bottom w:val="nil"/>
            </w:tcBorders>
          </w:tcPr>
          <w:p w14:paraId="16B5CF3A" w14:textId="77777777" w:rsidR="009969B1" w:rsidRDefault="009969B1" w:rsidP="00EF14FB">
            <w:pPr>
              <w:jc w:val="right"/>
            </w:pPr>
            <w:r>
              <w:t>-0.5000%</w:t>
            </w:r>
          </w:p>
        </w:tc>
      </w:tr>
      <w:tr w:rsidR="009969B1" w14:paraId="6869D576" w14:textId="77777777" w:rsidTr="00EF14FB">
        <w:tc>
          <w:tcPr>
            <w:tcW w:w="3330" w:type="dxa"/>
            <w:tcBorders>
              <w:top w:val="nil"/>
              <w:bottom w:val="nil"/>
            </w:tcBorders>
          </w:tcPr>
          <w:p w14:paraId="22177C14" w14:textId="77777777" w:rsidR="009969B1" w:rsidRDefault="009969B1" w:rsidP="00EF14FB">
            <w:r>
              <w:t>Bad Debt Rate</w:t>
            </w:r>
          </w:p>
        </w:tc>
        <w:tc>
          <w:tcPr>
            <w:tcW w:w="1440" w:type="dxa"/>
            <w:tcBorders>
              <w:top w:val="nil"/>
              <w:bottom w:val="nil"/>
            </w:tcBorders>
          </w:tcPr>
          <w:p w14:paraId="79FFE10E" w14:textId="77777777" w:rsidR="009969B1" w:rsidRPr="009F34BF" w:rsidRDefault="009969B1" w:rsidP="00EF14FB">
            <w:pPr>
              <w:jc w:val="right"/>
              <w:rPr>
                <w:u w:val="single"/>
              </w:rPr>
            </w:pPr>
            <w:r w:rsidRPr="009F34BF">
              <w:rPr>
                <w:u w:val="single"/>
              </w:rPr>
              <w:t>-0.3000%</w:t>
            </w:r>
          </w:p>
        </w:tc>
      </w:tr>
      <w:tr w:rsidR="009969B1" w14:paraId="025EC8D2" w14:textId="77777777" w:rsidTr="00EF14FB">
        <w:tc>
          <w:tcPr>
            <w:tcW w:w="3330" w:type="dxa"/>
            <w:tcBorders>
              <w:top w:val="nil"/>
              <w:bottom w:val="nil"/>
            </w:tcBorders>
          </w:tcPr>
          <w:p w14:paraId="3F2F07FA" w14:textId="77777777" w:rsidR="009969B1" w:rsidRDefault="009969B1" w:rsidP="00EF14FB">
            <w:r>
              <w:t>Net Before Income Tax</w:t>
            </w:r>
          </w:p>
        </w:tc>
        <w:tc>
          <w:tcPr>
            <w:tcW w:w="1440" w:type="dxa"/>
            <w:tcBorders>
              <w:top w:val="nil"/>
              <w:bottom w:val="nil"/>
            </w:tcBorders>
          </w:tcPr>
          <w:p w14:paraId="0A51E22F" w14:textId="77777777" w:rsidR="009969B1" w:rsidRDefault="009969B1" w:rsidP="00EF14FB">
            <w:pPr>
              <w:jc w:val="right"/>
            </w:pPr>
            <w:r>
              <w:t>99.2000%</w:t>
            </w:r>
          </w:p>
        </w:tc>
      </w:tr>
      <w:tr w:rsidR="009969B1" w14:paraId="5ED2EAC4" w14:textId="77777777" w:rsidTr="00EF14FB">
        <w:tc>
          <w:tcPr>
            <w:tcW w:w="3330" w:type="dxa"/>
            <w:tcBorders>
              <w:top w:val="nil"/>
              <w:bottom w:val="nil"/>
            </w:tcBorders>
          </w:tcPr>
          <w:p w14:paraId="094AC60E" w14:textId="77777777" w:rsidR="009969B1" w:rsidRDefault="009969B1" w:rsidP="00EF14FB">
            <w:r>
              <w:t>State Income Tax @ 5.5%</w:t>
            </w:r>
          </w:p>
        </w:tc>
        <w:tc>
          <w:tcPr>
            <w:tcW w:w="1440" w:type="dxa"/>
            <w:tcBorders>
              <w:top w:val="nil"/>
              <w:bottom w:val="nil"/>
            </w:tcBorders>
          </w:tcPr>
          <w:p w14:paraId="149CCF8C" w14:textId="77777777" w:rsidR="009969B1" w:rsidRDefault="009969B1" w:rsidP="00EF14FB">
            <w:pPr>
              <w:jc w:val="right"/>
            </w:pPr>
            <w:r>
              <w:t>-5.4175%</w:t>
            </w:r>
          </w:p>
        </w:tc>
      </w:tr>
      <w:tr w:rsidR="009969B1" w14:paraId="0F28FEFA" w14:textId="77777777" w:rsidTr="00EF14FB">
        <w:tc>
          <w:tcPr>
            <w:tcW w:w="3330" w:type="dxa"/>
            <w:tcBorders>
              <w:top w:val="nil"/>
              <w:bottom w:val="nil"/>
            </w:tcBorders>
          </w:tcPr>
          <w:p w14:paraId="5C8545A5" w14:textId="77777777" w:rsidR="009969B1" w:rsidRDefault="009969B1" w:rsidP="00EF14FB">
            <w:r>
              <w:t>Federal Income Tax @ 21%</w:t>
            </w:r>
          </w:p>
        </w:tc>
        <w:tc>
          <w:tcPr>
            <w:tcW w:w="1440" w:type="dxa"/>
            <w:tcBorders>
              <w:top w:val="nil"/>
              <w:bottom w:val="nil"/>
            </w:tcBorders>
          </w:tcPr>
          <w:p w14:paraId="7FCDA467" w14:textId="77777777" w:rsidR="009969B1" w:rsidRPr="009F34BF" w:rsidRDefault="009969B1" w:rsidP="00EF14FB">
            <w:pPr>
              <w:jc w:val="right"/>
              <w:rPr>
                <w:u w:val="single"/>
              </w:rPr>
            </w:pPr>
            <w:r w:rsidRPr="009F34BF">
              <w:rPr>
                <w:u w:val="single"/>
              </w:rPr>
              <w:t>-19.6862%</w:t>
            </w:r>
          </w:p>
        </w:tc>
      </w:tr>
      <w:tr w:rsidR="009969B1" w14:paraId="3EA68306" w14:textId="77777777" w:rsidTr="00EF14FB">
        <w:tc>
          <w:tcPr>
            <w:tcW w:w="3330" w:type="dxa"/>
            <w:tcBorders>
              <w:top w:val="nil"/>
              <w:bottom w:val="nil"/>
            </w:tcBorders>
          </w:tcPr>
          <w:p w14:paraId="32CA8487" w14:textId="77777777" w:rsidR="009969B1" w:rsidRDefault="009969B1" w:rsidP="00EF14FB">
            <w:r>
              <w:t>Revenue Expansion Factor</w:t>
            </w:r>
          </w:p>
        </w:tc>
        <w:tc>
          <w:tcPr>
            <w:tcW w:w="1440" w:type="dxa"/>
            <w:tcBorders>
              <w:top w:val="nil"/>
              <w:bottom w:val="nil"/>
            </w:tcBorders>
          </w:tcPr>
          <w:p w14:paraId="1E4B025E" w14:textId="77777777" w:rsidR="009969B1" w:rsidRPr="009F34BF" w:rsidRDefault="009969B1" w:rsidP="00EF14FB">
            <w:pPr>
              <w:jc w:val="right"/>
              <w:rPr>
                <w:u w:val="thick"/>
              </w:rPr>
            </w:pPr>
            <w:r w:rsidRPr="009F34BF">
              <w:rPr>
                <w:u w:val="thick"/>
              </w:rPr>
              <w:t>74.0578%</w:t>
            </w:r>
          </w:p>
        </w:tc>
      </w:tr>
      <w:tr w:rsidR="009969B1" w14:paraId="08C04C1B" w14:textId="77777777" w:rsidTr="00EF14FB">
        <w:tc>
          <w:tcPr>
            <w:tcW w:w="3330" w:type="dxa"/>
            <w:tcBorders>
              <w:top w:val="nil"/>
            </w:tcBorders>
          </w:tcPr>
          <w:p w14:paraId="14FD63D6" w14:textId="77777777" w:rsidR="009969B1" w:rsidRDefault="009969B1" w:rsidP="00EF14FB">
            <w:r>
              <w:t>NOI Multiplier (100/74.0578)</w:t>
            </w:r>
          </w:p>
        </w:tc>
        <w:tc>
          <w:tcPr>
            <w:tcW w:w="1440" w:type="dxa"/>
            <w:tcBorders>
              <w:top w:val="nil"/>
            </w:tcBorders>
          </w:tcPr>
          <w:p w14:paraId="57EBB65F" w14:textId="77777777" w:rsidR="009969B1" w:rsidRPr="009F34BF" w:rsidRDefault="009969B1" w:rsidP="00EF14FB">
            <w:pPr>
              <w:jc w:val="right"/>
              <w:rPr>
                <w:u w:val="thick"/>
              </w:rPr>
            </w:pPr>
            <w:r w:rsidRPr="009F34BF">
              <w:rPr>
                <w:u w:val="thick"/>
              </w:rPr>
              <w:t>1.3503</w:t>
            </w:r>
          </w:p>
        </w:tc>
      </w:tr>
    </w:tbl>
    <w:p w14:paraId="5434695F" w14:textId="77777777" w:rsidR="00202065" w:rsidRDefault="00202065" w:rsidP="00EF14FB">
      <w:pPr>
        <w:pStyle w:val="BodyText"/>
        <w:spacing w:after="0"/>
        <w:jc w:val="both"/>
      </w:pPr>
    </w:p>
    <w:p w14:paraId="338E3D8A" w14:textId="77777777" w:rsidR="00202065" w:rsidRDefault="00202065" w:rsidP="00202065">
      <w:pPr>
        <w:pStyle w:val="BodyText"/>
        <w:numPr>
          <w:ilvl w:val="0"/>
          <w:numId w:val="1"/>
        </w:numPr>
        <w:spacing w:after="0"/>
        <w:jc w:val="both"/>
      </w:pPr>
      <w:r>
        <w:rPr>
          <w:u w:val="single"/>
        </w:rPr>
        <w:t>Interim Revenue Increase Request</w:t>
      </w:r>
    </w:p>
    <w:p w14:paraId="72DB9FE3" w14:textId="77777777" w:rsidR="009969B1" w:rsidRDefault="009969B1" w:rsidP="00EF14FB">
      <w:pPr>
        <w:pStyle w:val="BodyText"/>
        <w:spacing w:after="0"/>
        <w:jc w:val="both"/>
      </w:pPr>
    </w:p>
    <w:p w14:paraId="6E91AF9D" w14:textId="77777777" w:rsidR="009969B1" w:rsidRDefault="009969B1" w:rsidP="00B9629D">
      <w:pPr>
        <w:pStyle w:val="BodyText"/>
        <w:spacing w:after="0"/>
        <w:ind w:firstLine="720"/>
        <w:jc w:val="both"/>
      </w:pPr>
      <w:r>
        <w:t xml:space="preserve">SJNG requested interim rate relief of $612,209 for the historical </w:t>
      </w:r>
      <w:r w:rsidR="0019130D">
        <w:t>test year ended December 31, 202</w:t>
      </w:r>
      <w:r>
        <w:t xml:space="preserve">3. As discussed in </w:t>
      </w:r>
      <w:r w:rsidR="001949D8">
        <w:t>Sections II, III, IV, and V, we made</w:t>
      </w:r>
      <w:r>
        <w:t xml:space="preserve"> adjustments to the Company’s rate base, cost of capital, NOI, and NOI multiplier. These adjustments result in fallout adjustments to the total interim revenue increase for SJNG. As such, </w:t>
      </w:r>
      <w:r w:rsidR="001949D8">
        <w:t>we find</w:t>
      </w:r>
      <w:r>
        <w:t xml:space="preserve"> that the appropriate revenue increase is $543,665 for the historical test year ended December 31, 2023.</w:t>
      </w:r>
    </w:p>
    <w:p w14:paraId="50038A0C" w14:textId="77777777" w:rsidR="009969B1" w:rsidRDefault="009969B1" w:rsidP="00EF14FB">
      <w:pPr>
        <w:pStyle w:val="BodyText"/>
        <w:spacing w:after="0"/>
        <w:ind w:firstLine="720"/>
        <w:jc w:val="both"/>
      </w:pPr>
      <w:r>
        <w:lastRenderedPageBreak/>
        <w:t>The interim revenue increases allow SJNG an opportunity to earn an overall rate of return of 4.81 percent based on the minimum range of return on equity of 10.00 percent.</w:t>
      </w:r>
    </w:p>
    <w:p w14:paraId="32D3DC81" w14:textId="77777777" w:rsidR="009969B1" w:rsidRDefault="009969B1" w:rsidP="00EF14FB">
      <w:pPr>
        <w:pStyle w:val="BodyText"/>
        <w:spacing w:after="0"/>
        <w:jc w:val="both"/>
      </w:pPr>
    </w:p>
    <w:p w14:paraId="04BF1B28" w14:textId="77777777" w:rsidR="009969B1" w:rsidRDefault="009969B1" w:rsidP="00EF14FB">
      <w:pPr>
        <w:pStyle w:val="BodyText"/>
        <w:spacing w:after="0"/>
        <w:ind w:firstLine="720"/>
        <w:jc w:val="both"/>
      </w:pPr>
      <w:r>
        <w:t xml:space="preserve">After a </w:t>
      </w:r>
      <w:r w:rsidRPr="00FE7757">
        <w:t xml:space="preserve">determination of the permanent rate increase has been made, the interim rate increase will be reviewed to determine if any portion should be refunded to customers. The calculation of interim rate relief </w:t>
      </w:r>
      <w:r>
        <w:t>is</w:t>
      </w:r>
      <w:r w:rsidRPr="00FE7757">
        <w:t xml:space="preserve"> shown in Table </w:t>
      </w:r>
      <w:r w:rsidR="00070DCA">
        <w:t>2</w:t>
      </w:r>
      <w:r>
        <w:t>.</w:t>
      </w:r>
    </w:p>
    <w:p w14:paraId="32817C4A" w14:textId="77777777" w:rsidR="009969B1" w:rsidRPr="00070DCA" w:rsidRDefault="009969B1" w:rsidP="009969B1">
      <w:pPr>
        <w:pStyle w:val="TableNumber"/>
        <w:keepNext/>
        <w:rPr>
          <w:rFonts w:ascii="Times New Roman" w:hAnsi="Times New Roman"/>
        </w:rPr>
      </w:pPr>
      <w:r w:rsidRPr="00070DCA">
        <w:rPr>
          <w:rFonts w:ascii="Times New Roman" w:hAnsi="Times New Roman"/>
        </w:rPr>
        <w:t xml:space="preserve">Table </w:t>
      </w:r>
      <w:r w:rsidR="00070DCA">
        <w:rPr>
          <w:rFonts w:ascii="Times New Roman" w:hAnsi="Times New Roman"/>
        </w:rPr>
        <w:t>2</w:t>
      </w:r>
    </w:p>
    <w:p w14:paraId="2C89E38C" w14:textId="77777777" w:rsidR="009969B1" w:rsidRPr="00070DCA" w:rsidRDefault="009969B1" w:rsidP="009969B1">
      <w:pPr>
        <w:pStyle w:val="TableTitle"/>
        <w:keepNext/>
        <w:rPr>
          <w:rFonts w:ascii="Times New Roman" w:hAnsi="Times New Roman"/>
        </w:rPr>
      </w:pPr>
      <w:r w:rsidRPr="00070DCA">
        <w:rPr>
          <w:rFonts w:ascii="Times New Roman" w:hAnsi="Times New Roman"/>
        </w:rPr>
        <w:t>Interim Revenue Increase</w:t>
      </w:r>
    </w:p>
    <w:tbl>
      <w:tblPr>
        <w:tblStyle w:val="TableGrid"/>
        <w:tblW w:w="0" w:type="auto"/>
        <w:tblInd w:w="1818" w:type="dxa"/>
        <w:tblLook w:val="04A0" w:firstRow="1" w:lastRow="0" w:firstColumn="1" w:lastColumn="0" w:noHBand="0" w:noVBand="1"/>
      </w:tblPr>
      <w:tblGrid>
        <w:gridCol w:w="4770"/>
        <w:gridCol w:w="1530"/>
      </w:tblGrid>
      <w:tr w:rsidR="009969B1" w14:paraId="26A16F16" w14:textId="77777777" w:rsidTr="00EF14FB">
        <w:tc>
          <w:tcPr>
            <w:tcW w:w="4770" w:type="dxa"/>
            <w:tcBorders>
              <w:bottom w:val="single" w:sz="4" w:space="0" w:color="auto"/>
            </w:tcBorders>
          </w:tcPr>
          <w:p w14:paraId="40EB4255" w14:textId="77777777" w:rsidR="009969B1" w:rsidRPr="00DD1385" w:rsidRDefault="009969B1" w:rsidP="00EF14FB">
            <w:pPr>
              <w:jc w:val="center"/>
              <w:rPr>
                <w:b/>
                <w:u w:val="single"/>
              </w:rPr>
            </w:pPr>
            <w:r w:rsidRPr="00DD1385">
              <w:rPr>
                <w:b/>
                <w:u w:val="single"/>
              </w:rPr>
              <w:t>Description</w:t>
            </w:r>
          </w:p>
        </w:tc>
        <w:tc>
          <w:tcPr>
            <w:tcW w:w="1530" w:type="dxa"/>
            <w:tcBorders>
              <w:bottom w:val="single" w:sz="4" w:space="0" w:color="auto"/>
            </w:tcBorders>
          </w:tcPr>
          <w:p w14:paraId="1C5C93DE" w14:textId="77777777" w:rsidR="009969B1" w:rsidRDefault="009969B1" w:rsidP="00EF14FB">
            <w:pPr>
              <w:jc w:val="right"/>
            </w:pPr>
          </w:p>
        </w:tc>
      </w:tr>
      <w:tr w:rsidR="009969B1" w14:paraId="4F83D26A" w14:textId="77777777" w:rsidTr="00EF14FB">
        <w:tc>
          <w:tcPr>
            <w:tcW w:w="4770" w:type="dxa"/>
            <w:tcBorders>
              <w:bottom w:val="nil"/>
            </w:tcBorders>
          </w:tcPr>
          <w:p w14:paraId="1A2F64C1" w14:textId="77777777" w:rsidR="009969B1" w:rsidRDefault="009969B1" w:rsidP="00EF14FB">
            <w:r>
              <w:t>Jurisdictional Adjusted Rate Base</w:t>
            </w:r>
          </w:p>
        </w:tc>
        <w:tc>
          <w:tcPr>
            <w:tcW w:w="1530" w:type="dxa"/>
            <w:tcBorders>
              <w:bottom w:val="nil"/>
            </w:tcBorders>
          </w:tcPr>
          <w:p w14:paraId="2738F7B6" w14:textId="77777777" w:rsidR="009969B1" w:rsidRDefault="009969B1" w:rsidP="00EF14FB">
            <w:pPr>
              <w:jc w:val="right"/>
            </w:pPr>
            <w:r>
              <w:t>$3,166,968</w:t>
            </w:r>
          </w:p>
        </w:tc>
      </w:tr>
      <w:tr w:rsidR="009969B1" w14:paraId="62C33345" w14:textId="77777777" w:rsidTr="00EF14FB">
        <w:tc>
          <w:tcPr>
            <w:tcW w:w="4770" w:type="dxa"/>
            <w:tcBorders>
              <w:top w:val="nil"/>
              <w:bottom w:val="nil"/>
            </w:tcBorders>
          </w:tcPr>
          <w:p w14:paraId="0F2C096C" w14:textId="77777777" w:rsidR="009969B1" w:rsidRDefault="009969B1" w:rsidP="00EF14FB">
            <w:r>
              <w:t>Overall Rate of Return</w:t>
            </w:r>
          </w:p>
        </w:tc>
        <w:tc>
          <w:tcPr>
            <w:tcW w:w="1530" w:type="dxa"/>
            <w:tcBorders>
              <w:top w:val="nil"/>
              <w:bottom w:val="nil"/>
            </w:tcBorders>
          </w:tcPr>
          <w:p w14:paraId="277230B4" w14:textId="77777777" w:rsidR="009969B1" w:rsidRPr="000B29A0" w:rsidRDefault="009969B1" w:rsidP="00EF14FB">
            <w:pPr>
              <w:jc w:val="right"/>
              <w:rPr>
                <w:u w:val="single"/>
              </w:rPr>
            </w:pPr>
            <w:r w:rsidRPr="000B29A0">
              <w:rPr>
                <w:u w:val="single"/>
              </w:rPr>
              <w:t>4.81%</w:t>
            </w:r>
          </w:p>
        </w:tc>
      </w:tr>
      <w:tr w:rsidR="009969B1" w14:paraId="3FA5E890" w14:textId="77777777" w:rsidTr="00EF14FB">
        <w:tc>
          <w:tcPr>
            <w:tcW w:w="4770" w:type="dxa"/>
            <w:tcBorders>
              <w:top w:val="nil"/>
              <w:bottom w:val="nil"/>
            </w:tcBorders>
          </w:tcPr>
          <w:p w14:paraId="7592BBA6" w14:textId="77777777" w:rsidR="009969B1" w:rsidRDefault="009969B1" w:rsidP="00EF14FB">
            <w:r>
              <w:t>Jurisdictional Net Operating Income</w:t>
            </w:r>
          </w:p>
        </w:tc>
        <w:tc>
          <w:tcPr>
            <w:tcW w:w="1530" w:type="dxa"/>
            <w:tcBorders>
              <w:top w:val="nil"/>
              <w:bottom w:val="nil"/>
            </w:tcBorders>
          </w:tcPr>
          <w:p w14:paraId="1935CA7D" w14:textId="77777777" w:rsidR="009969B1" w:rsidRDefault="009969B1" w:rsidP="00EF14FB">
            <w:pPr>
              <w:jc w:val="right"/>
            </w:pPr>
            <w:r>
              <w:t>$152,268</w:t>
            </w:r>
          </w:p>
        </w:tc>
      </w:tr>
      <w:tr w:rsidR="009969B1" w14:paraId="00E7A81D" w14:textId="77777777" w:rsidTr="00EF14FB">
        <w:tc>
          <w:tcPr>
            <w:tcW w:w="4770" w:type="dxa"/>
            <w:tcBorders>
              <w:top w:val="nil"/>
              <w:bottom w:val="nil"/>
            </w:tcBorders>
          </w:tcPr>
          <w:p w14:paraId="5AD7BD45" w14:textId="77777777" w:rsidR="009969B1" w:rsidRDefault="009969B1" w:rsidP="00EF14FB">
            <w:r>
              <w:t>Jurisdictional Adjusted Net Operating Income</w:t>
            </w:r>
          </w:p>
        </w:tc>
        <w:tc>
          <w:tcPr>
            <w:tcW w:w="1530" w:type="dxa"/>
            <w:tcBorders>
              <w:top w:val="nil"/>
              <w:bottom w:val="nil"/>
            </w:tcBorders>
          </w:tcPr>
          <w:p w14:paraId="2184DB8E" w14:textId="77777777" w:rsidR="009969B1" w:rsidRDefault="009969B1" w:rsidP="00EF14FB">
            <w:pPr>
              <w:jc w:val="right"/>
            </w:pPr>
            <w:r>
              <w:t>($250,357)</w:t>
            </w:r>
          </w:p>
        </w:tc>
      </w:tr>
      <w:tr w:rsidR="009969B1" w14:paraId="74491AAF" w14:textId="77777777" w:rsidTr="00EF14FB">
        <w:tc>
          <w:tcPr>
            <w:tcW w:w="4770" w:type="dxa"/>
            <w:tcBorders>
              <w:top w:val="nil"/>
              <w:bottom w:val="nil"/>
            </w:tcBorders>
          </w:tcPr>
          <w:p w14:paraId="522905A0" w14:textId="77777777" w:rsidR="009969B1" w:rsidRDefault="009969B1" w:rsidP="00EF14FB">
            <w:r>
              <w:t>Revenue Deficiency</w:t>
            </w:r>
          </w:p>
        </w:tc>
        <w:tc>
          <w:tcPr>
            <w:tcW w:w="1530" w:type="dxa"/>
            <w:tcBorders>
              <w:top w:val="nil"/>
              <w:bottom w:val="nil"/>
            </w:tcBorders>
          </w:tcPr>
          <w:p w14:paraId="0AC9A199" w14:textId="77777777" w:rsidR="009969B1" w:rsidRDefault="009969B1" w:rsidP="00EF14FB">
            <w:pPr>
              <w:jc w:val="right"/>
            </w:pPr>
            <w:r>
              <w:t>$402,625</w:t>
            </w:r>
          </w:p>
        </w:tc>
      </w:tr>
      <w:tr w:rsidR="009969B1" w14:paraId="210C50A4" w14:textId="77777777" w:rsidTr="00EF14FB">
        <w:tc>
          <w:tcPr>
            <w:tcW w:w="4770" w:type="dxa"/>
            <w:tcBorders>
              <w:top w:val="nil"/>
              <w:bottom w:val="nil"/>
            </w:tcBorders>
          </w:tcPr>
          <w:p w14:paraId="33919CF1" w14:textId="77777777" w:rsidR="009969B1" w:rsidRDefault="009969B1" w:rsidP="00EF14FB">
            <w:r>
              <w:t>Net Operating Income Multiplier</w:t>
            </w:r>
          </w:p>
        </w:tc>
        <w:tc>
          <w:tcPr>
            <w:tcW w:w="1530" w:type="dxa"/>
            <w:tcBorders>
              <w:top w:val="nil"/>
              <w:bottom w:val="nil"/>
            </w:tcBorders>
          </w:tcPr>
          <w:p w14:paraId="743E9CA5" w14:textId="77777777" w:rsidR="009969B1" w:rsidRPr="00DD1385" w:rsidRDefault="009969B1" w:rsidP="00EF14FB">
            <w:pPr>
              <w:jc w:val="right"/>
              <w:rPr>
                <w:u w:val="single"/>
              </w:rPr>
            </w:pPr>
            <w:r w:rsidRPr="00DD1385">
              <w:rPr>
                <w:u w:val="single"/>
              </w:rPr>
              <w:t>1.3503</w:t>
            </w:r>
          </w:p>
        </w:tc>
      </w:tr>
      <w:tr w:rsidR="009969B1" w14:paraId="65293847" w14:textId="77777777" w:rsidTr="00EF14FB">
        <w:tc>
          <w:tcPr>
            <w:tcW w:w="4770" w:type="dxa"/>
            <w:tcBorders>
              <w:top w:val="nil"/>
              <w:bottom w:val="nil"/>
            </w:tcBorders>
          </w:tcPr>
          <w:p w14:paraId="707E703A" w14:textId="77777777" w:rsidR="009969B1" w:rsidRDefault="009969B1" w:rsidP="00EF14FB">
            <w:r>
              <w:t>Interim Revenue Increase</w:t>
            </w:r>
          </w:p>
        </w:tc>
        <w:tc>
          <w:tcPr>
            <w:tcW w:w="1530" w:type="dxa"/>
            <w:tcBorders>
              <w:top w:val="nil"/>
              <w:bottom w:val="nil"/>
            </w:tcBorders>
          </w:tcPr>
          <w:p w14:paraId="3DA45A4E" w14:textId="77777777" w:rsidR="009969B1" w:rsidRDefault="009969B1" w:rsidP="00EF14FB">
            <w:pPr>
              <w:jc w:val="right"/>
            </w:pPr>
            <w:r>
              <w:t>$543,665</w:t>
            </w:r>
          </w:p>
        </w:tc>
      </w:tr>
      <w:tr w:rsidR="009969B1" w14:paraId="10954603" w14:textId="77777777" w:rsidTr="00EF14FB">
        <w:tc>
          <w:tcPr>
            <w:tcW w:w="4770" w:type="dxa"/>
            <w:tcBorders>
              <w:top w:val="nil"/>
              <w:bottom w:val="nil"/>
            </w:tcBorders>
          </w:tcPr>
          <w:p w14:paraId="7960E2BE" w14:textId="77777777" w:rsidR="009969B1" w:rsidRDefault="009969B1" w:rsidP="00EF14FB">
            <w:r>
              <w:t>Base Rate Revenues</w:t>
            </w:r>
          </w:p>
        </w:tc>
        <w:tc>
          <w:tcPr>
            <w:tcW w:w="1530" w:type="dxa"/>
            <w:tcBorders>
              <w:top w:val="nil"/>
              <w:bottom w:val="nil"/>
            </w:tcBorders>
          </w:tcPr>
          <w:p w14:paraId="14E782E5" w14:textId="77777777" w:rsidR="009969B1" w:rsidRDefault="009969B1" w:rsidP="00EF14FB">
            <w:pPr>
              <w:jc w:val="right"/>
            </w:pPr>
            <w:r>
              <w:t>$1,293,560</w:t>
            </w:r>
          </w:p>
        </w:tc>
      </w:tr>
      <w:tr w:rsidR="009969B1" w14:paraId="3034C0D0" w14:textId="77777777" w:rsidTr="00EF14FB">
        <w:tc>
          <w:tcPr>
            <w:tcW w:w="4770" w:type="dxa"/>
            <w:tcBorders>
              <w:top w:val="nil"/>
            </w:tcBorders>
          </w:tcPr>
          <w:p w14:paraId="49ABAB1E" w14:textId="77777777" w:rsidR="009969B1" w:rsidRDefault="009969B1" w:rsidP="00EF14FB">
            <w:r>
              <w:t>Recommended Percentage Increase Factor</w:t>
            </w:r>
          </w:p>
        </w:tc>
        <w:tc>
          <w:tcPr>
            <w:tcW w:w="1530" w:type="dxa"/>
            <w:tcBorders>
              <w:top w:val="nil"/>
            </w:tcBorders>
          </w:tcPr>
          <w:p w14:paraId="59D0896B" w14:textId="77777777" w:rsidR="009969B1" w:rsidRDefault="009969B1" w:rsidP="00EF14FB">
            <w:pPr>
              <w:jc w:val="right"/>
            </w:pPr>
            <w:r>
              <w:t>42.03%</w:t>
            </w:r>
          </w:p>
        </w:tc>
      </w:tr>
    </w:tbl>
    <w:p w14:paraId="72D5B776" w14:textId="77777777" w:rsidR="00202065" w:rsidRDefault="00202065" w:rsidP="00EF14FB">
      <w:pPr>
        <w:pStyle w:val="BodyText"/>
        <w:spacing w:after="0"/>
        <w:jc w:val="both"/>
      </w:pPr>
    </w:p>
    <w:p w14:paraId="0BEC2A26" w14:textId="77777777" w:rsidR="00202065" w:rsidRDefault="00202065" w:rsidP="00202065">
      <w:pPr>
        <w:pStyle w:val="BodyText"/>
        <w:numPr>
          <w:ilvl w:val="0"/>
          <w:numId w:val="1"/>
        </w:numPr>
        <w:spacing w:after="0"/>
        <w:jc w:val="both"/>
      </w:pPr>
      <w:r>
        <w:rPr>
          <w:u w:val="single"/>
        </w:rPr>
        <w:t>Interim Rates and Associated Tariffs</w:t>
      </w:r>
    </w:p>
    <w:p w14:paraId="7E19A614" w14:textId="77777777" w:rsidR="009969B1" w:rsidRDefault="009969B1" w:rsidP="00EF14FB">
      <w:pPr>
        <w:pStyle w:val="BodyText"/>
        <w:spacing w:after="0"/>
        <w:jc w:val="both"/>
      </w:pPr>
    </w:p>
    <w:p w14:paraId="390548E6" w14:textId="77777777" w:rsidR="009969B1" w:rsidRDefault="009969B1" w:rsidP="00070DCA">
      <w:pPr>
        <w:pStyle w:val="BodyText"/>
        <w:spacing w:after="0"/>
        <w:ind w:firstLine="720"/>
        <w:jc w:val="both"/>
      </w:pPr>
      <w:r>
        <w:t xml:space="preserve">As discussed in </w:t>
      </w:r>
      <w:r w:rsidR="00070DCA">
        <w:t>Section VI</w:t>
      </w:r>
      <w:r>
        <w:t xml:space="preserve">, </w:t>
      </w:r>
      <w:r w:rsidR="00070DCA">
        <w:t>we made</w:t>
      </w:r>
      <w:r>
        <w:t xml:space="preserve"> adjustments to the interim revenue request by SJNG. Attachment C to th</w:t>
      </w:r>
      <w:r w:rsidR="00070DCA">
        <w:t>is order</w:t>
      </w:r>
      <w:r>
        <w:t xml:space="preserve"> provides the allocation of the interim increase. Furthermore, Attachment C provides the resulting cents-per-therm increase to be applied to the rate classes to recover the interim revenue increase. These increases were calculated using the methodology contained in Rule 25-7.040, F.A.C., which requires that any increase be applied evenly across the board to all rate classes based on their base rate revenues.</w:t>
      </w:r>
    </w:p>
    <w:p w14:paraId="1ACA6E4F" w14:textId="77777777" w:rsidR="009969B1" w:rsidRDefault="009969B1" w:rsidP="00EF14FB">
      <w:pPr>
        <w:pStyle w:val="BodyText"/>
        <w:spacing w:after="0"/>
        <w:jc w:val="both"/>
      </w:pPr>
    </w:p>
    <w:p w14:paraId="62F67C80" w14:textId="77777777" w:rsidR="009969B1" w:rsidRDefault="009969B1" w:rsidP="00EF14FB">
      <w:pPr>
        <w:ind w:firstLine="720"/>
        <w:jc w:val="both"/>
      </w:pPr>
      <w:r>
        <w:t xml:space="preserve">The interim rates </w:t>
      </w:r>
      <w:r w:rsidR="00070DCA">
        <w:t>shall</w:t>
      </w:r>
      <w:r>
        <w:t xml:space="preserve"> be made effective for all meter readings occurring on or after thirty days from the date of </w:t>
      </w:r>
      <w:r w:rsidR="00070DCA">
        <w:t>our</w:t>
      </w:r>
      <w:r>
        <w:t xml:space="preserve"> vote. The Company included proposed interim tariff sheet No. 84 in its petition. </w:t>
      </w:r>
      <w:r w:rsidR="00070DCA">
        <w:t>T</w:t>
      </w:r>
      <w:r>
        <w:t xml:space="preserve">he Company </w:t>
      </w:r>
      <w:r w:rsidR="00070DCA">
        <w:t>shall</w:t>
      </w:r>
      <w:r>
        <w:t xml:space="preserve"> file a revised interim tariff for administrative approval by </w:t>
      </w:r>
      <w:r w:rsidR="00070DCA">
        <w:t xml:space="preserve">our </w:t>
      </w:r>
      <w:r>
        <w:t xml:space="preserve">staff. Pursuant to Rule 25-22.0406(8), F.A.C., the Company </w:t>
      </w:r>
      <w:r w:rsidR="00070DCA">
        <w:t>shall</w:t>
      </w:r>
      <w:r>
        <w:t xml:space="preserve"> provide notice to customers of the revised rates. The notice must be approved in advance by</w:t>
      </w:r>
      <w:r w:rsidR="00070DCA">
        <w:t xml:space="preserve"> our</w:t>
      </w:r>
      <w:r>
        <w:t xml:space="preserve"> staff and provided to the customers with the first bill containing the new rates.</w:t>
      </w:r>
    </w:p>
    <w:p w14:paraId="2513365C" w14:textId="77777777" w:rsidR="009969B1" w:rsidRDefault="009969B1" w:rsidP="00EF14FB">
      <w:pPr>
        <w:jc w:val="both"/>
      </w:pPr>
    </w:p>
    <w:p w14:paraId="6D192490" w14:textId="77777777" w:rsidR="00202065" w:rsidRDefault="00202065" w:rsidP="00202065">
      <w:pPr>
        <w:pStyle w:val="BodyText"/>
        <w:numPr>
          <w:ilvl w:val="0"/>
          <w:numId w:val="1"/>
        </w:numPr>
        <w:spacing w:after="0"/>
        <w:jc w:val="both"/>
      </w:pPr>
      <w:r>
        <w:rPr>
          <w:u w:val="single"/>
        </w:rPr>
        <w:t>Security to Guarantee Amount Subject to Refund</w:t>
      </w:r>
    </w:p>
    <w:p w14:paraId="789C8A8A" w14:textId="77777777" w:rsidR="009969B1" w:rsidRDefault="009969B1" w:rsidP="00EF14FB">
      <w:pPr>
        <w:pStyle w:val="BodyText"/>
        <w:spacing w:after="0"/>
        <w:jc w:val="both"/>
      </w:pPr>
    </w:p>
    <w:p w14:paraId="287BD56F" w14:textId="77777777" w:rsidR="009969B1" w:rsidRDefault="00A31C0C" w:rsidP="00070DCA">
      <w:pPr>
        <w:pStyle w:val="BodyText"/>
        <w:spacing w:after="0"/>
        <w:ind w:firstLine="720"/>
        <w:jc w:val="both"/>
      </w:pPr>
      <w:r>
        <w:t>We find</w:t>
      </w:r>
      <w:r w:rsidR="009969B1">
        <w:t xml:space="preserve"> that all funds collected subject to refund</w:t>
      </w:r>
      <w:r>
        <w:t xml:space="preserve"> shall</w:t>
      </w:r>
      <w:r w:rsidR="009969B1">
        <w:t xml:space="preserve"> be secured by a corporate undertaking. The criteria for a corporate undertaking include sufficient liquidity, ownership equity, profitability, and interest coverage to guarantee any potential refund. SJNG requested an interim revenue increase of $612,209. In </w:t>
      </w:r>
      <w:r>
        <w:t>Section VI</w:t>
      </w:r>
      <w:r w:rsidR="009969B1">
        <w:t xml:space="preserve">, </w:t>
      </w:r>
      <w:r>
        <w:t>we found</w:t>
      </w:r>
      <w:r w:rsidR="009969B1">
        <w:t xml:space="preserve"> an interim revenue increase of $543,665. Based on an estimated eight-month collection period of interim rates, </w:t>
      </w:r>
      <w:r>
        <w:t xml:space="preserve">we </w:t>
      </w:r>
      <w:r w:rsidR="009969B1">
        <w:t xml:space="preserve">calculated the maximum amount of revenues that may need to be protected is $364,256. </w:t>
      </w:r>
      <w:r>
        <w:t>We</w:t>
      </w:r>
      <w:r w:rsidR="009969B1">
        <w:t xml:space="preserve"> reviewed </w:t>
      </w:r>
      <w:r w:rsidR="009969B1">
        <w:lastRenderedPageBreak/>
        <w:t xml:space="preserve">SJNG’s three most recent annual reports filed with </w:t>
      </w:r>
      <w:r>
        <w:t>us</w:t>
      </w:r>
      <w:r w:rsidR="009969B1">
        <w:t xml:space="preserve"> (2023, 2022, and 2021) to determine if the Company can support a corporate undertaking to guarantee the funds collected during the interim collection period. SJNG’s financial information demonstrates the Company has acceptable levels of liquidity, ownership equity, and interest coverage to support a potential refund of $364,256.</w:t>
      </w:r>
    </w:p>
    <w:p w14:paraId="31B7BC32" w14:textId="77777777" w:rsidR="009969B1" w:rsidRDefault="009969B1" w:rsidP="00EF14FB">
      <w:pPr>
        <w:pStyle w:val="BodyText"/>
        <w:spacing w:after="0"/>
        <w:jc w:val="both"/>
      </w:pPr>
    </w:p>
    <w:p w14:paraId="70BB9ED5" w14:textId="77777777" w:rsidR="00EF14FB" w:rsidRDefault="009969B1" w:rsidP="003959BC">
      <w:pPr>
        <w:ind w:firstLine="720"/>
        <w:jc w:val="both"/>
      </w:pPr>
      <w:r>
        <w:t xml:space="preserve">SJNG has adequate resources to support a corporate undertaking in the amount </w:t>
      </w:r>
      <w:r w:rsidR="00A31C0C">
        <w:t>found</w:t>
      </w:r>
      <w:r>
        <w:t xml:space="preserve"> in </w:t>
      </w:r>
      <w:r w:rsidR="00A31C0C">
        <w:t>Section VI</w:t>
      </w:r>
      <w:r>
        <w:t xml:space="preserve">. Based on this analysis, </w:t>
      </w:r>
      <w:r w:rsidR="00A31C0C">
        <w:t>we find</w:t>
      </w:r>
      <w:r>
        <w:t xml:space="preserve"> that a corporate undertaking of $364,256 is acceptable. This brief financial analysis is only appropriate for deciding if the Company can support a corporate undertaking in the amount requested and </w:t>
      </w:r>
      <w:r w:rsidR="00A31C0C">
        <w:t>shall</w:t>
      </w:r>
      <w:r>
        <w:t xml:space="preserve"> not be considered a finding regarding </w:t>
      </w:r>
      <w:r w:rsidR="00A31C0C">
        <w:t>our</w:t>
      </w:r>
      <w:r>
        <w:t xml:space="preserve"> position on other issues in this proceeding.</w:t>
      </w:r>
    </w:p>
    <w:p w14:paraId="68C934F5" w14:textId="77777777" w:rsidR="00EF14FB" w:rsidRDefault="00EF14FB" w:rsidP="009969B1"/>
    <w:p w14:paraId="0A018448" w14:textId="77777777" w:rsidR="00EF14FB" w:rsidRDefault="00EF14FB" w:rsidP="00EF14FB">
      <w:pPr>
        <w:pStyle w:val="OrderBody"/>
      </w:pPr>
      <w:r>
        <w:tab/>
        <w:t>Based on the foregoing, it is</w:t>
      </w:r>
    </w:p>
    <w:p w14:paraId="773C797F" w14:textId="77777777" w:rsidR="00EF14FB" w:rsidRDefault="00EF14FB" w:rsidP="00EF14FB">
      <w:pPr>
        <w:pStyle w:val="OrderBody"/>
      </w:pPr>
    </w:p>
    <w:p w14:paraId="660DF7F1" w14:textId="77777777" w:rsidR="00EF14FB" w:rsidRDefault="00EF14FB" w:rsidP="00EF14FB">
      <w:pPr>
        <w:pStyle w:val="OrderBody"/>
      </w:pPr>
      <w:r>
        <w:tab/>
        <w:t>ORDERED by the Florida Public Service Commission that</w:t>
      </w:r>
      <w:r w:rsidR="00D036F9">
        <w:t xml:space="preserve"> St. Joe Natural Gas Company, Inc.’s requested permanent rate increase is suspended pending further review. It is further</w:t>
      </w:r>
    </w:p>
    <w:p w14:paraId="40EDCDAA" w14:textId="77777777" w:rsidR="00D036F9" w:rsidRDefault="00D036F9" w:rsidP="00EF14FB">
      <w:pPr>
        <w:pStyle w:val="OrderBody"/>
      </w:pPr>
    </w:p>
    <w:p w14:paraId="7DF7C8EC" w14:textId="77777777" w:rsidR="00D036F9" w:rsidRDefault="00D036F9" w:rsidP="00EF14FB">
      <w:pPr>
        <w:pStyle w:val="OrderBody"/>
      </w:pPr>
      <w:r>
        <w:tab/>
        <w:t xml:space="preserve">ORDERED </w:t>
      </w:r>
      <w:r w:rsidR="0091157A">
        <w:t>that the appropriate interim rate base for St. Joe Natural Gas Company, Inc. shall be $3,166,968. It is further</w:t>
      </w:r>
    </w:p>
    <w:p w14:paraId="25E40198" w14:textId="77777777" w:rsidR="0091157A" w:rsidRDefault="0091157A" w:rsidP="00EF14FB">
      <w:pPr>
        <w:pStyle w:val="OrderBody"/>
      </w:pPr>
    </w:p>
    <w:p w14:paraId="371DE170" w14:textId="77777777" w:rsidR="0091157A" w:rsidRDefault="0091157A" w:rsidP="00EF14FB">
      <w:pPr>
        <w:pStyle w:val="OrderBody"/>
      </w:pPr>
      <w:r>
        <w:tab/>
        <w:t>ORDERED that the appropriate return on equity for St. Joe Natural Gas Company, Inc. shall be 10.00 percent and the overall cost of capital shall be 4.81 percent for purposes of determining interim rates. It is further</w:t>
      </w:r>
    </w:p>
    <w:p w14:paraId="105E4887" w14:textId="77777777" w:rsidR="0091157A" w:rsidRDefault="0091157A" w:rsidP="00EF14FB">
      <w:pPr>
        <w:pStyle w:val="OrderBody"/>
      </w:pPr>
    </w:p>
    <w:p w14:paraId="0C11176C" w14:textId="77777777" w:rsidR="0091157A" w:rsidRDefault="0091157A" w:rsidP="00EF14FB">
      <w:pPr>
        <w:pStyle w:val="OrderBody"/>
      </w:pPr>
      <w:r>
        <w:tab/>
        <w:t>ORDERED that the appropriate historical base year ended December 31, 2023, net operating income for St. Joe Natural Gas Company, Inc. shall be negative $250,357. It is fu</w:t>
      </w:r>
      <w:r w:rsidR="00487C14">
        <w:t>r</w:t>
      </w:r>
      <w:r>
        <w:t>ther</w:t>
      </w:r>
    </w:p>
    <w:p w14:paraId="06BC3C71" w14:textId="77777777" w:rsidR="0091157A" w:rsidRDefault="0091157A" w:rsidP="00EF14FB">
      <w:pPr>
        <w:pStyle w:val="OrderBody"/>
      </w:pPr>
    </w:p>
    <w:p w14:paraId="7E6762FC" w14:textId="77777777" w:rsidR="0091157A" w:rsidRDefault="0091157A" w:rsidP="00EF14FB">
      <w:pPr>
        <w:pStyle w:val="OrderBody"/>
      </w:pPr>
      <w:r>
        <w:tab/>
        <w:t>ORDERED that St. Joe Natural Gas Company, Inc. shall be granted an interim net operating income multiplier of 1.3503. It is further</w:t>
      </w:r>
    </w:p>
    <w:p w14:paraId="5F4D56A1" w14:textId="77777777" w:rsidR="0091157A" w:rsidRDefault="0091157A" w:rsidP="00EF14FB">
      <w:pPr>
        <w:pStyle w:val="OrderBody"/>
      </w:pPr>
    </w:p>
    <w:p w14:paraId="35014CB5" w14:textId="77777777" w:rsidR="0091157A" w:rsidRDefault="0091157A" w:rsidP="00EF14FB">
      <w:pPr>
        <w:pStyle w:val="OrderBody"/>
      </w:pPr>
      <w:r>
        <w:tab/>
        <w:t>ORDERED that the appropriate interim revenue increase for St. Joe Natural Gas Company, Inc. shall be $543,665. It is further</w:t>
      </w:r>
    </w:p>
    <w:p w14:paraId="0DE89D04" w14:textId="77777777" w:rsidR="0091157A" w:rsidRDefault="0091157A" w:rsidP="00EF14FB">
      <w:pPr>
        <w:pStyle w:val="OrderBody"/>
      </w:pPr>
    </w:p>
    <w:p w14:paraId="2FDC4D17" w14:textId="77777777" w:rsidR="0091157A" w:rsidRDefault="0091157A" w:rsidP="0091157A">
      <w:pPr>
        <w:pStyle w:val="OrderBody"/>
      </w:pPr>
      <w:r>
        <w:tab/>
        <w:t xml:space="preserve">ORDERED that </w:t>
      </w:r>
      <w:r w:rsidR="00904920">
        <w:t>St. Joe Natural Gas Company, Inc.</w:t>
      </w:r>
      <w:r>
        <w:t xml:space="preserve"> shall file a revised interim </w:t>
      </w:r>
      <w:r w:rsidRPr="0091157A">
        <w:t xml:space="preserve">tariff for administrative approval by </w:t>
      </w:r>
      <w:r>
        <w:t xml:space="preserve">our </w:t>
      </w:r>
      <w:r w:rsidRPr="0091157A">
        <w:t xml:space="preserve">staff. The interim rates </w:t>
      </w:r>
      <w:r>
        <w:t>shall</w:t>
      </w:r>
      <w:r w:rsidRPr="0091157A">
        <w:t xml:space="preserve"> be made effective for all meter readings</w:t>
      </w:r>
      <w:r>
        <w:t xml:space="preserve"> </w:t>
      </w:r>
      <w:r w:rsidRPr="0091157A">
        <w:t xml:space="preserve">occurring on or after thirty days from the date of </w:t>
      </w:r>
      <w:r>
        <w:t>our</w:t>
      </w:r>
      <w:r w:rsidRPr="0091157A">
        <w:t xml:space="preserve"> vote</w:t>
      </w:r>
      <w:r>
        <w:t>, August 8, 2024</w:t>
      </w:r>
      <w:r w:rsidRPr="0091157A">
        <w:t>. In addition, pursuant to Rule 25-</w:t>
      </w:r>
      <w:r>
        <w:t xml:space="preserve"> </w:t>
      </w:r>
      <w:r w:rsidRPr="0091157A">
        <w:t xml:space="preserve">22.0406(8), F.A.C., the Company </w:t>
      </w:r>
      <w:r>
        <w:t>shall</w:t>
      </w:r>
      <w:r w:rsidRPr="0091157A">
        <w:t xml:space="preserve"> provide notice to cust</w:t>
      </w:r>
      <w:r>
        <w:t xml:space="preserve">omers of the revised rates. The </w:t>
      </w:r>
      <w:r w:rsidRPr="0091157A">
        <w:t>notice must be</w:t>
      </w:r>
      <w:r>
        <w:t xml:space="preserve"> </w:t>
      </w:r>
      <w:r w:rsidRPr="0091157A">
        <w:t>approved in advance by</w:t>
      </w:r>
      <w:r>
        <w:t xml:space="preserve"> our</w:t>
      </w:r>
      <w:r w:rsidRPr="0091157A">
        <w:t xml:space="preserve"> staff and provided to the customers with the first bill containing the new rates.</w:t>
      </w:r>
      <w:r>
        <w:t xml:space="preserve"> It is further</w:t>
      </w:r>
    </w:p>
    <w:p w14:paraId="31862C65" w14:textId="77777777" w:rsidR="0091157A" w:rsidRDefault="0091157A" w:rsidP="0091157A">
      <w:pPr>
        <w:pStyle w:val="OrderBody"/>
      </w:pPr>
    </w:p>
    <w:p w14:paraId="0361EBA6" w14:textId="77777777" w:rsidR="0091157A" w:rsidRDefault="0091157A" w:rsidP="0091157A">
      <w:pPr>
        <w:pStyle w:val="OrderBody"/>
      </w:pPr>
      <w:r>
        <w:tab/>
        <w:t>ORDERED that the Company shall furnish a corporate undertaking subject to refund in the amount of $364,256. It is further</w:t>
      </w:r>
    </w:p>
    <w:p w14:paraId="5E99E152" w14:textId="77777777" w:rsidR="0091157A" w:rsidRDefault="0091157A" w:rsidP="0091157A">
      <w:pPr>
        <w:pStyle w:val="OrderBody"/>
      </w:pPr>
    </w:p>
    <w:p w14:paraId="5065F276" w14:textId="77777777" w:rsidR="00EF14FB" w:rsidRDefault="0091157A" w:rsidP="003959BC">
      <w:pPr>
        <w:pStyle w:val="OrderBody"/>
      </w:pPr>
      <w:r>
        <w:tab/>
        <w:t xml:space="preserve">ORDERED </w:t>
      </w:r>
      <w:r w:rsidR="00904920">
        <w:t>that this docket shall remain open pending our final resolution of the Company’s requested rate increase.</w:t>
      </w:r>
    </w:p>
    <w:p w14:paraId="72137361" w14:textId="77777777" w:rsidR="00EF14FB" w:rsidRDefault="00EF14FB" w:rsidP="00EF14FB"/>
    <w:p w14:paraId="414DF714" w14:textId="7B67E02C" w:rsidR="00EF14FB" w:rsidRDefault="00EF14FB" w:rsidP="00EF14FB">
      <w:pPr>
        <w:keepNext/>
        <w:keepLines/>
        <w:jc w:val="both"/>
      </w:pPr>
      <w:r>
        <w:tab/>
        <w:t xml:space="preserve">By ORDER of the Florida Public Service Commission this </w:t>
      </w:r>
      <w:bookmarkStart w:id="8" w:name="replaceDate"/>
      <w:bookmarkEnd w:id="8"/>
      <w:r w:rsidR="00947D35">
        <w:rPr>
          <w:u w:val="single"/>
        </w:rPr>
        <w:t>28th</w:t>
      </w:r>
      <w:r w:rsidR="00947D35">
        <w:t xml:space="preserve"> day of </w:t>
      </w:r>
      <w:r w:rsidR="00947D35">
        <w:rPr>
          <w:u w:val="single"/>
        </w:rPr>
        <w:t>August</w:t>
      </w:r>
      <w:r w:rsidR="00947D35">
        <w:t xml:space="preserve">, </w:t>
      </w:r>
      <w:r w:rsidR="00947D35">
        <w:rPr>
          <w:u w:val="single"/>
        </w:rPr>
        <w:t>2024</w:t>
      </w:r>
      <w:r w:rsidR="00947D35">
        <w:t>.</w:t>
      </w:r>
    </w:p>
    <w:p w14:paraId="5B0FF81C" w14:textId="77777777" w:rsidR="00947D35" w:rsidRPr="00947D35" w:rsidRDefault="00947D35" w:rsidP="00EF14FB">
      <w:pPr>
        <w:keepNext/>
        <w:keepLines/>
        <w:jc w:val="both"/>
      </w:pPr>
    </w:p>
    <w:p w14:paraId="670C92E7" w14:textId="77777777" w:rsidR="00EF14FB" w:rsidRDefault="00EF14FB" w:rsidP="00EF14FB">
      <w:pPr>
        <w:keepNext/>
        <w:keepLines/>
        <w:jc w:val="both"/>
      </w:pPr>
    </w:p>
    <w:p w14:paraId="686CA38C" w14:textId="77777777" w:rsidR="00EF14FB" w:rsidRDefault="00EF14FB" w:rsidP="00EF14FB">
      <w:pPr>
        <w:keepNext/>
        <w:keepLines/>
        <w:jc w:val="both"/>
      </w:pPr>
    </w:p>
    <w:p w14:paraId="2ACB26D3" w14:textId="77777777" w:rsidR="00EF14FB" w:rsidRDefault="00EF14FB" w:rsidP="00EF14F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F14FB" w14:paraId="7FBAB77E" w14:textId="77777777" w:rsidTr="00EF14FB">
        <w:tc>
          <w:tcPr>
            <w:tcW w:w="720" w:type="dxa"/>
            <w:shd w:val="clear" w:color="auto" w:fill="auto"/>
          </w:tcPr>
          <w:p w14:paraId="4E9D34E2" w14:textId="77777777" w:rsidR="00EF14FB" w:rsidRDefault="00EF14FB" w:rsidP="00EF14FB">
            <w:pPr>
              <w:keepNext/>
              <w:keepLines/>
              <w:jc w:val="both"/>
            </w:pPr>
            <w:bookmarkStart w:id="9" w:name="bkmrkSignature" w:colFirst="0" w:colLast="0"/>
          </w:p>
        </w:tc>
        <w:tc>
          <w:tcPr>
            <w:tcW w:w="4320" w:type="dxa"/>
            <w:tcBorders>
              <w:bottom w:val="single" w:sz="4" w:space="0" w:color="auto"/>
            </w:tcBorders>
            <w:shd w:val="clear" w:color="auto" w:fill="auto"/>
          </w:tcPr>
          <w:p w14:paraId="00029FD7" w14:textId="67115B80" w:rsidR="00EF14FB" w:rsidRDefault="005B7530" w:rsidP="00EF14FB">
            <w:pPr>
              <w:keepNext/>
              <w:keepLines/>
              <w:jc w:val="both"/>
            </w:pPr>
            <w:r>
              <w:t>/s/ Adam J. Teitzman</w:t>
            </w:r>
            <w:bookmarkStart w:id="10" w:name="_GoBack"/>
            <w:bookmarkEnd w:id="10"/>
          </w:p>
        </w:tc>
      </w:tr>
      <w:bookmarkEnd w:id="9"/>
      <w:tr w:rsidR="00EF14FB" w14:paraId="5EC16C06" w14:textId="77777777" w:rsidTr="00EF14FB">
        <w:tc>
          <w:tcPr>
            <w:tcW w:w="720" w:type="dxa"/>
            <w:shd w:val="clear" w:color="auto" w:fill="auto"/>
          </w:tcPr>
          <w:p w14:paraId="391E6C6A" w14:textId="77777777" w:rsidR="00EF14FB" w:rsidRDefault="00EF14FB" w:rsidP="00EF14FB">
            <w:pPr>
              <w:keepNext/>
              <w:keepLines/>
              <w:jc w:val="both"/>
            </w:pPr>
          </w:p>
        </w:tc>
        <w:tc>
          <w:tcPr>
            <w:tcW w:w="4320" w:type="dxa"/>
            <w:tcBorders>
              <w:top w:val="single" w:sz="4" w:space="0" w:color="auto"/>
            </w:tcBorders>
            <w:shd w:val="clear" w:color="auto" w:fill="auto"/>
          </w:tcPr>
          <w:p w14:paraId="5F31E7B6" w14:textId="77777777" w:rsidR="00EF14FB" w:rsidRDefault="00EF14FB" w:rsidP="00EF14FB">
            <w:pPr>
              <w:keepNext/>
              <w:keepLines/>
              <w:jc w:val="both"/>
            </w:pPr>
            <w:r>
              <w:t>ADAM J. TEITZMAN</w:t>
            </w:r>
          </w:p>
          <w:p w14:paraId="18931CB8" w14:textId="77777777" w:rsidR="00EF14FB" w:rsidRDefault="00EF14FB" w:rsidP="00EF14FB">
            <w:pPr>
              <w:keepNext/>
              <w:keepLines/>
              <w:jc w:val="both"/>
            </w:pPr>
            <w:r>
              <w:t>Commission Clerk</w:t>
            </w:r>
          </w:p>
        </w:tc>
      </w:tr>
    </w:tbl>
    <w:p w14:paraId="3D5A1053" w14:textId="77777777" w:rsidR="00EF14FB" w:rsidRDefault="00EF14FB" w:rsidP="00EF14FB">
      <w:pPr>
        <w:pStyle w:val="OrderSigInfo"/>
        <w:keepNext/>
        <w:keepLines/>
      </w:pPr>
      <w:r>
        <w:t>Florida Public Service Commission</w:t>
      </w:r>
    </w:p>
    <w:p w14:paraId="43311A71" w14:textId="77777777" w:rsidR="00EF14FB" w:rsidRDefault="00EF14FB" w:rsidP="00EF14FB">
      <w:pPr>
        <w:pStyle w:val="OrderSigInfo"/>
        <w:keepNext/>
        <w:keepLines/>
      </w:pPr>
      <w:r>
        <w:t>2540 Shumard Oak Boulevard</w:t>
      </w:r>
    </w:p>
    <w:p w14:paraId="4DD0362B" w14:textId="77777777" w:rsidR="00EF14FB" w:rsidRDefault="00EF14FB" w:rsidP="00EF14FB">
      <w:pPr>
        <w:pStyle w:val="OrderSigInfo"/>
        <w:keepNext/>
        <w:keepLines/>
      </w:pPr>
      <w:r>
        <w:t>Tallahassee, Florida 32399</w:t>
      </w:r>
    </w:p>
    <w:p w14:paraId="47BAF6A6" w14:textId="77777777" w:rsidR="00EF14FB" w:rsidRDefault="00EF14FB" w:rsidP="00EF14FB">
      <w:pPr>
        <w:pStyle w:val="OrderSigInfo"/>
        <w:keepNext/>
        <w:keepLines/>
      </w:pPr>
      <w:r>
        <w:t>(850) 413</w:t>
      </w:r>
      <w:r>
        <w:noBreakHyphen/>
        <w:t>6770</w:t>
      </w:r>
    </w:p>
    <w:p w14:paraId="6A950EC7" w14:textId="77777777" w:rsidR="00EF14FB" w:rsidRDefault="00EF14FB" w:rsidP="00EF14FB">
      <w:pPr>
        <w:pStyle w:val="OrderSigInfo"/>
        <w:keepNext/>
        <w:keepLines/>
      </w:pPr>
      <w:r>
        <w:t>www.floridapsc.com</w:t>
      </w:r>
    </w:p>
    <w:p w14:paraId="7364C547" w14:textId="77777777" w:rsidR="00EF14FB" w:rsidRDefault="00EF14FB" w:rsidP="00EF14FB">
      <w:pPr>
        <w:pStyle w:val="OrderSigInfo"/>
        <w:keepNext/>
        <w:keepLines/>
      </w:pPr>
    </w:p>
    <w:p w14:paraId="7BF11E97" w14:textId="77777777" w:rsidR="00EF14FB" w:rsidRDefault="00EF14FB" w:rsidP="00EF14FB">
      <w:pPr>
        <w:pStyle w:val="OrderSigInfo"/>
        <w:keepNext/>
        <w:keepLines/>
      </w:pPr>
      <w:r>
        <w:t>Copies furnished:  A copy of this document is provided to the parties of record at the time of issuance and, if applicable, interested persons.</w:t>
      </w:r>
    </w:p>
    <w:p w14:paraId="6C2F72FA" w14:textId="77777777" w:rsidR="00EF14FB" w:rsidRDefault="00EF14FB" w:rsidP="00EF14FB">
      <w:pPr>
        <w:pStyle w:val="OrderBody"/>
        <w:keepNext/>
        <w:keepLines/>
      </w:pPr>
    </w:p>
    <w:p w14:paraId="735ABEDA" w14:textId="77777777" w:rsidR="00EF14FB" w:rsidRDefault="00EF14FB" w:rsidP="00EF14FB">
      <w:pPr>
        <w:keepNext/>
        <w:keepLines/>
        <w:jc w:val="both"/>
      </w:pPr>
    </w:p>
    <w:p w14:paraId="7B58AFE5" w14:textId="77777777" w:rsidR="00EF14FB" w:rsidRDefault="00EF14FB" w:rsidP="00EF14FB">
      <w:pPr>
        <w:keepNext/>
        <w:keepLines/>
        <w:jc w:val="both"/>
      </w:pPr>
      <w:r>
        <w:t>DD</w:t>
      </w:r>
    </w:p>
    <w:p w14:paraId="1460EA64" w14:textId="77777777" w:rsidR="00EF14FB" w:rsidRDefault="00EF14FB" w:rsidP="00EF14FB">
      <w:pPr>
        <w:jc w:val="both"/>
      </w:pPr>
    </w:p>
    <w:p w14:paraId="650CBE17" w14:textId="77777777" w:rsidR="003959BC" w:rsidRPr="003959BC" w:rsidRDefault="003959BC" w:rsidP="009B7FAF">
      <w:pPr>
        <w:jc w:val="both"/>
      </w:pPr>
      <w:r w:rsidRPr="003959BC">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4E5684D" w14:textId="77777777" w:rsidR="003959BC" w:rsidRPr="003959BC" w:rsidRDefault="003959BC" w:rsidP="009B7FAF">
      <w:pPr>
        <w:jc w:val="both"/>
      </w:pPr>
    </w:p>
    <w:p w14:paraId="5FDF13AF" w14:textId="77777777" w:rsidR="003959BC" w:rsidRPr="003959BC" w:rsidRDefault="003959BC" w:rsidP="009B7FAF">
      <w:pPr>
        <w:ind w:firstLine="720"/>
        <w:jc w:val="both"/>
      </w:pPr>
      <w:r w:rsidRPr="003959BC">
        <w:t>Mediation may be available on a case-by-case basis.  If mediation is conducted, it does not affect a substantially interested person's right to a hearing.</w:t>
      </w:r>
    </w:p>
    <w:p w14:paraId="0C0305E1" w14:textId="77777777" w:rsidR="003959BC" w:rsidRPr="003959BC" w:rsidRDefault="003959BC" w:rsidP="009B7FAF">
      <w:pPr>
        <w:jc w:val="both"/>
      </w:pPr>
    </w:p>
    <w:p w14:paraId="6B055264" w14:textId="77777777" w:rsidR="003959BC" w:rsidRPr="003959BC" w:rsidRDefault="003959BC" w:rsidP="009B7FAF">
      <w:pPr>
        <w:jc w:val="both"/>
      </w:pPr>
      <w:r w:rsidRPr="003959BC">
        <w:tab/>
        <w:t>Any party adversely affected by this order suspending the permanent rates,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4636B55F" w14:textId="77777777" w:rsidR="003959BC" w:rsidRPr="003959BC" w:rsidRDefault="003959BC" w:rsidP="009B7FAF">
      <w:pPr>
        <w:jc w:val="both"/>
      </w:pPr>
    </w:p>
    <w:p w14:paraId="3BD8DED8" w14:textId="77777777" w:rsidR="003959BC" w:rsidRPr="003959BC" w:rsidRDefault="003959BC" w:rsidP="009B7FAF">
      <w:pPr>
        <w:jc w:val="both"/>
      </w:pPr>
      <w:r w:rsidRPr="003959BC">
        <w:tab/>
        <w:t xml:space="preserve">Any party adversely affected by this order approving interim rates, which is non-final in nature, may request (1) reconsideration within 10 days pursuant to Rule 25-22.0376, Florida Administrative Code, or (2) judicial review by the Florida Supreme Court, in the case of an </w:t>
      </w:r>
      <w:r w:rsidRPr="003959BC">
        <w:lastRenderedPageBreak/>
        <w:t xml:space="preserve">electric, gas or telephone utility, or the First District Court of Appeal, in the case of a water or wastewater utility.  A motion for reconsideration shall be filed with the Office of Commission Clerk, in the form prescribed by Rule 25-22.0376, Florida Administrative Code. </w:t>
      </w:r>
      <w:r w:rsidRPr="003959BC">
        <w:rPr>
          <w:u w:val="single"/>
        </w:rPr>
        <w:t>Citizens of the State of Florida v. Mayo</w:t>
      </w:r>
      <w:r w:rsidRPr="003959BC">
        <w:t>, 316 So.2d 262 (Fla. 1975), states that an order on interim rates is not final or reviewable until a final order is issued.  Such review may be requested from the appropriate court, as described above, pursuant to Rule 9.100, Florida Rules of Appellate Procedure.</w:t>
      </w:r>
    </w:p>
    <w:p w14:paraId="09E9DC70" w14:textId="77777777" w:rsidR="00EF14FB" w:rsidRDefault="00EF14FB" w:rsidP="009B7FAF">
      <w:pPr>
        <w:jc w:val="both"/>
      </w:pPr>
    </w:p>
    <w:p w14:paraId="6BBA719A" w14:textId="77777777" w:rsidR="00EF14FB" w:rsidRDefault="00EF14FB" w:rsidP="009969B1">
      <w:pPr>
        <w:sectPr w:rsidR="00EF14FB" w:rsidSect="006D38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14:paraId="6AA514A2" w14:textId="77777777" w:rsidR="00EF14FB" w:rsidRDefault="00EF14FB" w:rsidP="00EF14FB">
      <w:pPr>
        <w:pStyle w:val="BodyText"/>
        <w:contextualSpacing/>
        <w:jc w:val="center"/>
        <w:rPr>
          <w:rFonts w:ascii="Arial" w:hAnsi="Arial" w:cs="Arial"/>
          <w:b/>
        </w:rPr>
      </w:pPr>
      <w:r>
        <w:rPr>
          <w:rFonts w:ascii="Arial" w:hAnsi="Arial" w:cs="Arial"/>
          <w:b/>
        </w:rPr>
        <w:lastRenderedPageBreak/>
        <w:t>ST. JOE NATURAL GAS COMPANY, INC.</w:t>
      </w:r>
    </w:p>
    <w:p w14:paraId="5A157613" w14:textId="77777777" w:rsidR="00EF14FB" w:rsidRPr="005C07CF" w:rsidRDefault="00EF14FB" w:rsidP="00EF14FB">
      <w:pPr>
        <w:pStyle w:val="BodyText"/>
        <w:contextualSpacing/>
        <w:jc w:val="center"/>
        <w:rPr>
          <w:rFonts w:ascii="Arial" w:hAnsi="Arial" w:cs="Arial"/>
          <w:b/>
        </w:rPr>
      </w:pPr>
      <w:r w:rsidRPr="005C07CF">
        <w:rPr>
          <w:rFonts w:ascii="Arial" w:hAnsi="Arial" w:cs="Arial"/>
          <w:b/>
        </w:rPr>
        <w:t>Docket No. 202</w:t>
      </w:r>
      <w:r>
        <w:rPr>
          <w:rFonts w:ascii="Arial" w:hAnsi="Arial" w:cs="Arial"/>
          <w:b/>
        </w:rPr>
        <w:t>40046</w:t>
      </w:r>
      <w:r w:rsidRPr="005C07CF">
        <w:rPr>
          <w:rFonts w:ascii="Arial" w:hAnsi="Arial" w:cs="Arial"/>
          <w:b/>
        </w:rPr>
        <w:t>-GU</w:t>
      </w:r>
    </w:p>
    <w:p w14:paraId="045F8DF9" w14:textId="77777777" w:rsidR="00EF14FB" w:rsidRPr="005C07CF" w:rsidRDefault="00EF14FB" w:rsidP="00EF14FB">
      <w:pPr>
        <w:pStyle w:val="BodyText"/>
        <w:contextualSpacing/>
        <w:jc w:val="center"/>
        <w:rPr>
          <w:rFonts w:ascii="Arial" w:hAnsi="Arial" w:cs="Arial"/>
          <w:b/>
        </w:rPr>
      </w:pPr>
      <w:r w:rsidRPr="005C07CF">
        <w:rPr>
          <w:rFonts w:ascii="Arial" w:hAnsi="Arial" w:cs="Arial"/>
          <w:b/>
        </w:rPr>
        <w:t>Interim Base Year</w:t>
      </w:r>
    </w:p>
    <w:p w14:paraId="60D63F7B" w14:textId="77777777" w:rsidR="00EF14FB" w:rsidRPr="005C07CF" w:rsidRDefault="00EF14FB" w:rsidP="00EF14FB">
      <w:pPr>
        <w:pStyle w:val="BodyText"/>
        <w:contextualSpacing/>
        <w:jc w:val="center"/>
        <w:rPr>
          <w:rFonts w:ascii="Arial" w:hAnsi="Arial" w:cs="Arial"/>
          <w:b/>
        </w:rPr>
      </w:pPr>
      <w:r w:rsidRPr="005C07CF">
        <w:rPr>
          <w:rFonts w:ascii="Arial" w:hAnsi="Arial" w:cs="Arial"/>
          <w:b/>
        </w:rPr>
        <w:t>December 31, 202</w:t>
      </w:r>
      <w:r>
        <w:rPr>
          <w:rFonts w:ascii="Arial" w:hAnsi="Arial" w:cs="Arial"/>
          <w:b/>
        </w:rPr>
        <w:t>3</w:t>
      </w:r>
    </w:p>
    <w:p w14:paraId="164E2A1A" w14:textId="77777777" w:rsidR="00EF14FB" w:rsidRPr="005C07CF" w:rsidRDefault="00EF14FB" w:rsidP="00EF14FB">
      <w:pPr>
        <w:pStyle w:val="BodyText"/>
        <w:contextualSpacing/>
        <w:jc w:val="center"/>
        <w:rPr>
          <w:rFonts w:ascii="Arial" w:hAnsi="Arial" w:cs="Arial"/>
          <w:b/>
        </w:rPr>
      </w:pPr>
    </w:p>
    <w:tbl>
      <w:tblPr>
        <w:tblW w:w="9009" w:type="dxa"/>
        <w:jc w:val="center"/>
        <w:tblLook w:val="04A0" w:firstRow="1" w:lastRow="0" w:firstColumn="1" w:lastColumn="0" w:noHBand="0" w:noVBand="1"/>
      </w:tblPr>
      <w:tblGrid>
        <w:gridCol w:w="266"/>
        <w:gridCol w:w="3204"/>
        <w:gridCol w:w="2070"/>
        <w:gridCol w:w="1440"/>
        <w:gridCol w:w="1729"/>
        <w:gridCol w:w="300"/>
      </w:tblGrid>
      <w:tr w:rsidR="00EF14FB" w:rsidRPr="005C07CF" w14:paraId="77EA940F" w14:textId="77777777" w:rsidTr="00EF14FB">
        <w:trPr>
          <w:trHeight w:val="300"/>
          <w:jc w:val="center"/>
        </w:trPr>
        <w:tc>
          <w:tcPr>
            <w:tcW w:w="266" w:type="dxa"/>
            <w:tcBorders>
              <w:top w:val="single" w:sz="4" w:space="0" w:color="auto"/>
              <w:left w:val="single" w:sz="4" w:space="0" w:color="auto"/>
              <w:bottom w:val="nil"/>
              <w:right w:val="nil"/>
            </w:tcBorders>
            <w:shd w:val="clear" w:color="auto" w:fill="auto"/>
            <w:noWrap/>
            <w:vAlign w:val="bottom"/>
            <w:hideMark/>
          </w:tcPr>
          <w:p w14:paraId="4FB1E7CF"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c>
          <w:tcPr>
            <w:tcW w:w="3204" w:type="dxa"/>
            <w:tcBorders>
              <w:top w:val="single" w:sz="4" w:space="0" w:color="auto"/>
              <w:left w:val="nil"/>
              <w:bottom w:val="nil"/>
              <w:right w:val="nil"/>
            </w:tcBorders>
            <w:shd w:val="clear" w:color="auto" w:fill="auto"/>
            <w:noWrap/>
            <w:vAlign w:val="bottom"/>
            <w:hideMark/>
          </w:tcPr>
          <w:p w14:paraId="7716CB29"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c>
          <w:tcPr>
            <w:tcW w:w="2070" w:type="dxa"/>
            <w:tcBorders>
              <w:top w:val="single" w:sz="4" w:space="0" w:color="auto"/>
              <w:left w:val="nil"/>
              <w:bottom w:val="nil"/>
              <w:right w:val="nil"/>
            </w:tcBorders>
            <w:shd w:val="clear" w:color="auto" w:fill="auto"/>
            <w:noWrap/>
            <w:vAlign w:val="bottom"/>
            <w:hideMark/>
          </w:tcPr>
          <w:p w14:paraId="407CD15D" w14:textId="77777777" w:rsidR="00EF14FB" w:rsidRPr="005C07CF" w:rsidRDefault="00EF14FB" w:rsidP="00EF14FB">
            <w:pPr>
              <w:jc w:val="center"/>
              <w:rPr>
                <w:b/>
                <w:color w:val="000000"/>
                <w:sz w:val="22"/>
                <w:szCs w:val="22"/>
              </w:rPr>
            </w:pPr>
            <w:r w:rsidRPr="005C07CF">
              <w:rPr>
                <w:b/>
                <w:color w:val="000000"/>
                <w:sz w:val="22"/>
                <w:szCs w:val="22"/>
              </w:rPr>
              <w:t>Adjusted Base</w:t>
            </w:r>
          </w:p>
        </w:tc>
        <w:tc>
          <w:tcPr>
            <w:tcW w:w="1440" w:type="dxa"/>
            <w:tcBorders>
              <w:top w:val="single" w:sz="4" w:space="0" w:color="auto"/>
              <w:left w:val="nil"/>
              <w:bottom w:val="nil"/>
              <w:right w:val="nil"/>
            </w:tcBorders>
            <w:shd w:val="clear" w:color="auto" w:fill="auto"/>
            <w:noWrap/>
            <w:vAlign w:val="bottom"/>
            <w:hideMark/>
          </w:tcPr>
          <w:p w14:paraId="0F78C52A" w14:textId="77777777" w:rsidR="00EF14FB" w:rsidRPr="005C07CF" w:rsidRDefault="00EF14FB" w:rsidP="00EF14FB">
            <w:pPr>
              <w:jc w:val="center"/>
              <w:rPr>
                <w:b/>
                <w:color w:val="000000"/>
                <w:sz w:val="22"/>
                <w:szCs w:val="22"/>
              </w:rPr>
            </w:pPr>
          </w:p>
        </w:tc>
        <w:tc>
          <w:tcPr>
            <w:tcW w:w="1729" w:type="dxa"/>
            <w:tcBorders>
              <w:top w:val="single" w:sz="4" w:space="0" w:color="auto"/>
              <w:left w:val="nil"/>
              <w:bottom w:val="nil"/>
              <w:right w:val="nil"/>
            </w:tcBorders>
            <w:shd w:val="clear" w:color="auto" w:fill="auto"/>
            <w:noWrap/>
            <w:vAlign w:val="bottom"/>
            <w:hideMark/>
          </w:tcPr>
          <w:p w14:paraId="273090B6" w14:textId="77777777" w:rsidR="00EF14FB" w:rsidRPr="005C07CF" w:rsidRDefault="00EF14FB" w:rsidP="00EF14FB">
            <w:pPr>
              <w:jc w:val="center"/>
              <w:rPr>
                <w:b/>
                <w:color w:val="000000"/>
                <w:sz w:val="22"/>
                <w:szCs w:val="22"/>
              </w:rPr>
            </w:pPr>
            <w:r w:rsidRPr="005C07CF">
              <w:rPr>
                <w:b/>
                <w:color w:val="000000"/>
                <w:sz w:val="22"/>
                <w:szCs w:val="22"/>
              </w:rPr>
              <w:t>Adjusted Base</w:t>
            </w:r>
          </w:p>
        </w:tc>
        <w:tc>
          <w:tcPr>
            <w:tcW w:w="300" w:type="dxa"/>
            <w:tcBorders>
              <w:top w:val="single" w:sz="4" w:space="0" w:color="auto"/>
              <w:left w:val="nil"/>
              <w:bottom w:val="nil"/>
              <w:right w:val="single" w:sz="4" w:space="0" w:color="auto"/>
            </w:tcBorders>
            <w:shd w:val="clear" w:color="auto" w:fill="auto"/>
            <w:noWrap/>
            <w:vAlign w:val="bottom"/>
            <w:hideMark/>
          </w:tcPr>
          <w:p w14:paraId="0D2C4F4A"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r>
      <w:tr w:rsidR="00EF14FB" w:rsidRPr="005C07CF" w14:paraId="20BCF022" w14:textId="77777777" w:rsidTr="00EF14FB">
        <w:trPr>
          <w:trHeight w:val="300"/>
          <w:jc w:val="center"/>
        </w:trPr>
        <w:tc>
          <w:tcPr>
            <w:tcW w:w="266" w:type="dxa"/>
            <w:tcBorders>
              <w:top w:val="nil"/>
              <w:left w:val="single" w:sz="4" w:space="0" w:color="auto"/>
              <w:bottom w:val="single" w:sz="4" w:space="0" w:color="auto"/>
              <w:right w:val="nil"/>
            </w:tcBorders>
            <w:shd w:val="clear" w:color="auto" w:fill="auto"/>
            <w:noWrap/>
            <w:vAlign w:val="bottom"/>
            <w:hideMark/>
          </w:tcPr>
          <w:p w14:paraId="7D3EFCE8"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c>
          <w:tcPr>
            <w:tcW w:w="3204" w:type="dxa"/>
            <w:tcBorders>
              <w:top w:val="nil"/>
              <w:left w:val="nil"/>
              <w:bottom w:val="single" w:sz="4" w:space="0" w:color="auto"/>
              <w:right w:val="nil"/>
            </w:tcBorders>
            <w:shd w:val="clear" w:color="auto" w:fill="auto"/>
            <w:noWrap/>
            <w:vAlign w:val="bottom"/>
            <w:hideMark/>
          </w:tcPr>
          <w:p w14:paraId="74793B0D"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c>
          <w:tcPr>
            <w:tcW w:w="2070" w:type="dxa"/>
            <w:tcBorders>
              <w:top w:val="nil"/>
              <w:left w:val="nil"/>
              <w:bottom w:val="single" w:sz="4" w:space="0" w:color="auto"/>
              <w:right w:val="nil"/>
            </w:tcBorders>
            <w:shd w:val="clear" w:color="auto" w:fill="auto"/>
            <w:noWrap/>
            <w:vAlign w:val="bottom"/>
            <w:hideMark/>
          </w:tcPr>
          <w:p w14:paraId="69DB5BC7" w14:textId="77777777" w:rsidR="00EF14FB" w:rsidRPr="005C07CF" w:rsidRDefault="00EF14FB" w:rsidP="00EF14FB">
            <w:pPr>
              <w:jc w:val="center"/>
              <w:rPr>
                <w:b/>
                <w:color w:val="000000"/>
                <w:sz w:val="22"/>
                <w:szCs w:val="22"/>
              </w:rPr>
            </w:pPr>
            <w:r w:rsidRPr="005C07CF">
              <w:rPr>
                <w:b/>
                <w:color w:val="000000"/>
                <w:sz w:val="22"/>
                <w:szCs w:val="22"/>
              </w:rPr>
              <w:t>Year Per Company</w:t>
            </w:r>
          </w:p>
        </w:tc>
        <w:tc>
          <w:tcPr>
            <w:tcW w:w="1440" w:type="dxa"/>
            <w:tcBorders>
              <w:top w:val="nil"/>
              <w:left w:val="nil"/>
              <w:bottom w:val="single" w:sz="4" w:space="0" w:color="auto"/>
              <w:right w:val="nil"/>
            </w:tcBorders>
            <w:shd w:val="clear" w:color="auto" w:fill="auto"/>
            <w:noWrap/>
            <w:vAlign w:val="bottom"/>
            <w:hideMark/>
          </w:tcPr>
          <w:p w14:paraId="1F5CDD74" w14:textId="77777777" w:rsidR="00EF14FB" w:rsidRPr="005C07CF" w:rsidRDefault="00EF14FB" w:rsidP="00EF14FB">
            <w:pPr>
              <w:jc w:val="center"/>
              <w:rPr>
                <w:b/>
                <w:color w:val="000000"/>
                <w:sz w:val="22"/>
                <w:szCs w:val="22"/>
              </w:rPr>
            </w:pPr>
            <w:r w:rsidRPr="005C07CF">
              <w:rPr>
                <w:b/>
                <w:color w:val="000000"/>
                <w:sz w:val="22"/>
                <w:szCs w:val="22"/>
              </w:rPr>
              <w:t>Adjustments</w:t>
            </w:r>
          </w:p>
        </w:tc>
        <w:tc>
          <w:tcPr>
            <w:tcW w:w="1729" w:type="dxa"/>
            <w:tcBorders>
              <w:top w:val="nil"/>
              <w:left w:val="nil"/>
              <w:bottom w:val="single" w:sz="4" w:space="0" w:color="auto"/>
              <w:right w:val="nil"/>
            </w:tcBorders>
            <w:shd w:val="clear" w:color="auto" w:fill="auto"/>
            <w:noWrap/>
            <w:vAlign w:val="bottom"/>
            <w:hideMark/>
          </w:tcPr>
          <w:p w14:paraId="48A85DCB" w14:textId="133ACF91" w:rsidR="00EF14FB" w:rsidRPr="005C07CF" w:rsidRDefault="00EF14FB">
            <w:pPr>
              <w:jc w:val="center"/>
              <w:rPr>
                <w:b/>
                <w:color w:val="000000"/>
                <w:sz w:val="22"/>
                <w:szCs w:val="22"/>
              </w:rPr>
            </w:pPr>
            <w:r w:rsidRPr="005C07CF">
              <w:rPr>
                <w:b/>
                <w:color w:val="000000"/>
                <w:sz w:val="22"/>
                <w:szCs w:val="22"/>
              </w:rPr>
              <w:t xml:space="preserve">Year Per </w:t>
            </w:r>
            <w:r w:rsidR="006D7DFE">
              <w:rPr>
                <w:b/>
                <w:color w:val="000000"/>
                <w:sz w:val="22"/>
                <w:szCs w:val="22"/>
              </w:rPr>
              <w:t>Commission</w:t>
            </w:r>
          </w:p>
        </w:tc>
        <w:tc>
          <w:tcPr>
            <w:tcW w:w="300" w:type="dxa"/>
            <w:tcBorders>
              <w:top w:val="nil"/>
              <w:left w:val="nil"/>
              <w:bottom w:val="single" w:sz="4" w:space="0" w:color="auto"/>
              <w:right w:val="single" w:sz="4" w:space="0" w:color="auto"/>
            </w:tcBorders>
            <w:shd w:val="clear" w:color="auto" w:fill="auto"/>
            <w:noWrap/>
            <w:vAlign w:val="bottom"/>
            <w:hideMark/>
          </w:tcPr>
          <w:p w14:paraId="7E23067D"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r>
      <w:tr w:rsidR="00EF14FB" w:rsidRPr="005C07CF" w14:paraId="41840EE7" w14:textId="77777777" w:rsidTr="00EF14FB">
        <w:trPr>
          <w:trHeight w:val="300"/>
          <w:jc w:val="center"/>
        </w:trPr>
        <w:tc>
          <w:tcPr>
            <w:tcW w:w="266" w:type="dxa"/>
            <w:tcBorders>
              <w:top w:val="nil"/>
              <w:left w:val="single" w:sz="4" w:space="0" w:color="auto"/>
              <w:bottom w:val="nil"/>
              <w:right w:val="nil"/>
            </w:tcBorders>
            <w:shd w:val="clear" w:color="auto" w:fill="auto"/>
            <w:noWrap/>
            <w:vAlign w:val="bottom"/>
            <w:hideMark/>
          </w:tcPr>
          <w:p w14:paraId="0B55129C"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14:paraId="59B79E5F" w14:textId="77777777" w:rsidR="00EF14FB" w:rsidRPr="005C07CF" w:rsidRDefault="00EF14FB" w:rsidP="00EF14FB">
            <w:pPr>
              <w:rPr>
                <w:color w:val="000000"/>
                <w:sz w:val="22"/>
                <w:szCs w:val="22"/>
                <w:u w:val="single"/>
              </w:rPr>
            </w:pPr>
            <w:r w:rsidRPr="005C07CF">
              <w:rPr>
                <w:color w:val="000000"/>
                <w:sz w:val="22"/>
                <w:szCs w:val="22"/>
                <w:u w:val="single"/>
              </w:rPr>
              <w:t>Rate Base</w:t>
            </w:r>
          </w:p>
        </w:tc>
        <w:tc>
          <w:tcPr>
            <w:tcW w:w="2070" w:type="dxa"/>
            <w:tcBorders>
              <w:top w:val="nil"/>
              <w:left w:val="nil"/>
              <w:bottom w:val="nil"/>
              <w:right w:val="nil"/>
            </w:tcBorders>
            <w:shd w:val="clear" w:color="auto" w:fill="auto"/>
            <w:noWrap/>
            <w:vAlign w:val="bottom"/>
            <w:hideMark/>
          </w:tcPr>
          <w:p w14:paraId="74438916" w14:textId="77777777" w:rsidR="00EF14FB" w:rsidRPr="005C07CF" w:rsidRDefault="00EF14FB" w:rsidP="00EF14FB">
            <w:pPr>
              <w:rPr>
                <w:color w:val="000000"/>
                <w:sz w:val="22"/>
                <w:szCs w:val="22"/>
              </w:rPr>
            </w:pPr>
            <w:r w:rsidRPr="005C07CF">
              <w:rPr>
                <w:color w:val="000000"/>
                <w:sz w:val="22"/>
                <w:szCs w:val="22"/>
              </w:rPr>
              <w:t> </w:t>
            </w:r>
          </w:p>
        </w:tc>
        <w:tc>
          <w:tcPr>
            <w:tcW w:w="1440" w:type="dxa"/>
            <w:tcBorders>
              <w:top w:val="nil"/>
              <w:left w:val="nil"/>
              <w:bottom w:val="nil"/>
              <w:right w:val="nil"/>
            </w:tcBorders>
            <w:shd w:val="clear" w:color="auto" w:fill="auto"/>
            <w:noWrap/>
            <w:vAlign w:val="bottom"/>
            <w:hideMark/>
          </w:tcPr>
          <w:p w14:paraId="5DEF0461" w14:textId="77777777" w:rsidR="00EF14FB" w:rsidRPr="005C07CF" w:rsidRDefault="00EF14FB" w:rsidP="00EF14FB">
            <w:pPr>
              <w:rPr>
                <w:color w:val="000000"/>
                <w:sz w:val="22"/>
                <w:szCs w:val="22"/>
              </w:rPr>
            </w:pPr>
            <w:r w:rsidRPr="005C07CF">
              <w:rPr>
                <w:color w:val="000000"/>
                <w:sz w:val="22"/>
                <w:szCs w:val="22"/>
              </w:rPr>
              <w:t> </w:t>
            </w:r>
          </w:p>
        </w:tc>
        <w:tc>
          <w:tcPr>
            <w:tcW w:w="1729" w:type="dxa"/>
            <w:tcBorders>
              <w:top w:val="nil"/>
              <w:left w:val="nil"/>
              <w:bottom w:val="nil"/>
              <w:right w:val="nil"/>
            </w:tcBorders>
            <w:shd w:val="clear" w:color="auto" w:fill="auto"/>
            <w:noWrap/>
            <w:vAlign w:val="bottom"/>
            <w:hideMark/>
          </w:tcPr>
          <w:p w14:paraId="3587F2F4" w14:textId="77777777" w:rsidR="00EF14FB" w:rsidRPr="005C07CF" w:rsidRDefault="00EF14FB" w:rsidP="00EF14FB">
            <w:pPr>
              <w:rPr>
                <w:color w:val="000000"/>
                <w:sz w:val="22"/>
                <w:szCs w:val="22"/>
              </w:rPr>
            </w:pPr>
            <w:r w:rsidRPr="005C07CF">
              <w:rPr>
                <w:color w:val="000000"/>
                <w:sz w:val="22"/>
                <w:szCs w:val="22"/>
              </w:rPr>
              <w:t> </w:t>
            </w:r>
          </w:p>
        </w:tc>
        <w:tc>
          <w:tcPr>
            <w:tcW w:w="300" w:type="dxa"/>
            <w:tcBorders>
              <w:top w:val="nil"/>
              <w:left w:val="nil"/>
              <w:bottom w:val="nil"/>
              <w:right w:val="single" w:sz="4" w:space="0" w:color="auto"/>
            </w:tcBorders>
            <w:shd w:val="clear" w:color="auto" w:fill="auto"/>
            <w:noWrap/>
            <w:vAlign w:val="bottom"/>
            <w:hideMark/>
          </w:tcPr>
          <w:p w14:paraId="3B803BD4"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r>
      <w:tr w:rsidR="00EF14FB" w:rsidRPr="005C07CF" w14:paraId="09EB88B2" w14:textId="77777777" w:rsidTr="00EF14FB">
        <w:trPr>
          <w:trHeight w:hRule="exact" w:val="302"/>
          <w:jc w:val="center"/>
        </w:trPr>
        <w:tc>
          <w:tcPr>
            <w:tcW w:w="266" w:type="dxa"/>
            <w:tcBorders>
              <w:top w:val="nil"/>
              <w:left w:val="single" w:sz="4" w:space="0" w:color="auto"/>
              <w:bottom w:val="nil"/>
              <w:right w:val="nil"/>
            </w:tcBorders>
            <w:shd w:val="clear" w:color="auto" w:fill="auto"/>
            <w:noWrap/>
            <w:vAlign w:val="bottom"/>
          </w:tcPr>
          <w:p w14:paraId="023C9A6D" w14:textId="77777777" w:rsidR="00EF14FB" w:rsidRPr="005C07CF" w:rsidRDefault="00EF14FB" w:rsidP="00EF14FB">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14:paraId="69FCE74A" w14:textId="77777777" w:rsidR="00EF14FB" w:rsidRPr="005C07CF" w:rsidRDefault="00EF14FB" w:rsidP="00EF14FB">
            <w:pPr>
              <w:rPr>
                <w:color w:val="000000"/>
                <w:sz w:val="22"/>
                <w:szCs w:val="22"/>
              </w:rPr>
            </w:pPr>
            <w:r w:rsidRPr="005C07CF">
              <w:rPr>
                <w:color w:val="000000"/>
                <w:sz w:val="22"/>
                <w:szCs w:val="22"/>
              </w:rPr>
              <w:t>Plant in Service</w:t>
            </w:r>
          </w:p>
        </w:tc>
        <w:tc>
          <w:tcPr>
            <w:tcW w:w="2070" w:type="dxa"/>
            <w:tcBorders>
              <w:top w:val="nil"/>
              <w:left w:val="nil"/>
              <w:bottom w:val="nil"/>
              <w:right w:val="nil"/>
            </w:tcBorders>
            <w:shd w:val="clear" w:color="auto" w:fill="auto"/>
            <w:noWrap/>
            <w:vAlign w:val="bottom"/>
          </w:tcPr>
          <w:p w14:paraId="2641FBB8" w14:textId="77777777" w:rsidR="00EF14FB" w:rsidRPr="005C07CF" w:rsidRDefault="00EF14FB" w:rsidP="00EF14FB">
            <w:pPr>
              <w:jc w:val="right"/>
              <w:rPr>
                <w:color w:val="000000"/>
                <w:sz w:val="22"/>
                <w:szCs w:val="22"/>
              </w:rPr>
            </w:pPr>
            <w:r w:rsidRPr="005C07CF">
              <w:rPr>
                <w:color w:val="000000"/>
                <w:sz w:val="22"/>
                <w:szCs w:val="22"/>
              </w:rPr>
              <w:t>$</w:t>
            </w:r>
            <w:r>
              <w:rPr>
                <w:color w:val="000000"/>
                <w:sz w:val="22"/>
                <w:szCs w:val="22"/>
              </w:rPr>
              <w:t>9,253,814</w:t>
            </w:r>
            <w:r w:rsidRPr="005C07CF">
              <w:rPr>
                <w:color w:val="000000"/>
                <w:sz w:val="22"/>
                <w:szCs w:val="22"/>
              </w:rPr>
              <w:t xml:space="preserve"> </w:t>
            </w:r>
          </w:p>
        </w:tc>
        <w:tc>
          <w:tcPr>
            <w:tcW w:w="1440" w:type="dxa"/>
            <w:tcBorders>
              <w:top w:val="nil"/>
              <w:left w:val="nil"/>
              <w:bottom w:val="nil"/>
              <w:right w:val="nil"/>
            </w:tcBorders>
            <w:shd w:val="clear" w:color="auto" w:fill="auto"/>
            <w:noWrap/>
            <w:vAlign w:val="bottom"/>
          </w:tcPr>
          <w:p w14:paraId="4C6299A9" w14:textId="77777777" w:rsidR="00EF14FB" w:rsidRPr="005C07CF" w:rsidRDefault="00EF14FB" w:rsidP="00EF14FB">
            <w:pPr>
              <w:jc w:val="right"/>
              <w:rPr>
                <w:color w:val="000000"/>
                <w:sz w:val="22"/>
                <w:szCs w:val="22"/>
              </w:rPr>
            </w:pPr>
            <w:r w:rsidRPr="005C07CF">
              <w:rPr>
                <w:color w:val="000000"/>
                <w:sz w:val="22"/>
                <w:szCs w:val="22"/>
              </w:rPr>
              <w:t>-</w:t>
            </w:r>
          </w:p>
        </w:tc>
        <w:tc>
          <w:tcPr>
            <w:tcW w:w="1729" w:type="dxa"/>
            <w:tcBorders>
              <w:top w:val="nil"/>
              <w:left w:val="nil"/>
              <w:bottom w:val="nil"/>
              <w:right w:val="nil"/>
            </w:tcBorders>
            <w:shd w:val="clear" w:color="auto" w:fill="auto"/>
            <w:noWrap/>
            <w:vAlign w:val="bottom"/>
          </w:tcPr>
          <w:p w14:paraId="7DADBDBC" w14:textId="77777777" w:rsidR="00EF14FB" w:rsidRPr="005C07CF" w:rsidRDefault="00EF14FB" w:rsidP="00EF14FB">
            <w:pPr>
              <w:jc w:val="right"/>
              <w:rPr>
                <w:color w:val="000000"/>
                <w:sz w:val="22"/>
                <w:szCs w:val="22"/>
              </w:rPr>
            </w:pPr>
            <w:r w:rsidRPr="005C07CF">
              <w:rPr>
                <w:color w:val="000000"/>
                <w:sz w:val="22"/>
                <w:szCs w:val="22"/>
              </w:rPr>
              <w:t>$</w:t>
            </w:r>
            <w:r>
              <w:rPr>
                <w:color w:val="000000"/>
                <w:sz w:val="22"/>
                <w:szCs w:val="22"/>
              </w:rPr>
              <w:t>9,253,814</w:t>
            </w:r>
            <w:r w:rsidRPr="005C07CF">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tcPr>
          <w:p w14:paraId="0D54D13B" w14:textId="77777777" w:rsidR="00EF14FB" w:rsidRPr="005C07CF" w:rsidRDefault="00EF14FB" w:rsidP="00EF14FB">
            <w:pPr>
              <w:rPr>
                <w:rFonts w:ascii="Calibri" w:hAnsi="Calibri"/>
                <w:color w:val="000000"/>
                <w:sz w:val="22"/>
                <w:szCs w:val="22"/>
              </w:rPr>
            </w:pPr>
          </w:p>
        </w:tc>
      </w:tr>
      <w:tr w:rsidR="00EF14FB" w:rsidRPr="005C07CF" w14:paraId="4779395E" w14:textId="77777777" w:rsidTr="00EF14FB">
        <w:trPr>
          <w:trHeight w:hRule="exact" w:val="302"/>
          <w:jc w:val="center"/>
        </w:trPr>
        <w:tc>
          <w:tcPr>
            <w:tcW w:w="266" w:type="dxa"/>
            <w:tcBorders>
              <w:top w:val="nil"/>
              <w:left w:val="single" w:sz="4" w:space="0" w:color="auto"/>
              <w:bottom w:val="nil"/>
              <w:right w:val="nil"/>
            </w:tcBorders>
            <w:shd w:val="clear" w:color="auto" w:fill="auto"/>
            <w:noWrap/>
            <w:vAlign w:val="bottom"/>
          </w:tcPr>
          <w:p w14:paraId="2BE7DA59" w14:textId="77777777" w:rsidR="00EF14FB" w:rsidRPr="005C07CF" w:rsidRDefault="00EF14FB" w:rsidP="00EF14FB">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14:paraId="78B05F52" w14:textId="77777777" w:rsidR="00EF14FB" w:rsidRPr="005C07CF" w:rsidRDefault="00EF14FB" w:rsidP="00EF14FB">
            <w:pPr>
              <w:rPr>
                <w:color w:val="000000"/>
                <w:sz w:val="22"/>
                <w:szCs w:val="22"/>
              </w:rPr>
            </w:pPr>
            <w:r w:rsidRPr="005C07CF">
              <w:rPr>
                <w:color w:val="000000"/>
                <w:sz w:val="22"/>
                <w:szCs w:val="22"/>
              </w:rPr>
              <w:t>Common Plant Allowed</w:t>
            </w:r>
          </w:p>
        </w:tc>
        <w:tc>
          <w:tcPr>
            <w:tcW w:w="2070" w:type="dxa"/>
            <w:tcBorders>
              <w:top w:val="nil"/>
              <w:left w:val="nil"/>
              <w:bottom w:val="nil"/>
              <w:right w:val="nil"/>
            </w:tcBorders>
            <w:shd w:val="clear" w:color="auto" w:fill="auto"/>
            <w:noWrap/>
            <w:vAlign w:val="bottom"/>
          </w:tcPr>
          <w:p w14:paraId="2145C893" w14:textId="77777777" w:rsidR="00EF14FB" w:rsidRPr="005C07CF" w:rsidRDefault="00EF14FB" w:rsidP="00EF14FB">
            <w:pPr>
              <w:jc w:val="right"/>
              <w:rPr>
                <w:color w:val="000000"/>
                <w:sz w:val="22"/>
                <w:szCs w:val="22"/>
              </w:rPr>
            </w:pPr>
            <w:r>
              <w:rPr>
                <w:color w:val="000000"/>
                <w:sz w:val="22"/>
                <w:szCs w:val="22"/>
              </w:rPr>
              <w:t>(216,805)</w:t>
            </w:r>
            <w:r w:rsidRPr="005C07CF">
              <w:rPr>
                <w:color w:val="000000"/>
                <w:sz w:val="22"/>
                <w:szCs w:val="22"/>
              </w:rPr>
              <w:t xml:space="preserve"> </w:t>
            </w:r>
          </w:p>
        </w:tc>
        <w:tc>
          <w:tcPr>
            <w:tcW w:w="1440" w:type="dxa"/>
            <w:tcBorders>
              <w:top w:val="nil"/>
              <w:left w:val="nil"/>
              <w:bottom w:val="nil"/>
              <w:right w:val="nil"/>
            </w:tcBorders>
            <w:shd w:val="clear" w:color="auto" w:fill="auto"/>
            <w:noWrap/>
            <w:vAlign w:val="bottom"/>
          </w:tcPr>
          <w:p w14:paraId="0D2C6594" w14:textId="77777777" w:rsidR="00EF14FB" w:rsidRPr="005C07CF" w:rsidRDefault="00EF14FB" w:rsidP="00EF14FB">
            <w:pPr>
              <w:jc w:val="right"/>
              <w:rPr>
                <w:color w:val="000000"/>
                <w:sz w:val="22"/>
                <w:szCs w:val="22"/>
              </w:rPr>
            </w:pPr>
            <w:r>
              <w:rPr>
                <w:color w:val="000000"/>
                <w:sz w:val="22"/>
                <w:szCs w:val="22"/>
              </w:rPr>
              <w:t>(58,773)</w:t>
            </w:r>
          </w:p>
        </w:tc>
        <w:tc>
          <w:tcPr>
            <w:tcW w:w="1729" w:type="dxa"/>
            <w:tcBorders>
              <w:top w:val="nil"/>
              <w:left w:val="nil"/>
              <w:bottom w:val="nil"/>
              <w:right w:val="nil"/>
            </w:tcBorders>
            <w:shd w:val="clear" w:color="auto" w:fill="auto"/>
            <w:noWrap/>
            <w:vAlign w:val="bottom"/>
          </w:tcPr>
          <w:p w14:paraId="7B419EC0" w14:textId="77777777" w:rsidR="00EF14FB" w:rsidRPr="005C07CF" w:rsidRDefault="00EF14FB" w:rsidP="00EF14FB">
            <w:pPr>
              <w:jc w:val="right"/>
              <w:rPr>
                <w:color w:val="000000"/>
                <w:sz w:val="22"/>
                <w:szCs w:val="22"/>
              </w:rPr>
            </w:pPr>
            <w:r>
              <w:rPr>
                <w:color w:val="000000"/>
                <w:sz w:val="22"/>
                <w:szCs w:val="22"/>
              </w:rPr>
              <w:t>(275,578)</w:t>
            </w:r>
            <w:r w:rsidRPr="005C07CF">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tcPr>
          <w:p w14:paraId="1F74309A" w14:textId="77777777" w:rsidR="00EF14FB" w:rsidRPr="005C07CF" w:rsidRDefault="00EF14FB" w:rsidP="00EF14FB">
            <w:pPr>
              <w:rPr>
                <w:rFonts w:ascii="Calibri" w:hAnsi="Calibri"/>
                <w:color w:val="000000"/>
                <w:sz w:val="22"/>
                <w:szCs w:val="22"/>
              </w:rPr>
            </w:pPr>
          </w:p>
        </w:tc>
      </w:tr>
      <w:tr w:rsidR="00EF14FB" w:rsidRPr="005C07CF" w14:paraId="440615B6" w14:textId="77777777" w:rsidTr="00EF14FB">
        <w:trPr>
          <w:trHeight w:hRule="exact" w:val="302"/>
          <w:jc w:val="center"/>
        </w:trPr>
        <w:tc>
          <w:tcPr>
            <w:tcW w:w="266" w:type="dxa"/>
            <w:tcBorders>
              <w:top w:val="nil"/>
              <w:left w:val="single" w:sz="4" w:space="0" w:color="auto"/>
              <w:bottom w:val="nil"/>
              <w:right w:val="nil"/>
            </w:tcBorders>
            <w:shd w:val="clear" w:color="auto" w:fill="auto"/>
            <w:noWrap/>
            <w:vAlign w:val="bottom"/>
            <w:hideMark/>
          </w:tcPr>
          <w:p w14:paraId="109AB88C"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14:paraId="1AA68DD5" w14:textId="77777777" w:rsidR="00EF14FB" w:rsidRPr="005C07CF" w:rsidRDefault="00EF14FB" w:rsidP="00EF14FB">
            <w:pPr>
              <w:rPr>
                <w:color w:val="000000"/>
                <w:sz w:val="22"/>
                <w:szCs w:val="22"/>
              </w:rPr>
            </w:pPr>
            <w:r w:rsidRPr="005C07CF">
              <w:rPr>
                <w:color w:val="000000"/>
                <w:sz w:val="22"/>
                <w:szCs w:val="22"/>
              </w:rPr>
              <w:t>Accumulated Depreciation</w:t>
            </w:r>
          </w:p>
        </w:tc>
        <w:tc>
          <w:tcPr>
            <w:tcW w:w="2070" w:type="dxa"/>
            <w:tcBorders>
              <w:top w:val="nil"/>
              <w:left w:val="nil"/>
              <w:bottom w:val="single" w:sz="4" w:space="0" w:color="auto"/>
              <w:right w:val="nil"/>
            </w:tcBorders>
            <w:shd w:val="clear" w:color="auto" w:fill="auto"/>
            <w:noWrap/>
            <w:vAlign w:val="bottom"/>
            <w:hideMark/>
          </w:tcPr>
          <w:p w14:paraId="029BD5FC" w14:textId="77777777" w:rsidR="00EF14FB" w:rsidRPr="005C07CF" w:rsidRDefault="00EF14FB" w:rsidP="00EF14FB">
            <w:pPr>
              <w:jc w:val="right"/>
              <w:rPr>
                <w:color w:val="000000"/>
                <w:sz w:val="22"/>
                <w:szCs w:val="22"/>
              </w:rPr>
            </w:pPr>
            <w:r w:rsidRPr="005C07CF">
              <w:rPr>
                <w:color w:val="000000"/>
                <w:sz w:val="22"/>
                <w:szCs w:val="22"/>
              </w:rPr>
              <w:t>(</w:t>
            </w:r>
            <w:r>
              <w:rPr>
                <w:color w:val="000000"/>
                <w:sz w:val="22"/>
                <w:szCs w:val="22"/>
              </w:rPr>
              <w:t>6,055,109</w:t>
            </w:r>
            <w:r w:rsidRPr="005C07CF">
              <w:rPr>
                <w:color w:val="000000"/>
                <w:sz w:val="22"/>
                <w:szCs w:val="22"/>
              </w:rPr>
              <w:t>)</w:t>
            </w:r>
          </w:p>
        </w:tc>
        <w:tc>
          <w:tcPr>
            <w:tcW w:w="1440" w:type="dxa"/>
            <w:tcBorders>
              <w:top w:val="nil"/>
              <w:left w:val="nil"/>
              <w:bottom w:val="single" w:sz="4" w:space="0" w:color="auto"/>
              <w:right w:val="nil"/>
            </w:tcBorders>
            <w:shd w:val="clear" w:color="auto" w:fill="auto"/>
            <w:noWrap/>
            <w:vAlign w:val="bottom"/>
            <w:hideMark/>
          </w:tcPr>
          <w:p w14:paraId="2F6CE177" w14:textId="77777777" w:rsidR="00EF14FB" w:rsidRPr="005C07CF" w:rsidRDefault="00EF14FB" w:rsidP="00EF14FB">
            <w:pPr>
              <w:jc w:val="right"/>
              <w:rPr>
                <w:color w:val="000000"/>
                <w:sz w:val="22"/>
                <w:szCs w:val="22"/>
              </w:rPr>
            </w:pPr>
            <w:r>
              <w:rPr>
                <w:color w:val="000000"/>
                <w:sz w:val="22"/>
                <w:szCs w:val="22"/>
              </w:rPr>
              <w:t>38,974</w:t>
            </w:r>
            <w:r w:rsidRPr="005C07CF">
              <w:rPr>
                <w:color w:val="000000"/>
                <w:sz w:val="22"/>
                <w:szCs w:val="22"/>
              </w:rPr>
              <w:t xml:space="preserve">                     --   </w:t>
            </w:r>
          </w:p>
        </w:tc>
        <w:tc>
          <w:tcPr>
            <w:tcW w:w="1729" w:type="dxa"/>
            <w:tcBorders>
              <w:top w:val="nil"/>
              <w:left w:val="nil"/>
              <w:bottom w:val="single" w:sz="4" w:space="0" w:color="auto"/>
              <w:right w:val="nil"/>
            </w:tcBorders>
            <w:shd w:val="clear" w:color="auto" w:fill="auto"/>
            <w:noWrap/>
            <w:vAlign w:val="bottom"/>
            <w:hideMark/>
          </w:tcPr>
          <w:p w14:paraId="7F125F8E" w14:textId="77777777" w:rsidR="00EF14FB" w:rsidRPr="005C07CF" w:rsidRDefault="00EF14FB" w:rsidP="00EF14FB">
            <w:pPr>
              <w:jc w:val="right"/>
              <w:rPr>
                <w:color w:val="000000"/>
                <w:sz w:val="22"/>
                <w:szCs w:val="22"/>
              </w:rPr>
            </w:pPr>
            <w:r w:rsidRPr="005C07CF">
              <w:rPr>
                <w:color w:val="000000"/>
                <w:sz w:val="22"/>
                <w:szCs w:val="22"/>
              </w:rPr>
              <w:t>(</w:t>
            </w:r>
            <w:r>
              <w:rPr>
                <w:color w:val="000000"/>
                <w:sz w:val="22"/>
                <w:szCs w:val="22"/>
              </w:rPr>
              <w:t>6,016,</w:t>
            </w:r>
            <w:r w:rsidRPr="005C07CF">
              <w:rPr>
                <w:color w:val="000000"/>
                <w:sz w:val="22"/>
                <w:szCs w:val="22"/>
              </w:rPr>
              <w:t>1</w:t>
            </w:r>
            <w:r>
              <w:rPr>
                <w:color w:val="000000"/>
                <w:sz w:val="22"/>
                <w:szCs w:val="22"/>
              </w:rPr>
              <w:t>35</w:t>
            </w:r>
            <w:r w:rsidRPr="005C07CF">
              <w:rPr>
                <w:color w:val="000000"/>
                <w:sz w:val="22"/>
                <w:szCs w:val="22"/>
              </w:rPr>
              <w:t>)</w:t>
            </w:r>
          </w:p>
        </w:tc>
        <w:tc>
          <w:tcPr>
            <w:tcW w:w="300" w:type="dxa"/>
            <w:tcBorders>
              <w:top w:val="nil"/>
              <w:left w:val="nil"/>
              <w:bottom w:val="nil"/>
              <w:right w:val="single" w:sz="4" w:space="0" w:color="auto"/>
            </w:tcBorders>
            <w:shd w:val="clear" w:color="auto" w:fill="auto"/>
            <w:noWrap/>
            <w:vAlign w:val="bottom"/>
            <w:hideMark/>
          </w:tcPr>
          <w:p w14:paraId="7EE8CCCF"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r>
      <w:tr w:rsidR="00EF14FB" w:rsidRPr="005C07CF" w14:paraId="2ADC5D47" w14:textId="77777777" w:rsidTr="00EF14FB">
        <w:trPr>
          <w:trHeight w:hRule="exact" w:val="302"/>
          <w:jc w:val="center"/>
        </w:trPr>
        <w:tc>
          <w:tcPr>
            <w:tcW w:w="266" w:type="dxa"/>
            <w:tcBorders>
              <w:top w:val="nil"/>
              <w:left w:val="single" w:sz="4" w:space="0" w:color="auto"/>
              <w:bottom w:val="nil"/>
              <w:right w:val="nil"/>
            </w:tcBorders>
            <w:shd w:val="clear" w:color="auto" w:fill="auto"/>
            <w:noWrap/>
            <w:vAlign w:val="bottom"/>
            <w:hideMark/>
          </w:tcPr>
          <w:p w14:paraId="387BD257"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14:paraId="01412AAD" w14:textId="77777777" w:rsidR="00EF14FB" w:rsidRPr="005C07CF" w:rsidRDefault="00EF14FB" w:rsidP="00EF14FB">
            <w:pPr>
              <w:rPr>
                <w:color w:val="000000"/>
                <w:sz w:val="22"/>
                <w:szCs w:val="22"/>
              </w:rPr>
            </w:pPr>
            <w:r w:rsidRPr="005C07CF">
              <w:rPr>
                <w:color w:val="000000"/>
                <w:sz w:val="22"/>
                <w:szCs w:val="22"/>
              </w:rPr>
              <w:t>Net Plant in Service</w:t>
            </w:r>
          </w:p>
        </w:tc>
        <w:tc>
          <w:tcPr>
            <w:tcW w:w="2070" w:type="dxa"/>
            <w:tcBorders>
              <w:top w:val="nil"/>
              <w:left w:val="nil"/>
              <w:bottom w:val="nil"/>
              <w:right w:val="nil"/>
            </w:tcBorders>
            <w:shd w:val="clear" w:color="auto" w:fill="auto"/>
            <w:noWrap/>
            <w:vAlign w:val="bottom"/>
            <w:hideMark/>
          </w:tcPr>
          <w:p w14:paraId="3C0EE4DF" w14:textId="77777777" w:rsidR="00EF14FB" w:rsidRPr="005C07CF" w:rsidRDefault="00EF14FB" w:rsidP="00EF14FB">
            <w:pPr>
              <w:jc w:val="right"/>
              <w:rPr>
                <w:color w:val="000000"/>
                <w:sz w:val="22"/>
                <w:szCs w:val="22"/>
              </w:rPr>
            </w:pPr>
            <w:r w:rsidRPr="005C07CF">
              <w:rPr>
                <w:color w:val="000000"/>
                <w:sz w:val="22"/>
                <w:szCs w:val="22"/>
              </w:rPr>
              <w:t>$</w:t>
            </w:r>
            <w:r>
              <w:rPr>
                <w:color w:val="000000"/>
                <w:sz w:val="22"/>
                <w:szCs w:val="22"/>
              </w:rPr>
              <w:t>2,981,900</w:t>
            </w:r>
            <w:r w:rsidRPr="005C07CF">
              <w:rPr>
                <w:color w:val="000000"/>
                <w:sz w:val="22"/>
                <w:szCs w:val="22"/>
              </w:rPr>
              <w:t xml:space="preserve"> </w:t>
            </w:r>
          </w:p>
        </w:tc>
        <w:tc>
          <w:tcPr>
            <w:tcW w:w="1440" w:type="dxa"/>
            <w:tcBorders>
              <w:top w:val="nil"/>
              <w:left w:val="nil"/>
              <w:bottom w:val="nil"/>
              <w:right w:val="nil"/>
            </w:tcBorders>
            <w:shd w:val="clear" w:color="auto" w:fill="auto"/>
            <w:noWrap/>
            <w:vAlign w:val="bottom"/>
            <w:hideMark/>
          </w:tcPr>
          <w:p w14:paraId="226F176E" w14:textId="77777777" w:rsidR="00EF14FB" w:rsidRPr="005C07CF" w:rsidRDefault="00EF14FB" w:rsidP="00EF14FB">
            <w:pPr>
              <w:jc w:val="right"/>
              <w:rPr>
                <w:color w:val="000000"/>
                <w:sz w:val="22"/>
                <w:szCs w:val="22"/>
              </w:rPr>
            </w:pPr>
            <w:r>
              <w:rPr>
                <w:color w:val="000000"/>
                <w:sz w:val="22"/>
                <w:szCs w:val="22"/>
              </w:rPr>
              <w:t>(19,799)</w:t>
            </w:r>
            <w:r w:rsidRPr="005C07CF">
              <w:rPr>
                <w:color w:val="000000"/>
                <w:sz w:val="22"/>
                <w:szCs w:val="22"/>
              </w:rPr>
              <w:t xml:space="preserve">                      --   </w:t>
            </w:r>
          </w:p>
        </w:tc>
        <w:tc>
          <w:tcPr>
            <w:tcW w:w="1729" w:type="dxa"/>
            <w:tcBorders>
              <w:top w:val="nil"/>
              <w:left w:val="nil"/>
              <w:bottom w:val="nil"/>
              <w:right w:val="nil"/>
            </w:tcBorders>
            <w:shd w:val="clear" w:color="auto" w:fill="auto"/>
            <w:noWrap/>
            <w:vAlign w:val="bottom"/>
            <w:hideMark/>
          </w:tcPr>
          <w:p w14:paraId="1AE2A2CA" w14:textId="77777777" w:rsidR="00EF14FB" w:rsidRPr="005C07CF" w:rsidRDefault="00EF14FB" w:rsidP="00EF14FB">
            <w:pPr>
              <w:jc w:val="right"/>
              <w:rPr>
                <w:color w:val="000000"/>
                <w:sz w:val="22"/>
                <w:szCs w:val="22"/>
              </w:rPr>
            </w:pPr>
            <w:r w:rsidRPr="005C07CF">
              <w:rPr>
                <w:color w:val="000000"/>
                <w:sz w:val="22"/>
                <w:szCs w:val="22"/>
              </w:rPr>
              <w:t>$</w:t>
            </w:r>
            <w:r>
              <w:rPr>
                <w:color w:val="000000"/>
                <w:sz w:val="22"/>
                <w:szCs w:val="22"/>
              </w:rPr>
              <w:t>2,962,101</w:t>
            </w:r>
            <w:r w:rsidRPr="005C07CF">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14:paraId="038BF255"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r>
      <w:tr w:rsidR="00EF14FB" w:rsidRPr="005C07CF" w14:paraId="0DC903E0" w14:textId="77777777" w:rsidTr="00EF14FB">
        <w:trPr>
          <w:trHeight w:hRule="exact" w:val="302"/>
          <w:jc w:val="center"/>
        </w:trPr>
        <w:tc>
          <w:tcPr>
            <w:tcW w:w="266" w:type="dxa"/>
            <w:tcBorders>
              <w:top w:val="nil"/>
              <w:left w:val="single" w:sz="4" w:space="0" w:color="auto"/>
              <w:bottom w:val="nil"/>
              <w:right w:val="nil"/>
            </w:tcBorders>
            <w:shd w:val="clear" w:color="auto" w:fill="auto"/>
            <w:noWrap/>
            <w:vAlign w:val="bottom"/>
            <w:hideMark/>
          </w:tcPr>
          <w:p w14:paraId="62F341AF"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14:paraId="292BCF10" w14:textId="77777777" w:rsidR="00EF14FB" w:rsidRPr="005C07CF" w:rsidRDefault="00EF14FB" w:rsidP="00EF14FB">
            <w:pPr>
              <w:rPr>
                <w:color w:val="000000"/>
                <w:sz w:val="22"/>
                <w:szCs w:val="22"/>
              </w:rPr>
            </w:pPr>
            <w:r w:rsidRPr="005C07CF">
              <w:rPr>
                <w:color w:val="000000"/>
                <w:sz w:val="22"/>
                <w:szCs w:val="22"/>
              </w:rPr>
              <w:t>Construction Work In Progress</w:t>
            </w:r>
          </w:p>
        </w:tc>
        <w:tc>
          <w:tcPr>
            <w:tcW w:w="2070" w:type="dxa"/>
            <w:tcBorders>
              <w:top w:val="nil"/>
              <w:left w:val="nil"/>
              <w:bottom w:val="single" w:sz="4" w:space="0" w:color="auto"/>
              <w:right w:val="nil"/>
            </w:tcBorders>
            <w:shd w:val="clear" w:color="auto" w:fill="auto"/>
            <w:noWrap/>
            <w:vAlign w:val="bottom"/>
            <w:hideMark/>
          </w:tcPr>
          <w:p w14:paraId="10B34F4A" w14:textId="77777777" w:rsidR="00EF14FB" w:rsidRPr="005C07CF" w:rsidRDefault="00EF14FB" w:rsidP="00EF14FB">
            <w:pPr>
              <w:jc w:val="right"/>
              <w:rPr>
                <w:color w:val="000000"/>
                <w:sz w:val="22"/>
                <w:szCs w:val="22"/>
              </w:rPr>
            </w:pPr>
            <w:r>
              <w:rPr>
                <w:color w:val="000000"/>
                <w:sz w:val="22"/>
                <w:szCs w:val="22"/>
              </w:rPr>
              <w:t>158,646</w:t>
            </w:r>
            <w:r w:rsidRPr="005C07CF">
              <w:rPr>
                <w:color w:val="000000"/>
                <w:sz w:val="22"/>
                <w:szCs w:val="22"/>
              </w:rPr>
              <w:t xml:space="preserve"> </w:t>
            </w:r>
          </w:p>
        </w:tc>
        <w:tc>
          <w:tcPr>
            <w:tcW w:w="1440" w:type="dxa"/>
            <w:tcBorders>
              <w:top w:val="nil"/>
              <w:left w:val="nil"/>
              <w:bottom w:val="single" w:sz="4" w:space="0" w:color="auto"/>
              <w:right w:val="nil"/>
            </w:tcBorders>
            <w:shd w:val="clear" w:color="auto" w:fill="auto"/>
            <w:noWrap/>
            <w:vAlign w:val="bottom"/>
            <w:hideMark/>
          </w:tcPr>
          <w:p w14:paraId="49F57F62" w14:textId="77777777" w:rsidR="00EF14FB" w:rsidRPr="005C07CF" w:rsidRDefault="00EF14FB" w:rsidP="00EF14FB">
            <w:pPr>
              <w:jc w:val="right"/>
              <w:rPr>
                <w:color w:val="000000"/>
                <w:sz w:val="22"/>
                <w:szCs w:val="22"/>
              </w:rPr>
            </w:pPr>
            <w:r w:rsidRPr="005C07CF">
              <w:rPr>
                <w:color w:val="000000"/>
                <w:sz w:val="22"/>
                <w:szCs w:val="22"/>
              </w:rPr>
              <w:t xml:space="preserve">-                      --   </w:t>
            </w:r>
          </w:p>
        </w:tc>
        <w:tc>
          <w:tcPr>
            <w:tcW w:w="1729" w:type="dxa"/>
            <w:tcBorders>
              <w:top w:val="nil"/>
              <w:left w:val="nil"/>
              <w:bottom w:val="single" w:sz="4" w:space="0" w:color="auto"/>
              <w:right w:val="nil"/>
            </w:tcBorders>
            <w:shd w:val="clear" w:color="auto" w:fill="auto"/>
            <w:noWrap/>
            <w:vAlign w:val="bottom"/>
            <w:hideMark/>
          </w:tcPr>
          <w:p w14:paraId="6A24A09A" w14:textId="77777777" w:rsidR="00EF14FB" w:rsidRPr="005C07CF" w:rsidRDefault="00EF14FB" w:rsidP="00EF14FB">
            <w:pPr>
              <w:jc w:val="right"/>
              <w:rPr>
                <w:color w:val="000000"/>
                <w:sz w:val="22"/>
                <w:szCs w:val="22"/>
              </w:rPr>
            </w:pPr>
            <w:r>
              <w:rPr>
                <w:color w:val="000000"/>
                <w:sz w:val="22"/>
                <w:szCs w:val="22"/>
              </w:rPr>
              <w:t>158,646</w:t>
            </w:r>
            <w:r w:rsidRPr="005C07CF">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14:paraId="1A321129"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r>
      <w:tr w:rsidR="00EF14FB" w:rsidRPr="005C07CF" w14:paraId="13FD4F93" w14:textId="77777777" w:rsidTr="00EF14FB">
        <w:trPr>
          <w:trHeight w:hRule="exact" w:val="302"/>
          <w:jc w:val="center"/>
        </w:trPr>
        <w:tc>
          <w:tcPr>
            <w:tcW w:w="266" w:type="dxa"/>
            <w:tcBorders>
              <w:top w:val="nil"/>
              <w:left w:val="single" w:sz="4" w:space="0" w:color="auto"/>
              <w:bottom w:val="nil"/>
              <w:right w:val="nil"/>
            </w:tcBorders>
            <w:shd w:val="clear" w:color="auto" w:fill="auto"/>
            <w:noWrap/>
            <w:vAlign w:val="bottom"/>
            <w:hideMark/>
          </w:tcPr>
          <w:p w14:paraId="73A661C4"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14:paraId="5101A1A6" w14:textId="77777777" w:rsidR="00EF14FB" w:rsidRPr="005C07CF" w:rsidRDefault="00EF14FB" w:rsidP="00EF14FB">
            <w:pPr>
              <w:rPr>
                <w:color w:val="000000"/>
                <w:sz w:val="22"/>
                <w:szCs w:val="22"/>
              </w:rPr>
            </w:pPr>
            <w:r w:rsidRPr="005C07CF">
              <w:rPr>
                <w:color w:val="000000"/>
                <w:sz w:val="22"/>
                <w:szCs w:val="22"/>
              </w:rPr>
              <w:t>Net Utility Plant</w:t>
            </w:r>
          </w:p>
        </w:tc>
        <w:tc>
          <w:tcPr>
            <w:tcW w:w="2070" w:type="dxa"/>
            <w:tcBorders>
              <w:top w:val="nil"/>
              <w:left w:val="nil"/>
              <w:right w:val="nil"/>
            </w:tcBorders>
            <w:shd w:val="clear" w:color="auto" w:fill="auto"/>
            <w:noWrap/>
            <w:vAlign w:val="bottom"/>
            <w:hideMark/>
          </w:tcPr>
          <w:p w14:paraId="46A34A7A" w14:textId="77777777" w:rsidR="00EF14FB" w:rsidRPr="005C07CF" w:rsidRDefault="00EF14FB" w:rsidP="00EF14FB">
            <w:pPr>
              <w:jc w:val="right"/>
              <w:rPr>
                <w:color w:val="000000"/>
                <w:sz w:val="22"/>
                <w:szCs w:val="22"/>
              </w:rPr>
            </w:pPr>
            <w:r w:rsidRPr="005C07CF">
              <w:rPr>
                <w:color w:val="000000"/>
                <w:sz w:val="22"/>
                <w:szCs w:val="22"/>
              </w:rPr>
              <w:t>$</w:t>
            </w:r>
            <w:r>
              <w:rPr>
                <w:color w:val="000000"/>
                <w:sz w:val="22"/>
                <w:szCs w:val="22"/>
              </w:rPr>
              <w:t>3,140,546</w:t>
            </w:r>
            <w:r w:rsidRPr="005C07CF">
              <w:rPr>
                <w:color w:val="000000"/>
                <w:sz w:val="22"/>
                <w:szCs w:val="22"/>
              </w:rPr>
              <w:t xml:space="preserve"> </w:t>
            </w:r>
          </w:p>
        </w:tc>
        <w:tc>
          <w:tcPr>
            <w:tcW w:w="1440" w:type="dxa"/>
            <w:tcBorders>
              <w:top w:val="nil"/>
              <w:left w:val="nil"/>
              <w:right w:val="nil"/>
            </w:tcBorders>
            <w:shd w:val="clear" w:color="auto" w:fill="auto"/>
            <w:noWrap/>
            <w:vAlign w:val="bottom"/>
            <w:hideMark/>
          </w:tcPr>
          <w:p w14:paraId="016CF6C0" w14:textId="77777777" w:rsidR="00EF14FB" w:rsidRPr="005C07CF" w:rsidRDefault="00EF14FB" w:rsidP="00EF14FB">
            <w:pPr>
              <w:jc w:val="right"/>
              <w:rPr>
                <w:color w:val="000000"/>
                <w:sz w:val="22"/>
                <w:szCs w:val="22"/>
              </w:rPr>
            </w:pPr>
            <w:r>
              <w:rPr>
                <w:color w:val="000000"/>
                <w:sz w:val="22"/>
                <w:szCs w:val="22"/>
              </w:rPr>
              <w:t>(19,799)</w:t>
            </w:r>
            <w:r w:rsidRPr="005C07CF">
              <w:rPr>
                <w:color w:val="000000"/>
                <w:sz w:val="22"/>
                <w:szCs w:val="22"/>
              </w:rPr>
              <w:t xml:space="preserve">                      --   </w:t>
            </w:r>
          </w:p>
        </w:tc>
        <w:tc>
          <w:tcPr>
            <w:tcW w:w="1729" w:type="dxa"/>
            <w:tcBorders>
              <w:top w:val="nil"/>
              <w:left w:val="nil"/>
              <w:right w:val="nil"/>
            </w:tcBorders>
            <w:shd w:val="clear" w:color="auto" w:fill="auto"/>
            <w:noWrap/>
            <w:vAlign w:val="bottom"/>
            <w:hideMark/>
          </w:tcPr>
          <w:p w14:paraId="4C42E1B7" w14:textId="77777777" w:rsidR="00EF14FB" w:rsidRPr="005C07CF" w:rsidRDefault="00EF14FB" w:rsidP="00EF14FB">
            <w:pPr>
              <w:jc w:val="right"/>
              <w:rPr>
                <w:color w:val="000000"/>
                <w:sz w:val="22"/>
                <w:szCs w:val="22"/>
              </w:rPr>
            </w:pPr>
            <w:r w:rsidRPr="005C07CF">
              <w:rPr>
                <w:color w:val="000000"/>
                <w:sz w:val="22"/>
                <w:szCs w:val="22"/>
              </w:rPr>
              <w:t>$</w:t>
            </w:r>
            <w:r>
              <w:rPr>
                <w:color w:val="000000"/>
                <w:sz w:val="22"/>
                <w:szCs w:val="22"/>
              </w:rPr>
              <w:t>3,120,747</w:t>
            </w:r>
            <w:r w:rsidRPr="005C07CF">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14:paraId="3CDA0BA3"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r>
      <w:tr w:rsidR="00EF14FB" w:rsidRPr="005C07CF" w14:paraId="281C07CA" w14:textId="77777777" w:rsidTr="00EF14FB">
        <w:trPr>
          <w:trHeight w:hRule="exact" w:val="302"/>
          <w:jc w:val="center"/>
        </w:trPr>
        <w:tc>
          <w:tcPr>
            <w:tcW w:w="266" w:type="dxa"/>
            <w:tcBorders>
              <w:top w:val="nil"/>
              <w:left w:val="single" w:sz="4" w:space="0" w:color="auto"/>
              <w:bottom w:val="nil"/>
              <w:right w:val="nil"/>
            </w:tcBorders>
            <w:shd w:val="clear" w:color="auto" w:fill="auto"/>
            <w:noWrap/>
            <w:vAlign w:val="bottom"/>
            <w:hideMark/>
          </w:tcPr>
          <w:p w14:paraId="77E26855"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14:paraId="43C96BFB" w14:textId="77777777" w:rsidR="00EF14FB" w:rsidRPr="005C07CF" w:rsidRDefault="00EF14FB" w:rsidP="00EF14FB">
            <w:pPr>
              <w:rPr>
                <w:color w:val="000000"/>
                <w:sz w:val="22"/>
                <w:szCs w:val="22"/>
              </w:rPr>
            </w:pPr>
            <w:r w:rsidRPr="005C07CF">
              <w:rPr>
                <w:color w:val="000000"/>
                <w:sz w:val="22"/>
                <w:szCs w:val="22"/>
              </w:rPr>
              <w:t>Working Capital Allowance</w:t>
            </w:r>
          </w:p>
        </w:tc>
        <w:tc>
          <w:tcPr>
            <w:tcW w:w="2070" w:type="dxa"/>
            <w:tcBorders>
              <w:top w:val="nil"/>
              <w:left w:val="nil"/>
              <w:bottom w:val="single" w:sz="8" w:space="0" w:color="auto"/>
              <w:right w:val="nil"/>
            </w:tcBorders>
            <w:shd w:val="clear" w:color="auto" w:fill="auto"/>
            <w:noWrap/>
            <w:vAlign w:val="bottom"/>
            <w:hideMark/>
          </w:tcPr>
          <w:p w14:paraId="214053A1" w14:textId="77777777" w:rsidR="00EF14FB" w:rsidRPr="005C07CF" w:rsidRDefault="00EF14FB" w:rsidP="00EF14FB">
            <w:pPr>
              <w:jc w:val="right"/>
              <w:rPr>
                <w:color w:val="000000"/>
                <w:sz w:val="22"/>
                <w:szCs w:val="22"/>
              </w:rPr>
            </w:pPr>
            <w:r>
              <w:rPr>
                <w:color w:val="000000"/>
                <w:sz w:val="22"/>
                <w:szCs w:val="22"/>
              </w:rPr>
              <w:t>46,221</w:t>
            </w:r>
            <w:r w:rsidRPr="005C07CF">
              <w:rPr>
                <w:color w:val="000000"/>
                <w:sz w:val="22"/>
                <w:szCs w:val="22"/>
              </w:rPr>
              <w:t xml:space="preserve"> </w:t>
            </w:r>
          </w:p>
        </w:tc>
        <w:tc>
          <w:tcPr>
            <w:tcW w:w="1440" w:type="dxa"/>
            <w:tcBorders>
              <w:top w:val="nil"/>
              <w:left w:val="nil"/>
              <w:bottom w:val="single" w:sz="8" w:space="0" w:color="auto"/>
              <w:right w:val="nil"/>
            </w:tcBorders>
            <w:shd w:val="clear" w:color="auto" w:fill="auto"/>
            <w:noWrap/>
            <w:vAlign w:val="bottom"/>
            <w:hideMark/>
          </w:tcPr>
          <w:p w14:paraId="3BD4F9FE" w14:textId="77777777" w:rsidR="00EF14FB" w:rsidRPr="005C07CF" w:rsidRDefault="00EF14FB" w:rsidP="00EF14FB">
            <w:pPr>
              <w:jc w:val="right"/>
              <w:rPr>
                <w:color w:val="000000"/>
                <w:sz w:val="22"/>
                <w:szCs w:val="22"/>
              </w:rPr>
            </w:pPr>
            <w:r w:rsidRPr="005C07CF">
              <w:rPr>
                <w:color w:val="000000"/>
                <w:sz w:val="22"/>
                <w:szCs w:val="22"/>
              </w:rPr>
              <w:t xml:space="preserve">-                      -   </w:t>
            </w:r>
          </w:p>
        </w:tc>
        <w:tc>
          <w:tcPr>
            <w:tcW w:w="1729" w:type="dxa"/>
            <w:tcBorders>
              <w:top w:val="nil"/>
              <w:left w:val="nil"/>
              <w:bottom w:val="single" w:sz="8" w:space="0" w:color="auto"/>
              <w:right w:val="nil"/>
            </w:tcBorders>
            <w:shd w:val="clear" w:color="auto" w:fill="auto"/>
            <w:noWrap/>
            <w:vAlign w:val="bottom"/>
            <w:hideMark/>
          </w:tcPr>
          <w:p w14:paraId="74874915" w14:textId="77777777" w:rsidR="00EF14FB" w:rsidRPr="005C07CF" w:rsidRDefault="00EF14FB" w:rsidP="00EF14FB">
            <w:pPr>
              <w:jc w:val="right"/>
              <w:rPr>
                <w:color w:val="000000"/>
                <w:sz w:val="22"/>
                <w:szCs w:val="22"/>
              </w:rPr>
            </w:pPr>
            <w:r>
              <w:rPr>
                <w:color w:val="000000"/>
                <w:sz w:val="22"/>
                <w:szCs w:val="22"/>
              </w:rPr>
              <w:t>46,221</w:t>
            </w:r>
            <w:r w:rsidRPr="005C07CF">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14:paraId="050B933C"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r>
      <w:tr w:rsidR="00EF14FB" w:rsidRPr="005C07CF" w14:paraId="27432A11" w14:textId="77777777" w:rsidTr="00EF14FB">
        <w:trPr>
          <w:trHeight w:hRule="exact" w:val="317"/>
          <w:jc w:val="center"/>
        </w:trPr>
        <w:tc>
          <w:tcPr>
            <w:tcW w:w="266" w:type="dxa"/>
            <w:tcBorders>
              <w:top w:val="nil"/>
              <w:left w:val="single" w:sz="4" w:space="0" w:color="auto"/>
              <w:bottom w:val="nil"/>
              <w:right w:val="nil"/>
            </w:tcBorders>
            <w:shd w:val="clear" w:color="auto" w:fill="auto"/>
            <w:noWrap/>
            <w:vAlign w:val="bottom"/>
          </w:tcPr>
          <w:p w14:paraId="5663A38D" w14:textId="77777777" w:rsidR="00EF14FB" w:rsidRPr="005C07CF" w:rsidRDefault="00EF14FB" w:rsidP="00EF14FB">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14:paraId="478649E4" w14:textId="77777777" w:rsidR="00EF14FB" w:rsidRPr="005C07CF" w:rsidRDefault="00EF14FB" w:rsidP="00EF14FB">
            <w:pPr>
              <w:rPr>
                <w:color w:val="000000"/>
                <w:sz w:val="22"/>
                <w:szCs w:val="22"/>
              </w:rPr>
            </w:pPr>
            <w:r>
              <w:rPr>
                <w:color w:val="000000"/>
                <w:sz w:val="22"/>
                <w:szCs w:val="22"/>
              </w:rPr>
              <w:t>Total Rate Base</w:t>
            </w:r>
          </w:p>
        </w:tc>
        <w:tc>
          <w:tcPr>
            <w:tcW w:w="2070" w:type="dxa"/>
            <w:tcBorders>
              <w:top w:val="single" w:sz="8" w:space="0" w:color="auto"/>
              <w:left w:val="nil"/>
              <w:bottom w:val="single" w:sz="8" w:space="0" w:color="auto"/>
              <w:right w:val="nil"/>
            </w:tcBorders>
            <w:shd w:val="clear" w:color="auto" w:fill="auto"/>
            <w:noWrap/>
            <w:vAlign w:val="bottom"/>
          </w:tcPr>
          <w:p w14:paraId="05CD785D" w14:textId="77777777" w:rsidR="00EF14FB" w:rsidRPr="005C07CF" w:rsidRDefault="00EF14FB" w:rsidP="00EF14FB">
            <w:pPr>
              <w:jc w:val="right"/>
              <w:rPr>
                <w:color w:val="000000"/>
                <w:sz w:val="22"/>
                <w:szCs w:val="22"/>
              </w:rPr>
            </w:pPr>
            <w:r>
              <w:rPr>
                <w:color w:val="000000"/>
                <w:sz w:val="22"/>
                <w:szCs w:val="22"/>
              </w:rPr>
              <w:t>$3,186,767</w:t>
            </w:r>
          </w:p>
        </w:tc>
        <w:tc>
          <w:tcPr>
            <w:tcW w:w="1440" w:type="dxa"/>
            <w:tcBorders>
              <w:top w:val="single" w:sz="8" w:space="0" w:color="auto"/>
              <w:left w:val="nil"/>
              <w:bottom w:val="single" w:sz="8" w:space="0" w:color="auto"/>
              <w:right w:val="nil"/>
            </w:tcBorders>
            <w:shd w:val="clear" w:color="auto" w:fill="auto"/>
            <w:noWrap/>
            <w:vAlign w:val="bottom"/>
          </w:tcPr>
          <w:p w14:paraId="368F34AB" w14:textId="77777777" w:rsidR="00EF14FB" w:rsidRPr="005C07CF" w:rsidRDefault="00EF14FB" w:rsidP="00EF14FB">
            <w:pPr>
              <w:jc w:val="right"/>
              <w:rPr>
                <w:color w:val="000000"/>
                <w:sz w:val="22"/>
                <w:szCs w:val="22"/>
              </w:rPr>
            </w:pPr>
            <w:r>
              <w:rPr>
                <w:color w:val="000000"/>
                <w:sz w:val="22"/>
                <w:szCs w:val="22"/>
              </w:rPr>
              <w:t>(19,799)</w:t>
            </w:r>
          </w:p>
        </w:tc>
        <w:tc>
          <w:tcPr>
            <w:tcW w:w="1729" w:type="dxa"/>
            <w:tcBorders>
              <w:top w:val="single" w:sz="8" w:space="0" w:color="auto"/>
              <w:left w:val="nil"/>
              <w:bottom w:val="single" w:sz="8" w:space="0" w:color="auto"/>
              <w:right w:val="nil"/>
            </w:tcBorders>
            <w:shd w:val="clear" w:color="auto" w:fill="auto"/>
            <w:noWrap/>
            <w:vAlign w:val="bottom"/>
          </w:tcPr>
          <w:p w14:paraId="2EE45665" w14:textId="77777777" w:rsidR="00EF14FB" w:rsidRPr="005C07CF" w:rsidRDefault="00EF14FB" w:rsidP="00EF14FB">
            <w:pPr>
              <w:jc w:val="right"/>
              <w:rPr>
                <w:color w:val="000000"/>
                <w:sz w:val="22"/>
                <w:szCs w:val="22"/>
              </w:rPr>
            </w:pPr>
            <w:r>
              <w:rPr>
                <w:color w:val="000000"/>
                <w:sz w:val="22"/>
                <w:szCs w:val="22"/>
              </w:rPr>
              <w:t>$3,166,968</w:t>
            </w:r>
          </w:p>
        </w:tc>
        <w:tc>
          <w:tcPr>
            <w:tcW w:w="300" w:type="dxa"/>
            <w:tcBorders>
              <w:top w:val="nil"/>
              <w:left w:val="nil"/>
              <w:bottom w:val="nil"/>
              <w:right w:val="single" w:sz="4" w:space="0" w:color="auto"/>
            </w:tcBorders>
            <w:shd w:val="clear" w:color="auto" w:fill="auto"/>
            <w:noWrap/>
            <w:vAlign w:val="bottom"/>
          </w:tcPr>
          <w:p w14:paraId="08D3251B" w14:textId="77777777" w:rsidR="00EF14FB" w:rsidRPr="005C07CF" w:rsidRDefault="00EF14FB" w:rsidP="00EF14FB">
            <w:pPr>
              <w:rPr>
                <w:rFonts w:ascii="Calibri" w:hAnsi="Calibri"/>
                <w:color w:val="000000"/>
                <w:sz w:val="22"/>
                <w:szCs w:val="22"/>
              </w:rPr>
            </w:pPr>
          </w:p>
        </w:tc>
      </w:tr>
      <w:tr w:rsidR="00EF14FB" w:rsidRPr="005C07CF" w14:paraId="5110EA0E" w14:textId="77777777" w:rsidTr="00EF14FB">
        <w:trPr>
          <w:trHeight w:hRule="exact" w:val="317"/>
          <w:jc w:val="center"/>
        </w:trPr>
        <w:tc>
          <w:tcPr>
            <w:tcW w:w="266" w:type="dxa"/>
            <w:tcBorders>
              <w:top w:val="nil"/>
              <w:left w:val="single" w:sz="4" w:space="0" w:color="auto"/>
              <w:bottom w:val="nil"/>
              <w:right w:val="nil"/>
            </w:tcBorders>
            <w:shd w:val="clear" w:color="auto" w:fill="auto"/>
            <w:noWrap/>
            <w:vAlign w:val="bottom"/>
            <w:hideMark/>
          </w:tcPr>
          <w:p w14:paraId="56B19CED"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14:paraId="76DE0643" w14:textId="77777777" w:rsidR="00EF14FB" w:rsidRPr="005C07CF" w:rsidRDefault="00EF14FB" w:rsidP="00EF14FB">
            <w:pPr>
              <w:rPr>
                <w:color w:val="000000"/>
                <w:sz w:val="22"/>
                <w:szCs w:val="22"/>
              </w:rPr>
            </w:pPr>
          </w:p>
        </w:tc>
        <w:tc>
          <w:tcPr>
            <w:tcW w:w="2070" w:type="dxa"/>
            <w:tcBorders>
              <w:top w:val="single" w:sz="8" w:space="0" w:color="auto"/>
              <w:left w:val="nil"/>
              <w:bottom w:val="nil"/>
              <w:right w:val="nil"/>
            </w:tcBorders>
            <w:shd w:val="clear" w:color="auto" w:fill="auto"/>
            <w:noWrap/>
            <w:vAlign w:val="bottom"/>
            <w:hideMark/>
          </w:tcPr>
          <w:p w14:paraId="3EA33432" w14:textId="77777777" w:rsidR="00EF14FB" w:rsidRPr="005C07CF" w:rsidRDefault="00EF14FB" w:rsidP="00EF14FB">
            <w:pPr>
              <w:jc w:val="right"/>
              <w:rPr>
                <w:color w:val="000000"/>
                <w:sz w:val="22"/>
                <w:szCs w:val="22"/>
              </w:rPr>
            </w:pPr>
          </w:p>
        </w:tc>
        <w:tc>
          <w:tcPr>
            <w:tcW w:w="1440" w:type="dxa"/>
            <w:tcBorders>
              <w:top w:val="single" w:sz="8" w:space="0" w:color="auto"/>
              <w:left w:val="nil"/>
              <w:bottom w:val="nil"/>
              <w:right w:val="nil"/>
            </w:tcBorders>
            <w:shd w:val="clear" w:color="auto" w:fill="auto"/>
            <w:noWrap/>
            <w:vAlign w:val="bottom"/>
            <w:hideMark/>
          </w:tcPr>
          <w:p w14:paraId="161645BF" w14:textId="77777777" w:rsidR="00EF14FB" w:rsidRPr="005C07CF" w:rsidRDefault="00EF14FB" w:rsidP="00EF14FB">
            <w:pPr>
              <w:rPr>
                <w:color w:val="000000"/>
                <w:sz w:val="22"/>
                <w:szCs w:val="22"/>
              </w:rPr>
            </w:pPr>
          </w:p>
        </w:tc>
        <w:tc>
          <w:tcPr>
            <w:tcW w:w="1729" w:type="dxa"/>
            <w:tcBorders>
              <w:top w:val="single" w:sz="8" w:space="0" w:color="auto"/>
              <w:left w:val="nil"/>
              <w:bottom w:val="nil"/>
              <w:right w:val="nil"/>
            </w:tcBorders>
            <w:shd w:val="clear" w:color="auto" w:fill="auto"/>
            <w:noWrap/>
            <w:vAlign w:val="bottom"/>
            <w:hideMark/>
          </w:tcPr>
          <w:p w14:paraId="6F7E7338" w14:textId="77777777" w:rsidR="00EF14FB" w:rsidRPr="005C07CF" w:rsidRDefault="00EF14FB" w:rsidP="00EF14FB">
            <w:pPr>
              <w:rPr>
                <w:color w:val="000000"/>
                <w:sz w:val="22"/>
                <w:szCs w:val="22"/>
              </w:rPr>
            </w:pPr>
          </w:p>
        </w:tc>
        <w:tc>
          <w:tcPr>
            <w:tcW w:w="300" w:type="dxa"/>
            <w:tcBorders>
              <w:top w:val="nil"/>
              <w:left w:val="nil"/>
              <w:bottom w:val="nil"/>
              <w:right w:val="single" w:sz="4" w:space="0" w:color="auto"/>
            </w:tcBorders>
            <w:shd w:val="clear" w:color="auto" w:fill="auto"/>
            <w:noWrap/>
            <w:vAlign w:val="bottom"/>
            <w:hideMark/>
          </w:tcPr>
          <w:p w14:paraId="61172C72"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r>
      <w:tr w:rsidR="00EF14FB" w:rsidRPr="005C07CF" w14:paraId="1171B9F9" w14:textId="77777777" w:rsidTr="00EF14FB">
        <w:trPr>
          <w:trHeight w:hRule="exact" w:val="302"/>
          <w:jc w:val="center"/>
        </w:trPr>
        <w:tc>
          <w:tcPr>
            <w:tcW w:w="266" w:type="dxa"/>
            <w:tcBorders>
              <w:top w:val="nil"/>
              <w:left w:val="single" w:sz="4" w:space="0" w:color="auto"/>
              <w:bottom w:val="nil"/>
              <w:right w:val="nil"/>
            </w:tcBorders>
            <w:shd w:val="clear" w:color="auto" w:fill="auto"/>
            <w:noWrap/>
            <w:vAlign w:val="bottom"/>
            <w:hideMark/>
          </w:tcPr>
          <w:p w14:paraId="10EFF05C"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14:paraId="5FE4A1A8" w14:textId="77777777" w:rsidR="00EF14FB" w:rsidRPr="005C07CF" w:rsidRDefault="00EF14FB" w:rsidP="00EF14FB">
            <w:pPr>
              <w:rPr>
                <w:color w:val="000000"/>
                <w:sz w:val="22"/>
                <w:szCs w:val="22"/>
              </w:rPr>
            </w:pPr>
          </w:p>
        </w:tc>
        <w:tc>
          <w:tcPr>
            <w:tcW w:w="2070" w:type="dxa"/>
            <w:tcBorders>
              <w:top w:val="nil"/>
              <w:left w:val="nil"/>
              <w:bottom w:val="nil"/>
              <w:right w:val="nil"/>
            </w:tcBorders>
            <w:shd w:val="clear" w:color="auto" w:fill="auto"/>
            <w:noWrap/>
            <w:vAlign w:val="bottom"/>
          </w:tcPr>
          <w:p w14:paraId="611A98A0" w14:textId="77777777" w:rsidR="00EF14FB" w:rsidRPr="005C07CF" w:rsidRDefault="00EF14FB" w:rsidP="00EF14FB">
            <w:pPr>
              <w:jc w:val="center"/>
              <w:rPr>
                <w:color w:val="000000"/>
                <w:sz w:val="22"/>
                <w:szCs w:val="22"/>
              </w:rPr>
            </w:pPr>
          </w:p>
        </w:tc>
        <w:tc>
          <w:tcPr>
            <w:tcW w:w="1440" w:type="dxa"/>
            <w:tcBorders>
              <w:top w:val="nil"/>
              <w:left w:val="nil"/>
              <w:bottom w:val="nil"/>
              <w:right w:val="nil"/>
            </w:tcBorders>
            <w:shd w:val="clear" w:color="auto" w:fill="auto"/>
            <w:noWrap/>
            <w:vAlign w:val="bottom"/>
          </w:tcPr>
          <w:p w14:paraId="545E0FDC" w14:textId="77777777" w:rsidR="00EF14FB" w:rsidRPr="005C07CF" w:rsidRDefault="00EF14FB" w:rsidP="00EF14FB">
            <w:pPr>
              <w:jc w:val="center"/>
              <w:rPr>
                <w:color w:val="000000"/>
                <w:sz w:val="22"/>
                <w:szCs w:val="22"/>
              </w:rPr>
            </w:pPr>
          </w:p>
        </w:tc>
        <w:tc>
          <w:tcPr>
            <w:tcW w:w="1729" w:type="dxa"/>
            <w:tcBorders>
              <w:top w:val="nil"/>
              <w:left w:val="nil"/>
              <w:bottom w:val="nil"/>
              <w:right w:val="nil"/>
            </w:tcBorders>
            <w:shd w:val="clear" w:color="auto" w:fill="auto"/>
            <w:noWrap/>
            <w:vAlign w:val="bottom"/>
          </w:tcPr>
          <w:p w14:paraId="37934DAE" w14:textId="77777777" w:rsidR="00EF14FB" w:rsidRPr="005C07CF" w:rsidRDefault="00EF14FB" w:rsidP="00EF14FB">
            <w:pPr>
              <w:jc w:val="center"/>
              <w:rPr>
                <w:color w:val="000000"/>
                <w:sz w:val="22"/>
                <w:szCs w:val="22"/>
              </w:rPr>
            </w:pPr>
          </w:p>
        </w:tc>
        <w:tc>
          <w:tcPr>
            <w:tcW w:w="300" w:type="dxa"/>
            <w:tcBorders>
              <w:top w:val="nil"/>
              <w:left w:val="nil"/>
              <w:bottom w:val="nil"/>
              <w:right w:val="single" w:sz="4" w:space="0" w:color="auto"/>
            </w:tcBorders>
            <w:shd w:val="clear" w:color="auto" w:fill="auto"/>
            <w:noWrap/>
            <w:vAlign w:val="bottom"/>
            <w:hideMark/>
          </w:tcPr>
          <w:p w14:paraId="2917CF20"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r>
      <w:tr w:rsidR="00EF14FB" w:rsidRPr="005C07CF" w14:paraId="5EA7BC77" w14:textId="77777777" w:rsidTr="00EF14FB">
        <w:trPr>
          <w:trHeight w:hRule="exact" w:val="302"/>
          <w:jc w:val="center"/>
        </w:trPr>
        <w:tc>
          <w:tcPr>
            <w:tcW w:w="266" w:type="dxa"/>
            <w:tcBorders>
              <w:top w:val="nil"/>
              <w:left w:val="single" w:sz="4" w:space="0" w:color="auto"/>
              <w:bottom w:val="nil"/>
              <w:right w:val="nil"/>
            </w:tcBorders>
            <w:shd w:val="clear" w:color="auto" w:fill="auto"/>
            <w:noWrap/>
            <w:vAlign w:val="bottom"/>
            <w:hideMark/>
          </w:tcPr>
          <w:p w14:paraId="52F83389"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14:paraId="16DE03CF" w14:textId="77777777" w:rsidR="00EF14FB" w:rsidRPr="005C07CF" w:rsidRDefault="00EF14FB" w:rsidP="00EF14FB">
            <w:pPr>
              <w:rPr>
                <w:color w:val="000000"/>
                <w:sz w:val="22"/>
                <w:szCs w:val="22"/>
                <w:u w:val="single"/>
              </w:rPr>
            </w:pPr>
            <w:r w:rsidRPr="005C07CF">
              <w:rPr>
                <w:color w:val="000000"/>
                <w:sz w:val="22"/>
                <w:szCs w:val="22"/>
                <w:u w:val="single"/>
              </w:rPr>
              <w:t>Income Statement</w:t>
            </w:r>
          </w:p>
        </w:tc>
        <w:tc>
          <w:tcPr>
            <w:tcW w:w="2070" w:type="dxa"/>
            <w:tcBorders>
              <w:top w:val="nil"/>
              <w:left w:val="nil"/>
              <w:bottom w:val="nil"/>
              <w:right w:val="nil"/>
            </w:tcBorders>
            <w:shd w:val="clear" w:color="auto" w:fill="auto"/>
            <w:noWrap/>
            <w:vAlign w:val="bottom"/>
          </w:tcPr>
          <w:p w14:paraId="5E44EB66" w14:textId="77777777" w:rsidR="00EF14FB" w:rsidRPr="005C07CF" w:rsidRDefault="00EF14FB" w:rsidP="00EF14FB">
            <w:pPr>
              <w:jc w:val="center"/>
              <w:rPr>
                <w:color w:val="000000"/>
                <w:sz w:val="22"/>
                <w:szCs w:val="22"/>
              </w:rPr>
            </w:pPr>
          </w:p>
        </w:tc>
        <w:tc>
          <w:tcPr>
            <w:tcW w:w="1440" w:type="dxa"/>
            <w:tcBorders>
              <w:top w:val="nil"/>
              <w:left w:val="nil"/>
              <w:bottom w:val="nil"/>
              <w:right w:val="nil"/>
            </w:tcBorders>
            <w:shd w:val="clear" w:color="auto" w:fill="auto"/>
            <w:noWrap/>
            <w:vAlign w:val="bottom"/>
          </w:tcPr>
          <w:p w14:paraId="150781AC" w14:textId="77777777" w:rsidR="00EF14FB" w:rsidRPr="005C07CF" w:rsidRDefault="00EF14FB" w:rsidP="00EF14FB">
            <w:pPr>
              <w:jc w:val="center"/>
              <w:rPr>
                <w:color w:val="000000"/>
                <w:sz w:val="22"/>
                <w:szCs w:val="22"/>
              </w:rPr>
            </w:pPr>
          </w:p>
        </w:tc>
        <w:tc>
          <w:tcPr>
            <w:tcW w:w="1729" w:type="dxa"/>
            <w:tcBorders>
              <w:top w:val="nil"/>
              <w:left w:val="nil"/>
              <w:bottom w:val="nil"/>
              <w:right w:val="nil"/>
            </w:tcBorders>
            <w:shd w:val="clear" w:color="auto" w:fill="auto"/>
            <w:noWrap/>
            <w:vAlign w:val="bottom"/>
          </w:tcPr>
          <w:p w14:paraId="5C066040" w14:textId="77777777" w:rsidR="00EF14FB" w:rsidRPr="005C07CF" w:rsidRDefault="00EF14FB" w:rsidP="00EF14FB">
            <w:pPr>
              <w:jc w:val="center"/>
              <w:rPr>
                <w:color w:val="000000"/>
                <w:sz w:val="22"/>
                <w:szCs w:val="22"/>
              </w:rPr>
            </w:pPr>
          </w:p>
        </w:tc>
        <w:tc>
          <w:tcPr>
            <w:tcW w:w="300" w:type="dxa"/>
            <w:tcBorders>
              <w:top w:val="nil"/>
              <w:left w:val="nil"/>
              <w:bottom w:val="nil"/>
              <w:right w:val="single" w:sz="4" w:space="0" w:color="auto"/>
            </w:tcBorders>
            <w:shd w:val="clear" w:color="auto" w:fill="auto"/>
            <w:noWrap/>
            <w:vAlign w:val="bottom"/>
            <w:hideMark/>
          </w:tcPr>
          <w:p w14:paraId="7BA75D00"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r>
      <w:tr w:rsidR="00EF14FB" w:rsidRPr="005C07CF" w14:paraId="78C2F619" w14:textId="77777777" w:rsidTr="00EF14FB">
        <w:trPr>
          <w:trHeight w:hRule="exact" w:val="302"/>
          <w:jc w:val="center"/>
        </w:trPr>
        <w:tc>
          <w:tcPr>
            <w:tcW w:w="266" w:type="dxa"/>
            <w:tcBorders>
              <w:top w:val="nil"/>
              <w:left w:val="single" w:sz="4" w:space="0" w:color="auto"/>
              <w:bottom w:val="nil"/>
              <w:right w:val="nil"/>
            </w:tcBorders>
            <w:shd w:val="clear" w:color="auto" w:fill="auto"/>
            <w:noWrap/>
            <w:vAlign w:val="bottom"/>
            <w:hideMark/>
          </w:tcPr>
          <w:p w14:paraId="63F5F79F"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14:paraId="6E297928" w14:textId="77777777" w:rsidR="00EF14FB" w:rsidRPr="005C07CF" w:rsidRDefault="00EF14FB" w:rsidP="00EF14FB">
            <w:pPr>
              <w:rPr>
                <w:color w:val="000000"/>
                <w:sz w:val="22"/>
                <w:szCs w:val="22"/>
              </w:rPr>
            </w:pPr>
            <w:r w:rsidRPr="005C07CF">
              <w:rPr>
                <w:color w:val="000000"/>
                <w:sz w:val="22"/>
                <w:szCs w:val="22"/>
              </w:rPr>
              <w:t>Operating Revenues</w:t>
            </w:r>
          </w:p>
        </w:tc>
        <w:tc>
          <w:tcPr>
            <w:tcW w:w="2070" w:type="dxa"/>
            <w:tcBorders>
              <w:top w:val="nil"/>
              <w:left w:val="nil"/>
              <w:bottom w:val="single" w:sz="4" w:space="0" w:color="auto"/>
              <w:right w:val="nil"/>
            </w:tcBorders>
            <w:shd w:val="clear" w:color="auto" w:fill="auto"/>
            <w:noWrap/>
            <w:vAlign w:val="bottom"/>
            <w:hideMark/>
          </w:tcPr>
          <w:p w14:paraId="4819F109" w14:textId="77777777" w:rsidR="00EF14FB" w:rsidRPr="005C07CF" w:rsidRDefault="00EF14FB" w:rsidP="00EF14FB">
            <w:pPr>
              <w:jc w:val="right"/>
              <w:rPr>
                <w:color w:val="000000"/>
                <w:sz w:val="22"/>
                <w:szCs w:val="22"/>
              </w:rPr>
            </w:pPr>
            <w:r w:rsidRPr="005C07CF">
              <w:rPr>
                <w:color w:val="000000"/>
                <w:sz w:val="22"/>
                <w:szCs w:val="22"/>
              </w:rPr>
              <w:t>$</w:t>
            </w:r>
            <w:r>
              <w:rPr>
                <w:color w:val="000000"/>
                <w:sz w:val="22"/>
                <w:szCs w:val="22"/>
              </w:rPr>
              <w:t>1,652,727</w:t>
            </w:r>
            <w:r w:rsidRPr="005C07CF">
              <w:rPr>
                <w:color w:val="000000"/>
                <w:sz w:val="22"/>
                <w:szCs w:val="22"/>
              </w:rPr>
              <w:t xml:space="preserve"> </w:t>
            </w:r>
          </w:p>
        </w:tc>
        <w:tc>
          <w:tcPr>
            <w:tcW w:w="1440" w:type="dxa"/>
            <w:tcBorders>
              <w:top w:val="nil"/>
              <w:left w:val="nil"/>
              <w:bottom w:val="single" w:sz="4" w:space="0" w:color="auto"/>
              <w:right w:val="nil"/>
            </w:tcBorders>
            <w:shd w:val="clear" w:color="auto" w:fill="auto"/>
            <w:noWrap/>
            <w:vAlign w:val="bottom"/>
            <w:hideMark/>
          </w:tcPr>
          <w:p w14:paraId="2640C9B4" w14:textId="77777777" w:rsidR="00EF14FB" w:rsidRPr="005C07CF" w:rsidRDefault="00EF14FB" w:rsidP="00EF14FB">
            <w:pPr>
              <w:jc w:val="right"/>
              <w:rPr>
                <w:color w:val="000000"/>
                <w:sz w:val="22"/>
                <w:szCs w:val="22"/>
              </w:rPr>
            </w:pPr>
            <w:r>
              <w:rPr>
                <w:color w:val="000000"/>
                <w:sz w:val="22"/>
                <w:szCs w:val="22"/>
              </w:rPr>
              <w:t>-</w:t>
            </w:r>
            <w:r w:rsidRPr="005C07CF">
              <w:rPr>
                <w:color w:val="000000"/>
                <w:sz w:val="22"/>
                <w:szCs w:val="22"/>
              </w:rPr>
              <w:t xml:space="preserve"> </w:t>
            </w:r>
          </w:p>
        </w:tc>
        <w:tc>
          <w:tcPr>
            <w:tcW w:w="1729" w:type="dxa"/>
            <w:tcBorders>
              <w:top w:val="nil"/>
              <w:left w:val="nil"/>
              <w:bottom w:val="single" w:sz="4" w:space="0" w:color="auto"/>
              <w:right w:val="nil"/>
            </w:tcBorders>
            <w:shd w:val="clear" w:color="auto" w:fill="auto"/>
            <w:noWrap/>
            <w:vAlign w:val="bottom"/>
            <w:hideMark/>
          </w:tcPr>
          <w:p w14:paraId="1E86B34B" w14:textId="77777777" w:rsidR="00EF14FB" w:rsidRPr="005C07CF" w:rsidRDefault="00EF14FB" w:rsidP="00EF14FB">
            <w:pPr>
              <w:jc w:val="right"/>
              <w:rPr>
                <w:color w:val="000000"/>
                <w:sz w:val="22"/>
                <w:szCs w:val="22"/>
              </w:rPr>
            </w:pPr>
            <w:r w:rsidRPr="005C07CF">
              <w:rPr>
                <w:color w:val="000000"/>
                <w:sz w:val="22"/>
                <w:szCs w:val="22"/>
              </w:rPr>
              <w:t>$</w:t>
            </w:r>
            <w:r>
              <w:rPr>
                <w:color w:val="000000"/>
                <w:sz w:val="22"/>
                <w:szCs w:val="22"/>
              </w:rPr>
              <w:t>1,652,727</w:t>
            </w:r>
            <w:r w:rsidRPr="005C07CF">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14:paraId="309900DD" w14:textId="77777777" w:rsidR="00EF14FB" w:rsidRPr="005C07CF" w:rsidRDefault="00EF14FB" w:rsidP="00EF14FB">
            <w:pPr>
              <w:rPr>
                <w:rFonts w:ascii="Calibri" w:hAnsi="Calibri"/>
                <w:color w:val="000000"/>
                <w:sz w:val="22"/>
                <w:szCs w:val="22"/>
              </w:rPr>
            </w:pPr>
            <w:r w:rsidRPr="005C07CF">
              <w:rPr>
                <w:rFonts w:ascii="Calibri" w:hAnsi="Calibri"/>
                <w:color w:val="000000"/>
                <w:sz w:val="22"/>
                <w:szCs w:val="22"/>
              </w:rPr>
              <w:t> </w:t>
            </w:r>
          </w:p>
        </w:tc>
      </w:tr>
      <w:tr w:rsidR="00EF14FB" w:rsidRPr="002553C8" w14:paraId="7A3F6E16" w14:textId="77777777" w:rsidTr="00EF14FB">
        <w:trPr>
          <w:trHeight w:hRule="exact" w:val="302"/>
          <w:jc w:val="center"/>
        </w:trPr>
        <w:tc>
          <w:tcPr>
            <w:tcW w:w="266" w:type="dxa"/>
            <w:tcBorders>
              <w:top w:val="nil"/>
              <w:left w:val="single" w:sz="4" w:space="0" w:color="auto"/>
              <w:bottom w:val="nil"/>
              <w:right w:val="nil"/>
            </w:tcBorders>
            <w:shd w:val="clear" w:color="auto" w:fill="auto"/>
            <w:noWrap/>
            <w:vAlign w:val="bottom"/>
          </w:tcPr>
          <w:p w14:paraId="6A6818C9" w14:textId="77777777" w:rsidR="00EF14FB" w:rsidRPr="005C07CF" w:rsidRDefault="00EF14FB" w:rsidP="00EF14FB">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14:paraId="368BD307" w14:textId="77777777" w:rsidR="00EF14FB" w:rsidRPr="005C07CF" w:rsidRDefault="00EF14FB" w:rsidP="00EF14FB">
            <w:pPr>
              <w:rPr>
                <w:color w:val="000000"/>
                <w:sz w:val="22"/>
                <w:szCs w:val="22"/>
              </w:rPr>
            </w:pPr>
            <w:r w:rsidRPr="005C07CF">
              <w:rPr>
                <w:color w:val="000000"/>
                <w:sz w:val="22"/>
                <w:szCs w:val="22"/>
              </w:rPr>
              <w:t>Operating Expenses:</w:t>
            </w:r>
          </w:p>
        </w:tc>
        <w:tc>
          <w:tcPr>
            <w:tcW w:w="2070" w:type="dxa"/>
            <w:tcBorders>
              <w:top w:val="nil"/>
              <w:left w:val="nil"/>
              <w:bottom w:val="nil"/>
              <w:right w:val="nil"/>
            </w:tcBorders>
            <w:shd w:val="clear" w:color="auto" w:fill="auto"/>
            <w:noWrap/>
            <w:vAlign w:val="bottom"/>
          </w:tcPr>
          <w:p w14:paraId="2D2B7E9F" w14:textId="77777777" w:rsidR="00EF14FB" w:rsidRDefault="00EF14FB" w:rsidP="00EF14FB">
            <w:pPr>
              <w:jc w:val="right"/>
              <w:rPr>
                <w:color w:val="000000"/>
                <w:sz w:val="22"/>
                <w:szCs w:val="22"/>
              </w:rPr>
            </w:pPr>
          </w:p>
        </w:tc>
        <w:tc>
          <w:tcPr>
            <w:tcW w:w="1440" w:type="dxa"/>
            <w:tcBorders>
              <w:top w:val="nil"/>
              <w:left w:val="nil"/>
              <w:bottom w:val="nil"/>
              <w:right w:val="nil"/>
            </w:tcBorders>
            <w:shd w:val="clear" w:color="auto" w:fill="auto"/>
            <w:noWrap/>
            <w:vAlign w:val="bottom"/>
          </w:tcPr>
          <w:p w14:paraId="78A573BF" w14:textId="77777777" w:rsidR="00EF14FB" w:rsidRPr="002553C8" w:rsidRDefault="00EF14FB" w:rsidP="00EF14FB">
            <w:pPr>
              <w:jc w:val="right"/>
              <w:rPr>
                <w:color w:val="000000"/>
                <w:sz w:val="22"/>
                <w:szCs w:val="22"/>
              </w:rPr>
            </w:pPr>
          </w:p>
        </w:tc>
        <w:tc>
          <w:tcPr>
            <w:tcW w:w="1729" w:type="dxa"/>
            <w:tcBorders>
              <w:top w:val="nil"/>
              <w:left w:val="nil"/>
              <w:bottom w:val="nil"/>
              <w:right w:val="nil"/>
            </w:tcBorders>
            <w:shd w:val="clear" w:color="auto" w:fill="auto"/>
            <w:noWrap/>
            <w:vAlign w:val="bottom"/>
          </w:tcPr>
          <w:p w14:paraId="7E566C5B" w14:textId="77777777" w:rsidR="00EF14FB" w:rsidRPr="002553C8" w:rsidRDefault="00EF14FB" w:rsidP="00EF14FB">
            <w:pPr>
              <w:jc w:val="right"/>
              <w:rPr>
                <w:color w:val="000000"/>
                <w:sz w:val="22"/>
                <w:szCs w:val="22"/>
              </w:rPr>
            </w:pPr>
          </w:p>
        </w:tc>
        <w:tc>
          <w:tcPr>
            <w:tcW w:w="300" w:type="dxa"/>
            <w:tcBorders>
              <w:top w:val="nil"/>
              <w:left w:val="nil"/>
              <w:bottom w:val="nil"/>
              <w:right w:val="single" w:sz="4" w:space="0" w:color="auto"/>
            </w:tcBorders>
            <w:shd w:val="clear" w:color="auto" w:fill="auto"/>
            <w:noWrap/>
            <w:vAlign w:val="bottom"/>
          </w:tcPr>
          <w:p w14:paraId="5487D691" w14:textId="77777777" w:rsidR="00EF14FB" w:rsidRPr="002553C8" w:rsidRDefault="00EF14FB" w:rsidP="00EF14FB">
            <w:pPr>
              <w:rPr>
                <w:rFonts w:ascii="Calibri" w:hAnsi="Calibri"/>
                <w:color w:val="000000"/>
                <w:sz w:val="22"/>
                <w:szCs w:val="22"/>
              </w:rPr>
            </w:pPr>
          </w:p>
        </w:tc>
      </w:tr>
      <w:tr w:rsidR="00EF14FB" w:rsidRPr="002553C8" w14:paraId="4F8E9F1E" w14:textId="77777777" w:rsidTr="00EF14FB">
        <w:trPr>
          <w:trHeight w:hRule="exact" w:val="302"/>
          <w:jc w:val="center"/>
        </w:trPr>
        <w:tc>
          <w:tcPr>
            <w:tcW w:w="266" w:type="dxa"/>
            <w:tcBorders>
              <w:top w:val="nil"/>
              <w:left w:val="single" w:sz="4" w:space="0" w:color="auto"/>
              <w:bottom w:val="nil"/>
              <w:right w:val="nil"/>
            </w:tcBorders>
            <w:shd w:val="clear" w:color="auto" w:fill="auto"/>
            <w:noWrap/>
            <w:vAlign w:val="bottom"/>
            <w:hideMark/>
          </w:tcPr>
          <w:p w14:paraId="6E6F3408" w14:textId="77777777" w:rsidR="00EF14FB" w:rsidRPr="002553C8" w:rsidRDefault="00EF14FB" w:rsidP="00EF14FB">
            <w:pPr>
              <w:rPr>
                <w:rFonts w:ascii="Calibri" w:hAnsi="Calibri"/>
                <w:color w:val="000000"/>
                <w:sz w:val="22"/>
                <w:szCs w:val="22"/>
              </w:rPr>
            </w:pPr>
            <w:r w:rsidRPr="002553C8">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14:paraId="3B2C026E" w14:textId="77777777" w:rsidR="00EF14FB" w:rsidRPr="002553C8" w:rsidRDefault="00EF14FB" w:rsidP="00EF14FB">
            <w:pPr>
              <w:rPr>
                <w:color w:val="000000"/>
                <w:sz w:val="22"/>
                <w:szCs w:val="22"/>
              </w:rPr>
            </w:pPr>
            <w:r w:rsidRPr="002553C8">
              <w:rPr>
                <w:color w:val="000000"/>
                <w:sz w:val="22"/>
                <w:szCs w:val="22"/>
              </w:rPr>
              <w:t>Operation &amp; Maintenance</w:t>
            </w:r>
          </w:p>
        </w:tc>
        <w:tc>
          <w:tcPr>
            <w:tcW w:w="2070" w:type="dxa"/>
            <w:tcBorders>
              <w:top w:val="nil"/>
              <w:left w:val="nil"/>
              <w:bottom w:val="nil"/>
              <w:right w:val="nil"/>
            </w:tcBorders>
            <w:shd w:val="clear" w:color="auto" w:fill="auto"/>
            <w:noWrap/>
            <w:vAlign w:val="bottom"/>
            <w:hideMark/>
          </w:tcPr>
          <w:p w14:paraId="2266029D" w14:textId="77777777" w:rsidR="00EF14FB" w:rsidRPr="002553C8" w:rsidRDefault="00EF14FB" w:rsidP="00EF14FB">
            <w:pPr>
              <w:jc w:val="right"/>
              <w:rPr>
                <w:color w:val="000000"/>
                <w:sz w:val="22"/>
                <w:szCs w:val="22"/>
              </w:rPr>
            </w:pPr>
            <w:r>
              <w:rPr>
                <w:color w:val="000000"/>
                <w:sz w:val="22"/>
                <w:szCs w:val="22"/>
              </w:rPr>
              <w:t>$1,379,944</w:t>
            </w:r>
            <w:r w:rsidRPr="002553C8">
              <w:rPr>
                <w:color w:val="000000"/>
                <w:sz w:val="22"/>
                <w:szCs w:val="22"/>
              </w:rPr>
              <w:t xml:space="preserve"> </w:t>
            </w:r>
          </w:p>
        </w:tc>
        <w:tc>
          <w:tcPr>
            <w:tcW w:w="1440" w:type="dxa"/>
            <w:tcBorders>
              <w:top w:val="nil"/>
              <w:left w:val="nil"/>
              <w:bottom w:val="nil"/>
              <w:right w:val="nil"/>
            </w:tcBorders>
            <w:shd w:val="clear" w:color="auto" w:fill="auto"/>
            <w:noWrap/>
            <w:vAlign w:val="bottom"/>
            <w:hideMark/>
          </w:tcPr>
          <w:p w14:paraId="3E7F13E8" w14:textId="77777777" w:rsidR="00EF14FB" w:rsidRPr="002553C8" w:rsidRDefault="00EF14FB" w:rsidP="00EF14FB">
            <w:pPr>
              <w:jc w:val="right"/>
              <w:rPr>
                <w:color w:val="000000"/>
                <w:sz w:val="22"/>
                <w:szCs w:val="22"/>
              </w:rPr>
            </w:pPr>
            <w:r>
              <w:rPr>
                <w:color w:val="000000"/>
                <w:sz w:val="22"/>
                <w:szCs w:val="22"/>
              </w:rPr>
              <w:t>-</w:t>
            </w:r>
            <w:r w:rsidRPr="002553C8">
              <w:rPr>
                <w:color w:val="000000"/>
                <w:sz w:val="22"/>
                <w:szCs w:val="22"/>
              </w:rPr>
              <w:t xml:space="preserve"> </w:t>
            </w:r>
          </w:p>
        </w:tc>
        <w:tc>
          <w:tcPr>
            <w:tcW w:w="1729" w:type="dxa"/>
            <w:tcBorders>
              <w:top w:val="nil"/>
              <w:left w:val="nil"/>
              <w:bottom w:val="nil"/>
              <w:right w:val="nil"/>
            </w:tcBorders>
            <w:shd w:val="clear" w:color="auto" w:fill="auto"/>
            <w:noWrap/>
            <w:vAlign w:val="bottom"/>
            <w:hideMark/>
          </w:tcPr>
          <w:p w14:paraId="2C2B8113" w14:textId="77777777" w:rsidR="00EF14FB" w:rsidRPr="002553C8" w:rsidRDefault="00EF14FB" w:rsidP="00EF14FB">
            <w:pPr>
              <w:jc w:val="right"/>
              <w:rPr>
                <w:color w:val="000000"/>
                <w:sz w:val="22"/>
                <w:szCs w:val="22"/>
              </w:rPr>
            </w:pPr>
            <w:r>
              <w:rPr>
                <w:color w:val="000000"/>
                <w:sz w:val="22"/>
                <w:szCs w:val="22"/>
              </w:rPr>
              <w:t>$1,379,944</w:t>
            </w:r>
            <w:r w:rsidRPr="002553C8">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14:paraId="1C038EEB" w14:textId="77777777" w:rsidR="00EF14FB" w:rsidRPr="002553C8" w:rsidRDefault="00EF14FB" w:rsidP="00EF14FB">
            <w:pPr>
              <w:rPr>
                <w:rFonts w:ascii="Calibri" w:hAnsi="Calibri"/>
                <w:color w:val="000000"/>
                <w:sz w:val="22"/>
                <w:szCs w:val="22"/>
              </w:rPr>
            </w:pPr>
            <w:r w:rsidRPr="002553C8">
              <w:rPr>
                <w:rFonts w:ascii="Calibri" w:hAnsi="Calibri"/>
                <w:color w:val="000000"/>
                <w:sz w:val="22"/>
                <w:szCs w:val="22"/>
              </w:rPr>
              <w:t> </w:t>
            </w:r>
          </w:p>
        </w:tc>
      </w:tr>
      <w:tr w:rsidR="00EF14FB" w:rsidRPr="002553C8" w14:paraId="7CA09B23" w14:textId="77777777" w:rsidTr="00EF14FB">
        <w:trPr>
          <w:trHeight w:hRule="exact" w:val="302"/>
          <w:jc w:val="center"/>
        </w:trPr>
        <w:tc>
          <w:tcPr>
            <w:tcW w:w="266" w:type="dxa"/>
            <w:tcBorders>
              <w:top w:val="nil"/>
              <w:left w:val="single" w:sz="4" w:space="0" w:color="auto"/>
              <w:bottom w:val="nil"/>
              <w:right w:val="nil"/>
            </w:tcBorders>
            <w:shd w:val="clear" w:color="auto" w:fill="auto"/>
            <w:noWrap/>
            <w:vAlign w:val="bottom"/>
            <w:hideMark/>
          </w:tcPr>
          <w:p w14:paraId="2D7B2242" w14:textId="77777777" w:rsidR="00EF14FB" w:rsidRPr="002553C8" w:rsidRDefault="00EF14FB" w:rsidP="00EF14FB">
            <w:pPr>
              <w:rPr>
                <w:rFonts w:ascii="Calibri" w:hAnsi="Calibri"/>
                <w:color w:val="000000"/>
                <w:sz w:val="22"/>
                <w:szCs w:val="22"/>
              </w:rPr>
            </w:pPr>
            <w:r w:rsidRPr="002553C8">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14:paraId="67DE0814" w14:textId="77777777" w:rsidR="00EF14FB" w:rsidRPr="002553C8" w:rsidRDefault="00EF14FB" w:rsidP="00EF14FB">
            <w:pPr>
              <w:rPr>
                <w:color w:val="000000"/>
                <w:sz w:val="22"/>
                <w:szCs w:val="22"/>
              </w:rPr>
            </w:pPr>
            <w:r w:rsidRPr="002553C8">
              <w:rPr>
                <w:color w:val="000000"/>
                <w:sz w:val="22"/>
                <w:szCs w:val="22"/>
              </w:rPr>
              <w:t>Depreciation</w:t>
            </w:r>
            <w:r>
              <w:rPr>
                <w:color w:val="000000"/>
                <w:sz w:val="22"/>
                <w:szCs w:val="22"/>
              </w:rPr>
              <w:t xml:space="preserve"> &amp; Amortization</w:t>
            </w:r>
          </w:p>
        </w:tc>
        <w:tc>
          <w:tcPr>
            <w:tcW w:w="2070" w:type="dxa"/>
            <w:tcBorders>
              <w:top w:val="nil"/>
              <w:left w:val="nil"/>
              <w:bottom w:val="nil"/>
              <w:right w:val="nil"/>
            </w:tcBorders>
            <w:shd w:val="clear" w:color="auto" w:fill="auto"/>
            <w:noWrap/>
            <w:vAlign w:val="bottom"/>
            <w:hideMark/>
          </w:tcPr>
          <w:p w14:paraId="4BE8D9C1" w14:textId="77777777" w:rsidR="00EF14FB" w:rsidRPr="002553C8" w:rsidRDefault="00EF14FB" w:rsidP="00EF14FB">
            <w:pPr>
              <w:jc w:val="right"/>
              <w:rPr>
                <w:color w:val="000000"/>
                <w:sz w:val="22"/>
                <w:szCs w:val="22"/>
              </w:rPr>
            </w:pPr>
            <w:r>
              <w:rPr>
                <w:color w:val="000000"/>
                <w:sz w:val="22"/>
                <w:szCs w:val="22"/>
              </w:rPr>
              <w:t>381,751</w:t>
            </w:r>
            <w:r w:rsidRPr="002553C8">
              <w:rPr>
                <w:color w:val="000000"/>
                <w:sz w:val="22"/>
                <w:szCs w:val="22"/>
              </w:rPr>
              <w:t xml:space="preserve"> </w:t>
            </w:r>
          </w:p>
        </w:tc>
        <w:tc>
          <w:tcPr>
            <w:tcW w:w="1440" w:type="dxa"/>
            <w:tcBorders>
              <w:top w:val="nil"/>
              <w:left w:val="nil"/>
              <w:bottom w:val="nil"/>
              <w:right w:val="nil"/>
            </w:tcBorders>
            <w:shd w:val="clear" w:color="auto" w:fill="auto"/>
            <w:noWrap/>
            <w:vAlign w:val="bottom"/>
            <w:hideMark/>
          </w:tcPr>
          <w:p w14:paraId="3EF6AFEF" w14:textId="77777777" w:rsidR="00EF14FB" w:rsidRPr="002553C8" w:rsidRDefault="00EF14FB" w:rsidP="00EF14FB">
            <w:pPr>
              <w:jc w:val="right"/>
              <w:rPr>
                <w:color w:val="000000"/>
                <w:sz w:val="22"/>
                <w:szCs w:val="22"/>
              </w:rPr>
            </w:pPr>
            <w:r>
              <w:rPr>
                <w:color w:val="000000"/>
                <w:sz w:val="22"/>
                <w:szCs w:val="22"/>
              </w:rPr>
              <w:t>(34,073)</w:t>
            </w:r>
          </w:p>
        </w:tc>
        <w:tc>
          <w:tcPr>
            <w:tcW w:w="1729" w:type="dxa"/>
            <w:tcBorders>
              <w:top w:val="nil"/>
              <w:left w:val="nil"/>
              <w:bottom w:val="nil"/>
              <w:right w:val="nil"/>
            </w:tcBorders>
            <w:shd w:val="clear" w:color="auto" w:fill="auto"/>
            <w:noWrap/>
            <w:vAlign w:val="bottom"/>
            <w:hideMark/>
          </w:tcPr>
          <w:p w14:paraId="18C8301B" w14:textId="77777777" w:rsidR="00EF14FB" w:rsidRPr="002553C8" w:rsidRDefault="00EF14FB" w:rsidP="00EF14FB">
            <w:pPr>
              <w:jc w:val="right"/>
              <w:rPr>
                <w:color w:val="000000"/>
                <w:sz w:val="22"/>
                <w:szCs w:val="22"/>
              </w:rPr>
            </w:pPr>
            <w:r>
              <w:rPr>
                <w:color w:val="000000"/>
                <w:sz w:val="22"/>
                <w:szCs w:val="22"/>
              </w:rPr>
              <w:t>347,678</w:t>
            </w:r>
            <w:r w:rsidRPr="002553C8">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14:paraId="52EA2BD6" w14:textId="77777777" w:rsidR="00EF14FB" w:rsidRPr="002553C8" w:rsidRDefault="00EF14FB" w:rsidP="00EF14FB">
            <w:pPr>
              <w:rPr>
                <w:rFonts w:ascii="Calibri" w:hAnsi="Calibri"/>
                <w:color w:val="000000"/>
                <w:sz w:val="22"/>
                <w:szCs w:val="22"/>
              </w:rPr>
            </w:pPr>
            <w:r w:rsidRPr="002553C8">
              <w:rPr>
                <w:rFonts w:ascii="Calibri" w:hAnsi="Calibri"/>
                <w:color w:val="000000"/>
                <w:sz w:val="22"/>
                <w:szCs w:val="22"/>
              </w:rPr>
              <w:t> </w:t>
            </w:r>
          </w:p>
        </w:tc>
      </w:tr>
      <w:tr w:rsidR="00EF14FB" w:rsidRPr="002553C8" w14:paraId="5A4E118A" w14:textId="77777777" w:rsidTr="00EF14FB">
        <w:trPr>
          <w:trHeight w:hRule="exact" w:val="302"/>
          <w:jc w:val="center"/>
        </w:trPr>
        <w:tc>
          <w:tcPr>
            <w:tcW w:w="266" w:type="dxa"/>
            <w:tcBorders>
              <w:top w:val="nil"/>
              <w:left w:val="single" w:sz="4" w:space="0" w:color="auto"/>
              <w:bottom w:val="nil"/>
              <w:right w:val="nil"/>
            </w:tcBorders>
            <w:shd w:val="clear" w:color="auto" w:fill="auto"/>
            <w:noWrap/>
            <w:vAlign w:val="bottom"/>
            <w:hideMark/>
          </w:tcPr>
          <w:p w14:paraId="386C8B38" w14:textId="77777777" w:rsidR="00EF14FB" w:rsidRPr="002553C8" w:rsidRDefault="00EF14FB" w:rsidP="00EF14FB">
            <w:pPr>
              <w:rPr>
                <w:rFonts w:ascii="Calibri" w:hAnsi="Calibri"/>
                <w:color w:val="000000"/>
                <w:sz w:val="22"/>
                <w:szCs w:val="22"/>
              </w:rPr>
            </w:pPr>
            <w:r w:rsidRPr="002553C8">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14:paraId="3725C6C6" w14:textId="77777777" w:rsidR="00EF14FB" w:rsidRPr="002553C8" w:rsidRDefault="00EF14FB" w:rsidP="00EF14FB">
            <w:pPr>
              <w:rPr>
                <w:color w:val="000000"/>
                <w:sz w:val="22"/>
                <w:szCs w:val="22"/>
              </w:rPr>
            </w:pPr>
            <w:r w:rsidRPr="002553C8">
              <w:rPr>
                <w:color w:val="000000"/>
                <w:sz w:val="22"/>
                <w:szCs w:val="22"/>
              </w:rPr>
              <w:t>Taxes Other Than Income</w:t>
            </w:r>
          </w:p>
        </w:tc>
        <w:tc>
          <w:tcPr>
            <w:tcW w:w="2070" w:type="dxa"/>
            <w:tcBorders>
              <w:top w:val="nil"/>
              <w:left w:val="nil"/>
              <w:bottom w:val="nil"/>
              <w:right w:val="nil"/>
            </w:tcBorders>
            <w:shd w:val="clear" w:color="auto" w:fill="auto"/>
            <w:noWrap/>
            <w:vAlign w:val="bottom"/>
            <w:hideMark/>
          </w:tcPr>
          <w:p w14:paraId="3F477531" w14:textId="77777777" w:rsidR="00EF14FB" w:rsidRPr="002553C8" w:rsidRDefault="00EF14FB" w:rsidP="00EF14FB">
            <w:pPr>
              <w:jc w:val="right"/>
              <w:rPr>
                <w:color w:val="000000"/>
                <w:sz w:val="22"/>
                <w:szCs w:val="22"/>
              </w:rPr>
            </w:pPr>
            <w:r>
              <w:rPr>
                <w:color w:val="000000"/>
                <w:sz w:val="22"/>
                <w:szCs w:val="22"/>
              </w:rPr>
              <w:t>175,462</w:t>
            </w:r>
            <w:r w:rsidRPr="002553C8">
              <w:rPr>
                <w:color w:val="000000"/>
                <w:sz w:val="22"/>
                <w:szCs w:val="22"/>
              </w:rPr>
              <w:t xml:space="preserve"> </w:t>
            </w:r>
          </w:p>
        </w:tc>
        <w:tc>
          <w:tcPr>
            <w:tcW w:w="1440" w:type="dxa"/>
            <w:tcBorders>
              <w:top w:val="nil"/>
              <w:left w:val="nil"/>
              <w:bottom w:val="nil"/>
              <w:right w:val="nil"/>
            </w:tcBorders>
            <w:shd w:val="clear" w:color="auto" w:fill="auto"/>
            <w:noWrap/>
            <w:vAlign w:val="bottom"/>
            <w:hideMark/>
          </w:tcPr>
          <w:p w14:paraId="3367BBC8" w14:textId="77777777" w:rsidR="00EF14FB" w:rsidRPr="002553C8" w:rsidRDefault="00EF14FB" w:rsidP="00EF14FB">
            <w:pPr>
              <w:jc w:val="right"/>
              <w:rPr>
                <w:color w:val="000000"/>
                <w:sz w:val="22"/>
                <w:szCs w:val="22"/>
              </w:rPr>
            </w:pPr>
            <w:r>
              <w:rPr>
                <w:color w:val="000000"/>
                <w:sz w:val="22"/>
                <w:szCs w:val="22"/>
              </w:rPr>
              <w:t>-</w:t>
            </w:r>
            <w:r w:rsidRPr="002553C8">
              <w:rPr>
                <w:color w:val="000000"/>
                <w:sz w:val="22"/>
                <w:szCs w:val="22"/>
              </w:rPr>
              <w:t xml:space="preserve"> </w:t>
            </w:r>
          </w:p>
        </w:tc>
        <w:tc>
          <w:tcPr>
            <w:tcW w:w="1729" w:type="dxa"/>
            <w:tcBorders>
              <w:top w:val="nil"/>
              <w:left w:val="nil"/>
              <w:bottom w:val="nil"/>
              <w:right w:val="nil"/>
            </w:tcBorders>
            <w:shd w:val="clear" w:color="auto" w:fill="auto"/>
            <w:noWrap/>
            <w:vAlign w:val="bottom"/>
            <w:hideMark/>
          </w:tcPr>
          <w:p w14:paraId="2D9BBF79" w14:textId="77777777" w:rsidR="00EF14FB" w:rsidRPr="002553C8" w:rsidRDefault="00EF14FB" w:rsidP="00EF14FB">
            <w:pPr>
              <w:jc w:val="right"/>
              <w:rPr>
                <w:color w:val="000000"/>
                <w:sz w:val="22"/>
                <w:szCs w:val="22"/>
              </w:rPr>
            </w:pPr>
            <w:r>
              <w:rPr>
                <w:color w:val="000000"/>
                <w:sz w:val="22"/>
                <w:szCs w:val="22"/>
              </w:rPr>
              <w:t>175,462</w:t>
            </w:r>
            <w:r w:rsidRPr="002553C8">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14:paraId="4B0D5A4D" w14:textId="77777777" w:rsidR="00EF14FB" w:rsidRPr="002553C8" w:rsidRDefault="00EF14FB" w:rsidP="00EF14FB">
            <w:pPr>
              <w:rPr>
                <w:rFonts w:ascii="Calibri" w:hAnsi="Calibri"/>
                <w:color w:val="000000"/>
                <w:sz w:val="22"/>
                <w:szCs w:val="22"/>
              </w:rPr>
            </w:pPr>
            <w:r w:rsidRPr="002553C8">
              <w:rPr>
                <w:rFonts w:ascii="Calibri" w:hAnsi="Calibri"/>
                <w:color w:val="000000"/>
                <w:sz w:val="22"/>
                <w:szCs w:val="22"/>
              </w:rPr>
              <w:t> </w:t>
            </w:r>
          </w:p>
        </w:tc>
      </w:tr>
      <w:tr w:rsidR="00EF14FB" w:rsidRPr="002553C8" w14:paraId="7D16E432" w14:textId="77777777" w:rsidTr="00EF14FB">
        <w:trPr>
          <w:trHeight w:hRule="exact" w:val="302"/>
          <w:jc w:val="center"/>
        </w:trPr>
        <w:tc>
          <w:tcPr>
            <w:tcW w:w="266" w:type="dxa"/>
            <w:tcBorders>
              <w:top w:val="nil"/>
              <w:left w:val="single" w:sz="4" w:space="0" w:color="auto"/>
              <w:bottom w:val="nil"/>
              <w:right w:val="nil"/>
            </w:tcBorders>
            <w:shd w:val="clear" w:color="auto" w:fill="auto"/>
            <w:noWrap/>
            <w:vAlign w:val="bottom"/>
          </w:tcPr>
          <w:p w14:paraId="0003C59C" w14:textId="77777777" w:rsidR="00EF14FB" w:rsidRPr="002553C8" w:rsidRDefault="00EF14FB" w:rsidP="00EF14FB">
            <w:pPr>
              <w:rPr>
                <w:rFonts w:ascii="Calibri" w:hAnsi="Calibri"/>
                <w:color w:val="000000"/>
                <w:sz w:val="22"/>
                <w:szCs w:val="22"/>
              </w:rPr>
            </w:pPr>
          </w:p>
        </w:tc>
        <w:tc>
          <w:tcPr>
            <w:tcW w:w="3204" w:type="dxa"/>
            <w:tcBorders>
              <w:top w:val="nil"/>
              <w:left w:val="nil"/>
              <w:bottom w:val="nil"/>
              <w:right w:val="nil"/>
            </w:tcBorders>
            <w:shd w:val="clear" w:color="auto" w:fill="auto"/>
            <w:noWrap/>
            <w:vAlign w:val="bottom"/>
          </w:tcPr>
          <w:p w14:paraId="2BC0A96C" w14:textId="77777777" w:rsidR="00EF14FB" w:rsidRPr="002553C8" w:rsidRDefault="00EF14FB" w:rsidP="00EF14FB">
            <w:pPr>
              <w:rPr>
                <w:color w:val="000000"/>
                <w:sz w:val="22"/>
                <w:szCs w:val="22"/>
              </w:rPr>
            </w:pPr>
            <w:r w:rsidRPr="002553C8">
              <w:rPr>
                <w:color w:val="000000"/>
                <w:sz w:val="22"/>
                <w:szCs w:val="22"/>
              </w:rPr>
              <w:t>Income Taxes - Federal</w:t>
            </w:r>
          </w:p>
        </w:tc>
        <w:tc>
          <w:tcPr>
            <w:tcW w:w="2070" w:type="dxa"/>
            <w:tcBorders>
              <w:top w:val="nil"/>
              <w:left w:val="nil"/>
              <w:bottom w:val="nil"/>
              <w:right w:val="nil"/>
            </w:tcBorders>
            <w:shd w:val="clear" w:color="auto" w:fill="auto"/>
            <w:noWrap/>
            <w:vAlign w:val="bottom"/>
          </w:tcPr>
          <w:p w14:paraId="19304D1C" w14:textId="77777777" w:rsidR="00EF14FB" w:rsidRPr="002553C8" w:rsidRDefault="00EF14FB" w:rsidP="00EF14FB">
            <w:pPr>
              <w:jc w:val="right"/>
              <w:rPr>
                <w:color w:val="000000"/>
                <w:sz w:val="22"/>
                <w:szCs w:val="22"/>
              </w:rPr>
            </w:pPr>
            <w:r>
              <w:rPr>
                <w:color w:val="000000"/>
                <w:sz w:val="22"/>
                <w:szCs w:val="22"/>
              </w:rPr>
              <w:t>-</w:t>
            </w:r>
            <w:r w:rsidRPr="002553C8">
              <w:rPr>
                <w:color w:val="000000"/>
                <w:sz w:val="22"/>
                <w:szCs w:val="22"/>
              </w:rPr>
              <w:t xml:space="preserve"> </w:t>
            </w:r>
          </w:p>
        </w:tc>
        <w:tc>
          <w:tcPr>
            <w:tcW w:w="1440" w:type="dxa"/>
            <w:tcBorders>
              <w:top w:val="nil"/>
              <w:left w:val="nil"/>
              <w:bottom w:val="nil"/>
              <w:right w:val="nil"/>
            </w:tcBorders>
            <w:shd w:val="clear" w:color="auto" w:fill="auto"/>
            <w:noWrap/>
            <w:vAlign w:val="bottom"/>
          </w:tcPr>
          <w:p w14:paraId="6D0AE74D" w14:textId="77777777" w:rsidR="00EF14FB" w:rsidRPr="002553C8" w:rsidRDefault="00EF14FB" w:rsidP="00EF14FB">
            <w:pPr>
              <w:jc w:val="right"/>
              <w:rPr>
                <w:color w:val="000000"/>
                <w:sz w:val="22"/>
                <w:szCs w:val="22"/>
              </w:rPr>
            </w:pPr>
            <w:r>
              <w:rPr>
                <w:color w:val="000000"/>
                <w:sz w:val="22"/>
                <w:szCs w:val="22"/>
              </w:rPr>
              <w:t>-</w:t>
            </w:r>
            <w:r w:rsidRPr="002553C8">
              <w:rPr>
                <w:color w:val="000000"/>
                <w:sz w:val="22"/>
                <w:szCs w:val="22"/>
              </w:rPr>
              <w:t xml:space="preserve"> </w:t>
            </w:r>
          </w:p>
        </w:tc>
        <w:tc>
          <w:tcPr>
            <w:tcW w:w="1729" w:type="dxa"/>
            <w:tcBorders>
              <w:top w:val="nil"/>
              <w:left w:val="nil"/>
              <w:bottom w:val="nil"/>
              <w:right w:val="nil"/>
            </w:tcBorders>
            <w:shd w:val="clear" w:color="auto" w:fill="auto"/>
            <w:noWrap/>
            <w:vAlign w:val="bottom"/>
          </w:tcPr>
          <w:p w14:paraId="5658590A" w14:textId="77777777" w:rsidR="00EF14FB" w:rsidRPr="002553C8" w:rsidRDefault="00EF14FB" w:rsidP="00EF14FB">
            <w:pPr>
              <w:jc w:val="right"/>
              <w:rPr>
                <w:color w:val="000000"/>
                <w:sz w:val="22"/>
                <w:szCs w:val="22"/>
              </w:rPr>
            </w:pPr>
            <w:r>
              <w:rPr>
                <w:color w:val="000000"/>
                <w:sz w:val="22"/>
                <w:szCs w:val="22"/>
              </w:rPr>
              <w:t>-</w:t>
            </w:r>
            <w:r w:rsidRPr="002553C8">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tcPr>
          <w:p w14:paraId="165CB19F" w14:textId="77777777" w:rsidR="00EF14FB" w:rsidRPr="002553C8" w:rsidRDefault="00EF14FB" w:rsidP="00EF14FB">
            <w:pPr>
              <w:rPr>
                <w:rFonts w:ascii="Calibri" w:hAnsi="Calibri"/>
                <w:color w:val="000000"/>
                <w:sz w:val="22"/>
                <w:szCs w:val="22"/>
              </w:rPr>
            </w:pPr>
          </w:p>
        </w:tc>
      </w:tr>
      <w:tr w:rsidR="00EF14FB" w:rsidRPr="002553C8" w14:paraId="4EE0644E" w14:textId="77777777" w:rsidTr="00EF14FB">
        <w:trPr>
          <w:trHeight w:hRule="exact" w:val="302"/>
          <w:jc w:val="center"/>
        </w:trPr>
        <w:tc>
          <w:tcPr>
            <w:tcW w:w="266" w:type="dxa"/>
            <w:tcBorders>
              <w:top w:val="nil"/>
              <w:left w:val="single" w:sz="4" w:space="0" w:color="auto"/>
              <w:bottom w:val="nil"/>
              <w:right w:val="nil"/>
            </w:tcBorders>
            <w:shd w:val="clear" w:color="auto" w:fill="auto"/>
            <w:noWrap/>
            <w:vAlign w:val="bottom"/>
            <w:hideMark/>
          </w:tcPr>
          <w:p w14:paraId="723D3E48" w14:textId="77777777" w:rsidR="00EF14FB" w:rsidRPr="002553C8" w:rsidRDefault="00EF14FB" w:rsidP="00EF14FB">
            <w:pPr>
              <w:rPr>
                <w:rFonts w:ascii="Calibri" w:hAnsi="Calibri"/>
                <w:color w:val="000000"/>
                <w:sz w:val="22"/>
                <w:szCs w:val="22"/>
              </w:rPr>
            </w:pPr>
            <w:r w:rsidRPr="002553C8">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14:paraId="328B548E" w14:textId="77777777" w:rsidR="00EF14FB" w:rsidRPr="002553C8" w:rsidRDefault="00EF14FB" w:rsidP="00EF14FB">
            <w:pPr>
              <w:rPr>
                <w:color w:val="000000"/>
                <w:sz w:val="22"/>
                <w:szCs w:val="22"/>
              </w:rPr>
            </w:pPr>
            <w:r w:rsidRPr="002553C8">
              <w:rPr>
                <w:color w:val="000000"/>
                <w:sz w:val="22"/>
                <w:szCs w:val="22"/>
              </w:rPr>
              <w:t>Income Taxes - State</w:t>
            </w:r>
          </w:p>
        </w:tc>
        <w:tc>
          <w:tcPr>
            <w:tcW w:w="2070" w:type="dxa"/>
            <w:tcBorders>
              <w:top w:val="nil"/>
              <w:left w:val="nil"/>
              <w:bottom w:val="nil"/>
              <w:right w:val="nil"/>
            </w:tcBorders>
            <w:shd w:val="clear" w:color="auto" w:fill="auto"/>
            <w:noWrap/>
            <w:vAlign w:val="bottom"/>
            <w:hideMark/>
          </w:tcPr>
          <w:p w14:paraId="2637A3EE" w14:textId="77777777" w:rsidR="00EF14FB" w:rsidRPr="002553C8" w:rsidRDefault="00EF14FB" w:rsidP="00EF14FB">
            <w:pPr>
              <w:jc w:val="right"/>
              <w:rPr>
                <w:color w:val="000000"/>
                <w:sz w:val="22"/>
                <w:szCs w:val="22"/>
              </w:rPr>
            </w:pPr>
            <w:r>
              <w:rPr>
                <w:color w:val="000000"/>
                <w:sz w:val="22"/>
                <w:szCs w:val="22"/>
              </w:rPr>
              <w:t>-</w:t>
            </w:r>
          </w:p>
        </w:tc>
        <w:tc>
          <w:tcPr>
            <w:tcW w:w="1440" w:type="dxa"/>
            <w:tcBorders>
              <w:top w:val="nil"/>
              <w:left w:val="nil"/>
              <w:bottom w:val="nil"/>
              <w:right w:val="nil"/>
            </w:tcBorders>
            <w:shd w:val="clear" w:color="auto" w:fill="auto"/>
            <w:noWrap/>
            <w:vAlign w:val="bottom"/>
            <w:hideMark/>
          </w:tcPr>
          <w:p w14:paraId="3F989ADB" w14:textId="77777777" w:rsidR="00EF14FB" w:rsidRPr="002553C8" w:rsidRDefault="00EF14FB" w:rsidP="00EF14FB">
            <w:pPr>
              <w:jc w:val="right"/>
              <w:rPr>
                <w:color w:val="000000"/>
                <w:sz w:val="22"/>
                <w:szCs w:val="22"/>
              </w:rPr>
            </w:pPr>
            <w:r>
              <w:rPr>
                <w:color w:val="000000"/>
                <w:sz w:val="22"/>
                <w:szCs w:val="22"/>
              </w:rPr>
              <w:t>-</w:t>
            </w:r>
            <w:r w:rsidRPr="002553C8">
              <w:rPr>
                <w:color w:val="000000"/>
                <w:sz w:val="22"/>
                <w:szCs w:val="22"/>
              </w:rPr>
              <w:t xml:space="preserve"> </w:t>
            </w:r>
          </w:p>
        </w:tc>
        <w:tc>
          <w:tcPr>
            <w:tcW w:w="1729" w:type="dxa"/>
            <w:tcBorders>
              <w:top w:val="nil"/>
              <w:left w:val="nil"/>
              <w:bottom w:val="nil"/>
              <w:right w:val="nil"/>
            </w:tcBorders>
            <w:shd w:val="clear" w:color="auto" w:fill="auto"/>
            <w:noWrap/>
            <w:vAlign w:val="bottom"/>
            <w:hideMark/>
          </w:tcPr>
          <w:p w14:paraId="5C79A2A4" w14:textId="77777777" w:rsidR="00EF14FB" w:rsidRPr="002553C8" w:rsidRDefault="00EF14FB" w:rsidP="00EF14FB">
            <w:pPr>
              <w:jc w:val="right"/>
              <w:rPr>
                <w:color w:val="000000"/>
                <w:sz w:val="22"/>
                <w:szCs w:val="22"/>
              </w:rPr>
            </w:pPr>
            <w:r>
              <w:rPr>
                <w:color w:val="000000"/>
                <w:sz w:val="22"/>
                <w:szCs w:val="22"/>
              </w:rPr>
              <w:t>-</w:t>
            </w:r>
            <w:r w:rsidRPr="002553C8">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14:paraId="41615AAD" w14:textId="77777777" w:rsidR="00EF14FB" w:rsidRPr="002553C8" w:rsidRDefault="00EF14FB" w:rsidP="00EF14FB">
            <w:pPr>
              <w:rPr>
                <w:rFonts w:ascii="Calibri" w:hAnsi="Calibri"/>
                <w:color w:val="000000"/>
                <w:sz w:val="22"/>
                <w:szCs w:val="22"/>
              </w:rPr>
            </w:pPr>
            <w:r w:rsidRPr="002553C8">
              <w:rPr>
                <w:rFonts w:ascii="Calibri" w:hAnsi="Calibri"/>
                <w:color w:val="000000"/>
                <w:sz w:val="22"/>
                <w:szCs w:val="22"/>
              </w:rPr>
              <w:t> </w:t>
            </w:r>
          </w:p>
        </w:tc>
      </w:tr>
      <w:tr w:rsidR="00EF14FB" w:rsidRPr="002553C8" w14:paraId="4D3712A6" w14:textId="77777777" w:rsidTr="00EF14FB">
        <w:trPr>
          <w:trHeight w:hRule="exact" w:val="317"/>
          <w:jc w:val="center"/>
        </w:trPr>
        <w:tc>
          <w:tcPr>
            <w:tcW w:w="266" w:type="dxa"/>
            <w:tcBorders>
              <w:top w:val="nil"/>
              <w:left w:val="single" w:sz="4" w:space="0" w:color="auto"/>
              <w:bottom w:val="nil"/>
              <w:right w:val="nil"/>
            </w:tcBorders>
            <w:shd w:val="clear" w:color="auto" w:fill="auto"/>
            <w:noWrap/>
            <w:vAlign w:val="bottom"/>
            <w:hideMark/>
          </w:tcPr>
          <w:p w14:paraId="1174ECCA" w14:textId="77777777" w:rsidR="00EF14FB" w:rsidRPr="002553C8" w:rsidRDefault="00EF14FB" w:rsidP="00EF14FB">
            <w:pPr>
              <w:rPr>
                <w:rFonts w:ascii="Calibri" w:hAnsi="Calibri"/>
                <w:color w:val="000000"/>
                <w:sz w:val="22"/>
                <w:szCs w:val="22"/>
              </w:rPr>
            </w:pPr>
            <w:r w:rsidRPr="002553C8">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14:paraId="4DACBCCD" w14:textId="77777777" w:rsidR="00EF14FB" w:rsidRPr="002553C8" w:rsidRDefault="00EF14FB" w:rsidP="00EF14FB">
            <w:pPr>
              <w:rPr>
                <w:color w:val="000000"/>
                <w:sz w:val="22"/>
                <w:szCs w:val="22"/>
              </w:rPr>
            </w:pPr>
            <w:r w:rsidRPr="002553C8">
              <w:rPr>
                <w:color w:val="000000"/>
                <w:sz w:val="22"/>
                <w:szCs w:val="22"/>
              </w:rPr>
              <w:t>Total Operating Expenses</w:t>
            </w:r>
          </w:p>
        </w:tc>
        <w:tc>
          <w:tcPr>
            <w:tcW w:w="2070" w:type="dxa"/>
            <w:tcBorders>
              <w:top w:val="nil"/>
              <w:left w:val="nil"/>
              <w:bottom w:val="single" w:sz="4" w:space="0" w:color="auto"/>
              <w:right w:val="nil"/>
            </w:tcBorders>
            <w:shd w:val="clear" w:color="auto" w:fill="auto"/>
            <w:noWrap/>
            <w:vAlign w:val="bottom"/>
            <w:hideMark/>
          </w:tcPr>
          <w:p w14:paraId="76D3DFE2" w14:textId="77777777" w:rsidR="00EF14FB" w:rsidRPr="002553C8" w:rsidRDefault="00EF14FB" w:rsidP="00EF14FB">
            <w:pPr>
              <w:jc w:val="right"/>
              <w:rPr>
                <w:color w:val="000000"/>
                <w:sz w:val="22"/>
                <w:szCs w:val="22"/>
              </w:rPr>
            </w:pPr>
            <w:r>
              <w:rPr>
                <w:color w:val="000000"/>
                <w:sz w:val="22"/>
                <w:szCs w:val="22"/>
              </w:rPr>
              <w:t>$1,937,157</w:t>
            </w:r>
            <w:r w:rsidRPr="002553C8">
              <w:rPr>
                <w:color w:val="000000"/>
                <w:sz w:val="22"/>
                <w:szCs w:val="22"/>
              </w:rPr>
              <w:t xml:space="preserve"> </w:t>
            </w:r>
          </w:p>
        </w:tc>
        <w:tc>
          <w:tcPr>
            <w:tcW w:w="1440" w:type="dxa"/>
            <w:tcBorders>
              <w:top w:val="nil"/>
              <w:left w:val="nil"/>
              <w:bottom w:val="single" w:sz="4" w:space="0" w:color="auto"/>
              <w:right w:val="nil"/>
            </w:tcBorders>
            <w:shd w:val="clear" w:color="auto" w:fill="auto"/>
            <w:noWrap/>
            <w:vAlign w:val="bottom"/>
            <w:hideMark/>
          </w:tcPr>
          <w:p w14:paraId="3940D205" w14:textId="77777777" w:rsidR="00EF14FB" w:rsidRPr="002553C8" w:rsidRDefault="00EF14FB" w:rsidP="00EF14FB">
            <w:pPr>
              <w:jc w:val="right"/>
              <w:rPr>
                <w:color w:val="000000"/>
                <w:sz w:val="22"/>
                <w:szCs w:val="22"/>
              </w:rPr>
            </w:pPr>
            <w:r>
              <w:rPr>
                <w:color w:val="000000"/>
                <w:sz w:val="22"/>
                <w:szCs w:val="22"/>
              </w:rPr>
              <w:t>($34,073)</w:t>
            </w:r>
            <w:r w:rsidRPr="002553C8">
              <w:rPr>
                <w:color w:val="000000"/>
                <w:sz w:val="22"/>
                <w:szCs w:val="22"/>
              </w:rPr>
              <w:t xml:space="preserve"> </w:t>
            </w:r>
          </w:p>
        </w:tc>
        <w:tc>
          <w:tcPr>
            <w:tcW w:w="1729" w:type="dxa"/>
            <w:tcBorders>
              <w:top w:val="nil"/>
              <w:left w:val="nil"/>
              <w:bottom w:val="single" w:sz="4" w:space="0" w:color="auto"/>
              <w:right w:val="nil"/>
            </w:tcBorders>
            <w:shd w:val="clear" w:color="auto" w:fill="auto"/>
            <w:noWrap/>
            <w:vAlign w:val="bottom"/>
            <w:hideMark/>
          </w:tcPr>
          <w:p w14:paraId="06C5D978" w14:textId="77777777" w:rsidR="00EF14FB" w:rsidRPr="002553C8" w:rsidRDefault="00EF14FB" w:rsidP="00EF14FB">
            <w:pPr>
              <w:jc w:val="right"/>
              <w:rPr>
                <w:color w:val="000000"/>
                <w:sz w:val="22"/>
                <w:szCs w:val="22"/>
              </w:rPr>
            </w:pPr>
            <w:r>
              <w:rPr>
                <w:color w:val="000000"/>
                <w:sz w:val="22"/>
                <w:szCs w:val="22"/>
              </w:rPr>
              <w:t>$1,903,084</w:t>
            </w:r>
            <w:r w:rsidRPr="002553C8">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14:paraId="6F34874A" w14:textId="77777777" w:rsidR="00EF14FB" w:rsidRPr="002553C8" w:rsidRDefault="00EF14FB" w:rsidP="00EF14FB">
            <w:pPr>
              <w:rPr>
                <w:rFonts w:ascii="Calibri" w:hAnsi="Calibri"/>
                <w:color w:val="000000"/>
                <w:sz w:val="22"/>
                <w:szCs w:val="22"/>
              </w:rPr>
            </w:pPr>
            <w:r w:rsidRPr="002553C8">
              <w:rPr>
                <w:rFonts w:ascii="Calibri" w:hAnsi="Calibri"/>
                <w:color w:val="000000"/>
                <w:sz w:val="22"/>
                <w:szCs w:val="22"/>
              </w:rPr>
              <w:t> </w:t>
            </w:r>
          </w:p>
        </w:tc>
      </w:tr>
      <w:tr w:rsidR="00EF14FB" w:rsidRPr="002553C8" w14:paraId="58725D34" w14:textId="77777777" w:rsidTr="00EF14FB">
        <w:trPr>
          <w:trHeight w:hRule="exact" w:val="317"/>
          <w:jc w:val="center"/>
        </w:trPr>
        <w:tc>
          <w:tcPr>
            <w:tcW w:w="266" w:type="dxa"/>
            <w:tcBorders>
              <w:top w:val="nil"/>
              <w:left w:val="single" w:sz="4" w:space="0" w:color="auto"/>
              <w:bottom w:val="nil"/>
              <w:right w:val="nil"/>
            </w:tcBorders>
            <w:shd w:val="clear" w:color="auto" w:fill="auto"/>
            <w:noWrap/>
            <w:vAlign w:val="bottom"/>
            <w:hideMark/>
          </w:tcPr>
          <w:p w14:paraId="54D35261" w14:textId="77777777" w:rsidR="00EF14FB" w:rsidRPr="002553C8" w:rsidRDefault="00EF14FB" w:rsidP="00EF14FB">
            <w:pPr>
              <w:rPr>
                <w:rFonts w:ascii="Calibri" w:hAnsi="Calibri"/>
                <w:color w:val="000000"/>
                <w:sz w:val="22"/>
                <w:szCs w:val="22"/>
              </w:rPr>
            </w:pPr>
            <w:r w:rsidRPr="002553C8">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14:paraId="4A0C388B" w14:textId="77777777" w:rsidR="00EF14FB" w:rsidRPr="002553C8" w:rsidRDefault="00EF14FB" w:rsidP="00EF14FB">
            <w:pPr>
              <w:rPr>
                <w:color w:val="000000"/>
                <w:sz w:val="22"/>
                <w:szCs w:val="22"/>
              </w:rPr>
            </w:pPr>
            <w:r w:rsidRPr="002553C8">
              <w:rPr>
                <w:color w:val="000000"/>
                <w:sz w:val="22"/>
                <w:szCs w:val="22"/>
              </w:rPr>
              <w:t>Net Operating Income</w:t>
            </w:r>
          </w:p>
        </w:tc>
        <w:tc>
          <w:tcPr>
            <w:tcW w:w="2070" w:type="dxa"/>
            <w:tcBorders>
              <w:top w:val="nil"/>
              <w:left w:val="nil"/>
              <w:bottom w:val="single" w:sz="8" w:space="0" w:color="auto"/>
              <w:right w:val="nil"/>
            </w:tcBorders>
            <w:shd w:val="clear" w:color="auto" w:fill="auto"/>
            <w:noWrap/>
            <w:vAlign w:val="bottom"/>
            <w:hideMark/>
          </w:tcPr>
          <w:p w14:paraId="51E1F626" w14:textId="77777777" w:rsidR="00EF14FB" w:rsidRPr="002553C8" w:rsidRDefault="00EF14FB" w:rsidP="00EF14FB">
            <w:pPr>
              <w:jc w:val="right"/>
              <w:rPr>
                <w:color w:val="000000"/>
                <w:sz w:val="22"/>
                <w:szCs w:val="22"/>
              </w:rPr>
            </w:pPr>
            <w:r>
              <w:rPr>
                <w:color w:val="000000"/>
                <w:sz w:val="22"/>
                <w:szCs w:val="22"/>
              </w:rPr>
              <w:t>($284,430)</w:t>
            </w:r>
            <w:r w:rsidRPr="002553C8">
              <w:rPr>
                <w:color w:val="000000"/>
                <w:sz w:val="22"/>
                <w:szCs w:val="22"/>
              </w:rPr>
              <w:t xml:space="preserve"> </w:t>
            </w:r>
          </w:p>
        </w:tc>
        <w:tc>
          <w:tcPr>
            <w:tcW w:w="1440" w:type="dxa"/>
            <w:tcBorders>
              <w:top w:val="nil"/>
              <w:left w:val="nil"/>
              <w:bottom w:val="single" w:sz="8" w:space="0" w:color="auto"/>
              <w:right w:val="nil"/>
            </w:tcBorders>
            <w:shd w:val="clear" w:color="auto" w:fill="auto"/>
            <w:noWrap/>
            <w:vAlign w:val="bottom"/>
            <w:hideMark/>
          </w:tcPr>
          <w:p w14:paraId="64ACFED9" w14:textId="77777777" w:rsidR="00EF14FB" w:rsidRPr="002553C8" w:rsidRDefault="00EF14FB" w:rsidP="00EF14FB">
            <w:pPr>
              <w:jc w:val="right"/>
              <w:rPr>
                <w:color w:val="000000"/>
                <w:sz w:val="22"/>
                <w:szCs w:val="22"/>
              </w:rPr>
            </w:pPr>
            <w:r>
              <w:rPr>
                <w:color w:val="000000"/>
                <w:sz w:val="22"/>
                <w:szCs w:val="22"/>
              </w:rPr>
              <w:t>$34,073</w:t>
            </w:r>
            <w:r w:rsidRPr="002553C8">
              <w:rPr>
                <w:color w:val="000000"/>
                <w:sz w:val="22"/>
                <w:szCs w:val="22"/>
              </w:rPr>
              <w:t xml:space="preserve"> </w:t>
            </w:r>
          </w:p>
        </w:tc>
        <w:tc>
          <w:tcPr>
            <w:tcW w:w="1729" w:type="dxa"/>
            <w:tcBorders>
              <w:top w:val="nil"/>
              <w:left w:val="nil"/>
              <w:bottom w:val="single" w:sz="8" w:space="0" w:color="auto"/>
              <w:right w:val="nil"/>
            </w:tcBorders>
            <w:shd w:val="clear" w:color="auto" w:fill="auto"/>
            <w:noWrap/>
            <w:vAlign w:val="bottom"/>
            <w:hideMark/>
          </w:tcPr>
          <w:p w14:paraId="5BB9AC03" w14:textId="77777777" w:rsidR="00EF14FB" w:rsidRPr="002553C8" w:rsidRDefault="00EF14FB" w:rsidP="00EF14FB">
            <w:pPr>
              <w:jc w:val="right"/>
              <w:rPr>
                <w:color w:val="000000"/>
                <w:sz w:val="22"/>
                <w:szCs w:val="22"/>
              </w:rPr>
            </w:pPr>
            <w:r>
              <w:rPr>
                <w:color w:val="000000"/>
                <w:sz w:val="22"/>
                <w:szCs w:val="22"/>
              </w:rPr>
              <w:t>($250,357)</w:t>
            </w:r>
            <w:r w:rsidRPr="002553C8">
              <w:rPr>
                <w:color w:val="000000"/>
                <w:sz w:val="22"/>
                <w:szCs w:val="22"/>
              </w:rPr>
              <w:t xml:space="preserve"> </w:t>
            </w:r>
          </w:p>
        </w:tc>
        <w:tc>
          <w:tcPr>
            <w:tcW w:w="300" w:type="dxa"/>
            <w:tcBorders>
              <w:top w:val="nil"/>
              <w:left w:val="nil"/>
              <w:bottom w:val="nil"/>
              <w:right w:val="single" w:sz="4" w:space="0" w:color="auto"/>
            </w:tcBorders>
            <w:shd w:val="clear" w:color="auto" w:fill="auto"/>
            <w:noWrap/>
            <w:vAlign w:val="bottom"/>
            <w:hideMark/>
          </w:tcPr>
          <w:p w14:paraId="7D08DF7B" w14:textId="77777777" w:rsidR="00EF14FB" w:rsidRPr="002553C8" w:rsidRDefault="00EF14FB" w:rsidP="00EF14FB">
            <w:pPr>
              <w:rPr>
                <w:rFonts w:ascii="Calibri" w:hAnsi="Calibri"/>
                <w:color w:val="000000"/>
                <w:sz w:val="22"/>
                <w:szCs w:val="22"/>
              </w:rPr>
            </w:pPr>
            <w:r w:rsidRPr="002553C8">
              <w:rPr>
                <w:rFonts w:ascii="Calibri" w:hAnsi="Calibri"/>
                <w:color w:val="000000"/>
                <w:sz w:val="22"/>
                <w:szCs w:val="22"/>
              </w:rPr>
              <w:t> </w:t>
            </w:r>
          </w:p>
        </w:tc>
      </w:tr>
      <w:tr w:rsidR="00EF14FB" w:rsidRPr="002553C8" w14:paraId="4726E368" w14:textId="77777777" w:rsidTr="00EF14FB">
        <w:trPr>
          <w:trHeight w:hRule="exact" w:val="317"/>
          <w:jc w:val="center"/>
        </w:trPr>
        <w:tc>
          <w:tcPr>
            <w:tcW w:w="266" w:type="dxa"/>
            <w:tcBorders>
              <w:top w:val="nil"/>
              <w:left w:val="single" w:sz="4" w:space="0" w:color="auto"/>
              <w:bottom w:val="nil"/>
              <w:right w:val="nil"/>
            </w:tcBorders>
            <w:shd w:val="clear" w:color="auto" w:fill="auto"/>
            <w:noWrap/>
            <w:vAlign w:val="bottom"/>
            <w:hideMark/>
          </w:tcPr>
          <w:p w14:paraId="366E86E8" w14:textId="77777777" w:rsidR="00EF14FB" w:rsidRPr="002553C8" w:rsidRDefault="00EF14FB" w:rsidP="00EF14FB">
            <w:pPr>
              <w:rPr>
                <w:rFonts w:ascii="Calibri" w:hAnsi="Calibri"/>
                <w:color w:val="000000"/>
                <w:sz w:val="22"/>
                <w:szCs w:val="22"/>
              </w:rPr>
            </w:pPr>
            <w:r w:rsidRPr="002553C8">
              <w:rPr>
                <w:rFonts w:ascii="Calibri" w:hAnsi="Calibri"/>
                <w:color w:val="000000"/>
                <w:sz w:val="22"/>
                <w:szCs w:val="22"/>
              </w:rPr>
              <w:t> </w:t>
            </w:r>
          </w:p>
        </w:tc>
        <w:tc>
          <w:tcPr>
            <w:tcW w:w="3204" w:type="dxa"/>
            <w:tcBorders>
              <w:top w:val="nil"/>
              <w:left w:val="nil"/>
              <w:bottom w:val="nil"/>
              <w:right w:val="nil"/>
            </w:tcBorders>
            <w:shd w:val="clear" w:color="auto" w:fill="auto"/>
            <w:noWrap/>
            <w:vAlign w:val="bottom"/>
            <w:hideMark/>
          </w:tcPr>
          <w:p w14:paraId="493A4527" w14:textId="77777777" w:rsidR="00EF14FB" w:rsidRPr="002553C8" w:rsidRDefault="00EF14FB" w:rsidP="00EF14FB">
            <w:pPr>
              <w:rPr>
                <w:color w:val="000000"/>
                <w:sz w:val="22"/>
                <w:szCs w:val="22"/>
              </w:rPr>
            </w:pPr>
            <w:r w:rsidRPr="002553C8">
              <w:rPr>
                <w:color w:val="000000"/>
                <w:sz w:val="22"/>
                <w:szCs w:val="22"/>
              </w:rPr>
              <w:t>Overall Rate of Return</w:t>
            </w:r>
          </w:p>
        </w:tc>
        <w:tc>
          <w:tcPr>
            <w:tcW w:w="2070" w:type="dxa"/>
            <w:tcBorders>
              <w:top w:val="nil"/>
              <w:left w:val="nil"/>
              <w:bottom w:val="double" w:sz="6" w:space="0" w:color="auto"/>
              <w:right w:val="nil"/>
            </w:tcBorders>
            <w:shd w:val="clear" w:color="auto" w:fill="auto"/>
            <w:noWrap/>
            <w:vAlign w:val="bottom"/>
            <w:hideMark/>
          </w:tcPr>
          <w:p w14:paraId="5B7BBEF6" w14:textId="77777777" w:rsidR="00EF14FB" w:rsidRPr="002553C8" w:rsidRDefault="00EF14FB" w:rsidP="00EF14FB">
            <w:pPr>
              <w:jc w:val="right"/>
              <w:rPr>
                <w:color w:val="000000"/>
                <w:sz w:val="22"/>
                <w:szCs w:val="22"/>
              </w:rPr>
            </w:pPr>
            <w:r>
              <w:rPr>
                <w:color w:val="000000"/>
                <w:sz w:val="22"/>
                <w:szCs w:val="22"/>
              </w:rPr>
              <w:t>-8.93</w:t>
            </w:r>
            <w:r w:rsidRPr="002553C8">
              <w:rPr>
                <w:color w:val="000000"/>
                <w:sz w:val="22"/>
                <w:szCs w:val="22"/>
              </w:rPr>
              <w:t>%</w:t>
            </w:r>
          </w:p>
        </w:tc>
        <w:tc>
          <w:tcPr>
            <w:tcW w:w="1440" w:type="dxa"/>
            <w:tcBorders>
              <w:top w:val="nil"/>
              <w:left w:val="nil"/>
              <w:bottom w:val="nil"/>
              <w:right w:val="nil"/>
            </w:tcBorders>
            <w:shd w:val="clear" w:color="auto" w:fill="auto"/>
            <w:noWrap/>
            <w:vAlign w:val="bottom"/>
            <w:hideMark/>
          </w:tcPr>
          <w:p w14:paraId="3559BC62" w14:textId="77777777" w:rsidR="00EF14FB" w:rsidRPr="002553C8" w:rsidRDefault="00EF14FB" w:rsidP="00EF14FB">
            <w:pPr>
              <w:rPr>
                <w:color w:val="000000"/>
                <w:sz w:val="22"/>
                <w:szCs w:val="22"/>
              </w:rPr>
            </w:pPr>
          </w:p>
        </w:tc>
        <w:tc>
          <w:tcPr>
            <w:tcW w:w="1729" w:type="dxa"/>
            <w:tcBorders>
              <w:top w:val="nil"/>
              <w:left w:val="nil"/>
              <w:bottom w:val="double" w:sz="6" w:space="0" w:color="auto"/>
              <w:right w:val="nil"/>
            </w:tcBorders>
            <w:shd w:val="clear" w:color="auto" w:fill="auto"/>
            <w:noWrap/>
            <w:vAlign w:val="bottom"/>
            <w:hideMark/>
          </w:tcPr>
          <w:p w14:paraId="4E9CCD59" w14:textId="77777777" w:rsidR="00EF14FB" w:rsidRPr="002553C8" w:rsidRDefault="00EF14FB" w:rsidP="00EF14FB">
            <w:pPr>
              <w:jc w:val="right"/>
              <w:rPr>
                <w:color w:val="000000"/>
                <w:sz w:val="22"/>
                <w:szCs w:val="22"/>
              </w:rPr>
            </w:pPr>
            <w:r>
              <w:rPr>
                <w:color w:val="000000"/>
                <w:sz w:val="22"/>
                <w:szCs w:val="22"/>
              </w:rPr>
              <w:t>-7.91</w:t>
            </w:r>
            <w:r w:rsidRPr="002553C8">
              <w:rPr>
                <w:color w:val="000000"/>
                <w:sz w:val="22"/>
                <w:szCs w:val="22"/>
              </w:rPr>
              <w:t>%</w:t>
            </w:r>
          </w:p>
        </w:tc>
        <w:tc>
          <w:tcPr>
            <w:tcW w:w="300" w:type="dxa"/>
            <w:tcBorders>
              <w:top w:val="nil"/>
              <w:left w:val="nil"/>
              <w:bottom w:val="nil"/>
              <w:right w:val="single" w:sz="4" w:space="0" w:color="auto"/>
            </w:tcBorders>
            <w:shd w:val="clear" w:color="auto" w:fill="auto"/>
            <w:noWrap/>
            <w:vAlign w:val="bottom"/>
            <w:hideMark/>
          </w:tcPr>
          <w:p w14:paraId="707EAFB0" w14:textId="77777777" w:rsidR="00EF14FB" w:rsidRPr="002553C8" w:rsidRDefault="00EF14FB" w:rsidP="00EF14FB">
            <w:pPr>
              <w:rPr>
                <w:rFonts w:ascii="Calibri" w:hAnsi="Calibri"/>
                <w:color w:val="000000"/>
                <w:sz w:val="22"/>
                <w:szCs w:val="22"/>
              </w:rPr>
            </w:pPr>
            <w:r w:rsidRPr="002553C8">
              <w:rPr>
                <w:rFonts w:ascii="Calibri" w:hAnsi="Calibri"/>
                <w:color w:val="000000"/>
                <w:sz w:val="22"/>
                <w:szCs w:val="22"/>
              </w:rPr>
              <w:t> </w:t>
            </w:r>
          </w:p>
        </w:tc>
      </w:tr>
      <w:tr w:rsidR="00EF14FB" w:rsidRPr="002553C8" w14:paraId="4FEFF571" w14:textId="77777777" w:rsidTr="00EF14FB">
        <w:trPr>
          <w:trHeight w:hRule="exact" w:val="317"/>
          <w:jc w:val="center"/>
        </w:trPr>
        <w:tc>
          <w:tcPr>
            <w:tcW w:w="266" w:type="dxa"/>
            <w:tcBorders>
              <w:top w:val="nil"/>
              <w:left w:val="single" w:sz="4" w:space="0" w:color="auto"/>
              <w:bottom w:val="single" w:sz="4" w:space="0" w:color="auto"/>
              <w:right w:val="nil"/>
            </w:tcBorders>
            <w:shd w:val="clear" w:color="auto" w:fill="auto"/>
            <w:noWrap/>
            <w:vAlign w:val="bottom"/>
            <w:hideMark/>
          </w:tcPr>
          <w:p w14:paraId="39EED8FC" w14:textId="77777777" w:rsidR="00EF14FB" w:rsidRPr="002553C8" w:rsidRDefault="00EF14FB" w:rsidP="00EF14FB">
            <w:pPr>
              <w:rPr>
                <w:rFonts w:ascii="Calibri" w:hAnsi="Calibri"/>
                <w:color w:val="000000"/>
                <w:sz w:val="22"/>
                <w:szCs w:val="22"/>
              </w:rPr>
            </w:pPr>
            <w:r w:rsidRPr="002553C8">
              <w:rPr>
                <w:rFonts w:ascii="Calibri" w:hAnsi="Calibri"/>
                <w:color w:val="000000"/>
                <w:sz w:val="22"/>
                <w:szCs w:val="22"/>
              </w:rPr>
              <w:t> </w:t>
            </w:r>
          </w:p>
        </w:tc>
        <w:tc>
          <w:tcPr>
            <w:tcW w:w="3204" w:type="dxa"/>
            <w:tcBorders>
              <w:top w:val="nil"/>
              <w:left w:val="nil"/>
              <w:bottom w:val="single" w:sz="4" w:space="0" w:color="auto"/>
              <w:right w:val="nil"/>
            </w:tcBorders>
            <w:shd w:val="clear" w:color="auto" w:fill="auto"/>
            <w:noWrap/>
            <w:vAlign w:val="bottom"/>
            <w:hideMark/>
          </w:tcPr>
          <w:p w14:paraId="1B070AF9" w14:textId="77777777" w:rsidR="00EF14FB" w:rsidRPr="002553C8" w:rsidRDefault="00EF14FB" w:rsidP="00EF14FB">
            <w:pPr>
              <w:rPr>
                <w:rFonts w:ascii="Calibri" w:hAnsi="Calibri"/>
                <w:color w:val="000000"/>
                <w:sz w:val="22"/>
                <w:szCs w:val="22"/>
              </w:rPr>
            </w:pPr>
            <w:r w:rsidRPr="002553C8">
              <w:rPr>
                <w:rFonts w:ascii="Calibri" w:hAnsi="Calibri"/>
                <w:color w:val="000000"/>
                <w:sz w:val="22"/>
                <w:szCs w:val="22"/>
              </w:rPr>
              <w:t> </w:t>
            </w:r>
          </w:p>
        </w:tc>
        <w:tc>
          <w:tcPr>
            <w:tcW w:w="2070" w:type="dxa"/>
            <w:tcBorders>
              <w:top w:val="nil"/>
              <w:left w:val="nil"/>
              <w:bottom w:val="single" w:sz="4" w:space="0" w:color="auto"/>
              <w:right w:val="nil"/>
            </w:tcBorders>
            <w:shd w:val="clear" w:color="auto" w:fill="auto"/>
            <w:noWrap/>
            <w:vAlign w:val="bottom"/>
            <w:hideMark/>
          </w:tcPr>
          <w:p w14:paraId="783CBA9C" w14:textId="77777777" w:rsidR="00EF14FB" w:rsidRPr="002553C8" w:rsidRDefault="00EF14FB" w:rsidP="00EF14FB">
            <w:pPr>
              <w:rPr>
                <w:rFonts w:ascii="Calibri" w:hAnsi="Calibri"/>
                <w:color w:val="000000"/>
                <w:sz w:val="22"/>
                <w:szCs w:val="22"/>
              </w:rPr>
            </w:pPr>
            <w:r w:rsidRPr="002553C8">
              <w:rPr>
                <w:rFonts w:ascii="Calibri" w:hAnsi="Calibri"/>
                <w:color w:val="000000"/>
                <w:sz w:val="22"/>
                <w:szCs w:val="22"/>
              </w:rPr>
              <w:t> </w:t>
            </w:r>
          </w:p>
        </w:tc>
        <w:tc>
          <w:tcPr>
            <w:tcW w:w="1440" w:type="dxa"/>
            <w:tcBorders>
              <w:top w:val="nil"/>
              <w:left w:val="nil"/>
              <w:bottom w:val="single" w:sz="4" w:space="0" w:color="auto"/>
              <w:right w:val="nil"/>
            </w:tcBorders>
            <w:shd w:val="clear" w:color="auto" w:fill="auto"/>
            <w:noWrap/>
            <w:vAlign w:val="bottom"/>
            <w:hideMark/>
          </w:tcPr>
          <w:p w14:paraId="4CCFEFCD" w14:textId="77777777" w:rsidR="00EF14FB" w:rsidRPr="002553C8" w:rsidRDefault="00EF14FB" w:rsidP="00EF14FB">
            <w:pPr>
              <w:rPr>
                <w:rFonts w:ascii="Calibri" w:hAnsi="Calibri"/>
                <w:color w:val="000000"/>
                <w:sz w:val="22"/>
                <w:szCs w:val="22"/>
              </w:rPr>
            </w:pPr>
            <w:r w:rsidRPr="002553C8">
              <w:rPr>
                <w:rFonts w:ascii="Calibri" w:hAnsi="Calibri"/>
                <w:color w:val="000000"/>
                <w:sz w:val="22"/>
                <w:szCs w:val="22"/>
              </w:rPr>
              <w:t> </w:t>
            </w:r>
          </w:p>
        </w:tc>
        <w:tc>
          <w:tcPr>
            <w:tcW w:w="1729" w:type="dxa"/>
            <w:tcBorders>
              <w:top w:val="nil"/>
              <w:left w:val="nil"/>
              <w:bottom w:val="single" w:sz="4" w:space="0" w:color="auto"/>
              <w:right w:val="nil"/>
            </w:tcBorders>
            <w:shd w:val="clear" w:color="auto" w:fill="auto"/>
            <w:noWrap/>
            <w:vAlign w:val="bottom"/>
            <w:hideMark/>
          </w:tcPr>
          <w:p w14:paraId="602F727F" w14:textId="77777777" w:rsidR="00EF14FB" w:rsidRPr="002553C8" w:rsidRDefault="00EF14FB" w:rsidP="00EF14FB">
            <w:pPr>
              <w:rPr>
                <w:rFonts w:ascii="Calibri" w:hAnsi="Calibri"/>
                <w:color w:val="000000"/>
                <w:sz w:val="22"/>
                <w:szCs w:val="22"/>
              </w:rPr>
            </w:pPr>
            <w:r w:rsidRPr="002553C8">
              <w:rPr>
                <w:rFonts w:ascii="Calibri" w:hAnsi="Calibri"/>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bottom"/>
            <w:hideMark/>
          </w:tcPr>
          <w:p w14:paraId="174868FA" w14:textId="77777777" w:rsidR="00EF14FB" w:rsidRPr="002553C8" w:rsidRDefault="00EF14FB" w:rsidP="00EF14FB">
            <w:pPr>
              <w:rPr>
                <w:rFonts w:ascii="Calibri" w:hAnsi="Calibri"/>
                <w:color w:val="000000"/>
                <w:sz w:val="22"/>
                <w:szCs w:val="22"/>
              </w:rPr>
            </w:pPr>
            <w:r w:rsidRPr="002553C8">
              <w:rPr>
                <w:rFonts w:ascii="Calibri" w:hAnsi="Calibri"/>
                <w:color w:val="000000"/>
                <w:sz w:val="22"/>
                <w:szCs w:val="22"/>
              </w:rPr>
              <w:t> </w:t>
            </w:r>
          </w:p>
        </w:tc>
      </w:tr>
    </w:tbl>
    <w:p w14:paraId="43A7D9DA" w14:textId="77777777" w:rsidR="00EF14FB" w:rsidRDefault="00EF14FB" w:rsidP="009969B1">
      <w:pPr>
        <w:sectPr w:rsidR="00EF14FB" w:rsidSect="00EF14FB">
          <w:headerReference w:type="default" r:id="rId13"/>
          <w:headerReference w:type="first" r:id="rId14"/>
          <w:pgSz w:w="12240" w:h="15840" w:code="1"/>
          <w:pgMar w:top="1440" w:right="1440" w:bottom="1440" w:left="1440" w:header="720" w:footer="720" w:gutter="0"/>
          <w:cols w:space="720"/>
          <w:docGrid w:linePitch="360"/>
        </w:sectPr>
      </w:pPr>
    </w:p>
    <w:p w14:paraId="195D45F5" w14:textId="77777777" w:rsidR="00EF14FB" w:rsidRDefault="00EF14FB" w:rsidP="00EF14FB">
      <w:pPr>
        <w:pStyle w:val="BodyText"/>
        <w:contextualSpacing/>
        <w:jc w:val="center"/>
        <w:rPr>
          <w:rFonts w:ascii="Arial" w:hAnsi="Arial" w:cs="Arial"/>
          <w:b/>
        </w:rPr>
      </w:pPr>
      <w:r>
        <w:rPr>
          <w:rFonts w:ascii="Arial" w:hAnsi="Arial" w:cs="Arial"/>
          <w:b/>
        </w:rPr>
        <w:lastRenderedPageBreak/>
        <w:t>ST. JOE NATURAL GAS COMPANY, INC.</w:t>
      </w:r>
    </w:p>
    <w:p w14:paraId="2A517F9A" w14:textId="77777777" w:rsidR="00EF14FB" w:rsidRPr="005C07CF" w:rsidRDefault="00EF14FB" w:rsidP="00EF14FB">
      <w:pPr>
        <w:pStyle w:val="BodyText"/>
        <w:contextualSpacing/>
        <w:jc w:val="center"/>
        <w:rPr>
          <w:rFonts w:ascii="Arial" w:hAnsi="Arial" w:cs="Arial"/>
          <w:b/>
        </w:rPr>
      </w:pPr>
      <w:r w:rsidRPr="005C07CF">
        <w:rPr>
          <w:rFonts w:ascii="Arial" w:hAnsi="Arial" w:cs="Arial"/>
          <w:b/>
        </w:rPr>
        <w:t>Docket No. 202</w:t>
      </w:r>
      <w:r>
        <w:rPr>
          <w:rFonts w:ascii="Arial" w:hAnsi="Arial" w:cs="Arial"/>
          <w:b/>
        </w:rPr>
        <w:t>40046</w:t>
      </w:r>
      <w:r w:rsidRPr="005C07CF">
        <w:rPr>
          <w:rFonts w:ascii="Arial" w:hAnsi="Arial" w:cs="Arial"/>
          <w:b/>
        </w:rPr>
        <w:t>-GU</w:t>
      </w:r>
    </w:p>
    <w:p w14:paraId="1399083F" w14:textId="77777777" w:rsidR="00EF14FB" w:rsidRPr="005C07CF" w:rsidRDefault="00EF14FB" w:rsidP="00EF14FB">
      <w:pPr>
        <w:pStyle w:val="BodyText"/>
        <w:contextualSpacing/>
        <w:jc w:val="center"/>
        <w:rPr>
          <w:rFonts w:ascii="Arial" w:hAnsi="Arial" w:cs="Arial"/>
          <w:b/>
        </w:rPr>
      </w:pPr>
      <w:r w:rsidRPr="005C07CF">
        <w:rPr>
          <w:rFonts w:ascii="Arial" w:hAnsi="Arial" w:cs="Arial"/>
          <w:b/>
        </w:rPr>
        <w:t>Interim Base Year</w:t>
      </w:r>
    </w:p>
    <w:p w14:paraId="70DE0F6F" w14:textId="77777777" w:rsidR="00EF14FB" w:rsidRDefault="00EF14FB" w:rsidP="00EF14FB">
      <w:pPr>
        <w:pStyle w:val="BodyText"/>
        <w:contextualSpacing/>
        <w:jc w:val="center"/>
        <w:rPr>
          <w:rFonts w:ascii="Arial" w:hAnsi="Arial" w:cs="Arial"/>
          <w:b/>
        </w:rPr>
      </w:pPr>
      <w:r w:rsidRPr="005C07CF">
        <w:rPr>
          <w:rFonts w:ascii="Arial" w:hAnsi="Arial" w:cs="Arial"/>
          <w:b/>
        </w:rPr>
        <w:t>December 31, 202</w:t>
      </w:r>
      <w:r>
        <w:rPr>
          <w:rFonts w:ascii="Arial" w:hAnsi="Arial" w:cs="Arial"/>
          <w:b/>
        </w:rPr>
        <w:t>3</w:t>
      </w:r>
    </w:p>
    <w:p w14:paraId="1202F828" w14:textId="77777777" w:rsidR="00EF14FB" w:rsidRDefault="00EF14FB" w:rsidP="00EF14FB">
      <w:pPr>
        <w:pStyle w:val="BodyText"/>
        <w:contextualSpacing/>
        <w:jc w:val="center"/>
        <w:rPr>
          <w:rFonts w:ascii="Arial" w:hAnsi="Arial" w:cs="Arial"/>
          <w:b/>
        </w:rPr>
      </w:pPr>
    </w:p>
    <w:tbl>
      <w:tblPr>
        <w:tblW w:w="9832" w:type="dxa"/>
        <w:jc w:val="center"/>
        <w:tblCellMar>
          <w:left w:w="0" w:type="dxa"/>
          <w:right w:w="0" w:type="dxa"/>
        </w:tblCellMar>
        <w:tblLook w:val="04A0" w:firstRow="1" w:lastRow="0" w:firstColumn="1" w:lastColumn="0" w:noHBand="0" w:noVBand="1"/>
      </w:tblPr>
      <w:tblGrid>
        <w:gridCol w:w="320"/>
        <w:gridCol w:w="3099"/>
        <w:gridCol w:w="1569"/>
        <w:gridCol w:w="618"/>
        <w:gridCol w:w="492"/>
        <w:gridCol w:w="636"/>
        <w:gridCol w:w="399"/>
        <w:gridCol w:w="682"/>
        <w:gridCol w:w="1596"/>
        <w:gridCol w:w="431"/>
        <w:gridCol w:w="87"/>
        <w:gridCol w:w="9"/>
      </w:tblGrid>
      <w:tr w:rsidR="00EF14FB" w:rsidRPr="000D241F" w14:paraId="2DE40281" w14:textId="77777777" w:rsidTr="00EF14FB">
        <w:trPr>
          <w:gridAfter w:val="1"/>
          <w:wAfter w:w="15" w:type="dxa"/>
          <w:trHeight w:val="300"/>
          <w:jc w:val="center"/>
        </w:trPr>
        <w:tc>
          <w:tcPr>
            <w:tcW w:w="312" w:type="dxa"/>
            <w:tcBorders>
              <w:top w:val="single" w:sz="4" w:space="0" w:color="auto"/>
              <w:left w:val="single" w:sz="4" w:space="0" w:color="auto"/>
              <w:bottom w:val="nil"/>
              <w:right w:val="nil"/>
            </w:tcBorders>
            <w:shd w:val="clear" w:color="auto" w:fill="auto"/>
            <w:noWrap/>
            <w:vAlign w:val="bottom"/>
            <w:hideMark/>
          </w:tcPr>
          <w:p w14:paraId="16F6E07D" w14:textId="77777777" w:rsidR="00EF14FB" w:rsidRDefault="00EF14FB" w:rsidP="00EF14FB">
            <w:pPr>
              <w:rPr>
                <w:rFonts w:ascii="Calibri" w:hAnsi="Calibri"/>
                <w:color w:val="000000"/>
                <w:sz w:val="22"/>
                <w:szCs w:val="22"/>
              </w:rPr>
            </w:pPr>
            <w:r>
              <w:rPr>
                <w:rFonts w:ascii="Calibri" w:hAnsi="Calibri"/>
                <w:color w:val="000000"/>
                <w:sz w:val="22"/>
                <w:szCs w:val="22"/>
              </w:rPr>
              <w:t> </w:t>
            </w:r>
          </w:p>
        </w:tc>
        <w:tc>
          <w:tcPr>
            <w:tcW w:w="3083" w:type="dxa"/>
            <w:tcBorders>
              <w:top w:val="single" w:sz="4" w:space="0" w:color="auto"/>
              <w:left w:val="nil"/>
              <w:bottom w:val="nil"/>
              <w:right w:val="nil"/>
            </w:tcBorders>
            <w:shd w:val="clear" w:color="auto" w:fill="auto"/>
            <w:noWrap/>
            <w:vAlign w:val="bottom"/>
            <w:hideMark/>
          </w:tcPr>
          <w:p w14:paraId="180ED99A" w14:textId="77777777" w:rsidR="00EF14FB" w:rsidRPr="000D241F" w:rsidRDefault="00EF14FB" w:rsidP="00EF14FB">
            <w:pPr>
              <w:jc w:val="center"/>
              <w:rPr>
                <w:b/>
                <w:color w:val="000000"/>
                <w:sz w:val="22"/>
                <w:szCs w:val="22"/>
              </w:rPr>
            </w:pPr>
          </w:p>
        </w:tc>
        <w:tc>
          <w:tcPr>
            <w:tcW w:w="2167" w:type="dxa"/>
            <w:gridSpan w:val="2"/>
            <w:tcBorders>
              <w:top w:val="single" w:sz="4" w:space="0" w:color="auto"/>
              <w:left w:val="nil"/>
              <w:bottom w:val="nil"/>
              <w:right w:val="nil"/>
            </w:tcBorders>
            <w:shd w:val="clear" w:color="auto" w:fill="auto"/>
            <w:noWrap/>
            <w:vAlign w:val="bottom"/>
            <w:hideMark/>
          </w:tcPr>
          <w:p w14:paraId="0CBEB9A6" w14:textId="77777777" w:rsidR="00EF14FB" w:rsidRPr="000D241F" w:rsidRDefault="00EF14FB" w:rsidP="00EF14FB">
            <w:pPr>
              <w:jc w:val="center"/>
              <w:rPr>
                <w:b/>
                <w:color w:val="000000"/>
                <w:sz w:val="22"/>
                <w:szCs w:val="22"/>
              </w:rPr>
            </w:pPr>
            <w:r>
              <w:rPr>
                <w:b/>
                <w:color w:val="000000"/>
                <w:sz w:val="22"/>
                <w:szCs w:val="22"/>
              </w:rPr>
              <w:t xml:space="preserve">      </w:t>
            </w:r>
            <w:r w:rsidRPr="000D241F">
              <w:rPr>
                <w:b/>
                <w:color w:val="000000"/>
                <w:sz w:val="22"/>
                <w:szCs w:val="22"/>
              </w:rPr>
              <w:t>Jurisdictional</w:t>
            </w:r>
          </w:p>
        </w:tc>
        <w:tc>
          <w:tcPr>
            <w:tcW w:w="1108" w:type="dxa"/>
            <w:gridSpan w:val="2"/>
            <w:tcBorders>
              <w:top w:val="single" w:sz="4" w:space="0" w:color="auto"/>
              <w:left w:val="nil"/>
              <w:bottom w:val="nil"/>
              <w:right w:val="nil"/>
            </w:tcBorders>
            <w:shd w:val="clear" w:color="auto" w:fill="auto"/>
            <w:noWrap/>
            <w:vAlign w:val="bottom"/>
            <w:hideMark/>
          </w:tcPr>
          <w:p w14:paraId="0BE4BA79" w14:textId="77777777" w:rsidR="00EF14FB" w:rsidRPr="000D241F" w:rsidRDefault="00EF14FB" w:rsidP="00EF14FB">
            <w:pPr>
              <w:jc w:val="center"/>
              <w:rPr>
                <w:b/>
                <w:color w:val="000000"/>
                <w:sz w:val="22"/>
                <w:szCs w:val="22"/>
              </w:rPr>
            </w:pPr>
          </w:p>
        </w:tc>
        <w:tc>
          <w:tcPr>
            <w:tcW w:w="1065" w:type="dxa"/>
            <w:gridSpan w:val="2"/>
            <w:tcBorders>
              <w:top w:val="single" w:sz="4" w:space="0" w:color="auto"/>
              <w:left w:val="nil"/>
              <w:bottom w:val="nil"/>
              <w:right w:val="nil"/>
            </w:tcBorders>
            <w:shd w:val="clear" w:color="auto" w:fill="auto"/>
            <w:noWrap/>
            <w:vAlign w:val="bottom"/>
            <w:hideMark/>
          </w:tcPr>
          <w:p w14:paraId="60D26B07" w14:textId="77777777" w:rsidR="00EF14FB" w:rsidRPr="000D241F" w:rsidRDefault="00EF14FB" w:rsidP="00EF14FB">
            <w:pPr>
              <w:jc w:val="center"/>
              <w:rPr>
                <w:b/>
                <w:color w:val="000000"/>
                <w:sz w:val="22"/>
                <w:szCs w:val="22"/>
              </w:rPr>
            </w:pPr>
          </w:p>
        </w:tc>
        <w:tc>
          <w:tcPr>
            <w:tcW w:w="2011" w:type="dxa"/>
            <w:gridSpan w:val="2"/>
            <w:tcBorders>
              <w:top w:val="single" w:sz="4" w:space="0" w:color="auto"/>
              <w:left w:val="nil"/>
              <w:bottom w:val="nil"/>
              <w:right w:val="nil"/>
            </w:tcBorders>
            <w:shd w:val="clear" w:color="auto" w:fill="auto"/>
            <w:noWrap/>
            <w:vAlign w:val="bottom"/>
            <w:hideMark/>
          </w:tcPr>
          <w:p w14:paraId="0360D8CB" w14:textId="77777777" w:rsidR="00EF14FB" w:rsidRPr="000D241F" w:rsidRDefault="00EF14FB" w:rsidP="00EF14FB">
            <w:pPr>
              <w:jc w:val="center"/>
              <w:rPr>
                <w:b/>
                <w:color w:val="000000"/>
                <w:sz w:val="22"/>
                <w:szCs w:val="22"/>
              </w:rPr>
            </w:pPr>
          </w:p>
        </w:tc>
        <w:tc>
          <w:tcPr>
            <w:tcW w:w="71" w:type="dxa"/>
            <w:tcBorders>
              <w:top w:val="single" w:sz="4" w:space="0" w:color="auto"/>
              <w:left w:val="nil"/>
              <w:bottom w:val="nil"/>
              <w:right w:val="single" w:sz="4" w:space="0" w:color="auto"/>
            </w:tcBorders>
            <w:shd w:val="clear" w:color="auto" w:fill="auto"/>
            <w:noWrap/>
            <w:vAlign w:val="bottom"/>
            <w:hideMark/>
          </w:tcPr>
          <w:p w14:paraId="356990C7" w14:textId="77777777" w:rsidR="00EF14FB" w:rsidRPr="000D241F" w:rsidRDefault="00EF14FB" w:rsidP="00EF14FB">
            <w:pPr>
              <w:rPr>
                <w:rFonts w:ascii="Calibri" w:hAnsi="Calibri"/>
                <w:color w:val="000000"/>
                <w:sz w:val="22"/>
                <w:szCs w:val="22"/>
              </w:rPr>
            </w:pPr>
            <w:r w:rsidRPr="000D241F">
              <w:rPr>
                <w:rFonts w:ascii="Calibri" w:hAnsi="Calibri"/>
                <w:color w:val="000000"/>
                <w:sz w:val="22"/>
                <w:szCs w:val="22"/>
              </w:rPr>
              <w:t> </w:t>
            </w:r>
          </w:p>
        </w:tc>
      </w:tr>
      <w:tr w:rsidR="00EF14FB" w:rsidRPr="00782E6A" w14:paraId="03D352A0" w14:textId="77777777" w:rsidTr="00EF14FB">
        <w:trPr>
          <w:trHeight w:val="300"/>
          <w:jc w:val="center"/>
        </w:trPr>
        <w:tc>
          <w:tcPr>
            <w:tcW w:w="312" w:type="dxa"/>
            <w:tcBorders>
              <w:top w:val="nil"/>
              <w:left w:val="single" w:sz="4" w:space="0" w:color="auto"/>
              <w:bottom w:val="nil"/>
              <w:right w:val="nil"/>
            </w:tcBorders>
            <w:shd w:val="clear" w:color="auto" w:fill="auto"/>
            <w:noWrap/>
            <w:vAlign w:val="bottom"/>
            <w:hideMark/>
          </w:tcPr>
          <w:p w14:paraId="1F40CB08" w14:textId="77777777" w:rsidR="00EF14FB" w:rsidRPr="00782E6A" w:rsidRDefault="00EF14FB" w:rsidP="00EF14FB">
            <w:pPr>
              <w:jc w:val="center"/>
              <w:rPr>
                <w:b/>
                <w:color w:val="000000"/>
                <w:sz w:val="22"/>
                <w:szCs w:val="22"/>
              </w:rPr>
            </w:pPr>
          </w:p>
        </w:tc>
        <w:tc>
          <w:tcPr>
            <w:tcW w:w="3083" w:type="dxa"/>
            <w:tcBorders>
              <w:top w:val="nil"/>
              <w:left w:val="nil"/>
              <w:bottom w:val="nil"/>
              <w:right w:val="nil"/>
            </w:tcBorders>
            <w:shd w:val="clear" w:color="auto" w:fill="auto"/>
            <w:noWrap/>
            <w:vAlign w:val="bottom"/>
            <w:hideMark/>
          </w:tcPr>
          <w:p w14:paraId="13B9C647" w14:textId="77777777" w:rsidR="00EF14FB" w:rsidRPr="000D241F" w:rsidRDefault="00EF14FB" w:rsidP="00EF14FB">
            <w:pPr>
              <w:jc w:val="center"/>
              <w:rPr>
                <w:b/>
                <w:color w:val="000000"/>
                <w:sz w:val="22"/>
                <w:szCs w:val="22"/>
              </w:rPr>
            </w:pPr>
          </w:p>
        </w:tc>
        <w:tc>
          <w:tcPr>
            <w:tcW w:w="1553" w:type="dxa"/>
            <w:tcBorders>
              <w:top w:val="nil"/>
              <w:left w:val="nil"/>
              <w:bottom w:val="nil"/>
              <w:right w:val="nil"/>
            </w:tcBorders>
            <w:shd w:val="clear" w:color="auto" w:fill="auto"/>
            <w:noWrap/>
            <w:vAlign w:val="bottom"/>
            <w:hideMark/>
          </w:tcPr>
          <w:p w14:paraId="58F85980" w14:textId="77777777" w:rsidR="00EF14FB" w:rsidRPr="000D241F" w:rsidRDefault="00EF14FB" w:rsidP="00EF14FB">
            <w:pPr>
              <w:jc w:val="center"/>
              <w:rPr>
                <w:b/>
                <w:color w:val="000000"/>
                <w:sz w:val="22"/>
                <w:szCs w:val="22"/>
              </w:rPr>
            </w:pPr>
            <w:r>
              <w:rPr>
                <w:b/>
                <w:color w:val="000000"/>
                <w:sz w:val="22"/>
                <w:szCs w:val="22"/>
              </w:rPr>
              <w:t xml:space="preserve">               </w:t>
            </w:r>
            <w:r w:rsidRPr="000D241F">
              <w:rPr>
                <w:b/>
                <w:color w:val="000000"/>
                <w:sz w:val="22"/>
                <w:szCs w:val="22"/>
              </w:rPr>
              <w:t>Capital</w:t>
            </w:r>
          </w:p>
        </w:tc>
        <w:tc>
          <w:tcPr>
            <w:tcW w:w="1094" w:type="dxa"/>
            <w:gridSpan w:val="2"/>
            <w:tcBorders>
              <w:top w:val="nil"/>
              <w:left w:val="nil"/>
              <w:bottom w:val="nil"/>
              <w:right w:val="nil"/>
            </w:tcBorders>
            <w:shd w:val="clear" w:color="auto" w:fill="auto"/>
            <w:noWrap/>
            <w:vAlign w:val="bottom"/>
          </w:tcPr>
          <w:p w14:paraId="4A8E56D2" w14:textId="77777777" w:rsidR="00EF14FB" w:rsidRPr="000D241F" w:rsidRDefault="00EF14FB" w:rsidP="00EF14FB">
            <w:pPr>
              <w:jc w:val="center"/>
              <w:rPr>
                <w:b/>
                <w:color w:val="000000"/>
                <w:sz w:val="22"/>
                <w:szCs w:val="22"/>
              </w:rPr>
            </w:pPr>
          </w:p>
        </w:tc>
        <w:tc>
          <w:tcPr>
            <w:tcW w:w="1020" w:type="dxa"/>
            <w:gridSpan w:val="2"/>
            <w:tcBorders>
              <w:top w:val="nil"/>
              <w:left w:val="nil"/>
              <w:bottom w:val="nil"/>
              <w:right w:val="nil"/>
            </w:tcBorders>
            <w:shd w:val="clear" w:color="auto" w:fill="auto"/>
            <w:noWrap/>
            <w:vAlign w:val="bottom"/>
            <w:hideMark/>
          </w:tcPr>
          <w:p w14:paraId="51A58F87" w14:textId="77777777" w:rsidR="00EF14FB" w:rsidRPr="000D241F" w:rsidRDefault="00EF14FB" w:rsidP="00EF14FB">
            <w:pPr>
              <w:rPr>
                <w:b/>
                <w:color w:val="000000"/>
                <w:sz w:val="22"/>
                <w:szCs w:val="22"/>
              </w:rPr>
            </w:pPr>
            <w:r w:rsidRPr="000D241F">
              <w:rPr>
                <w:b/>
                <w:color w:val="000000"/>
                <w:sz w:val="22"/>
                <w:szCs w:val="22"/>
              </w:rPr>
              <w:t>Cost</w:t>
            </w:r>
          </w:p>
        </w:tc>
        <w:tc>
          <w:tcPr>
            <w:tcW w:w="2259" w:type="dxa"/>
            <w:gridSpan w:val="2"/>
            <w:tcBorders>
              <w:top w:val="nil"/>
              <w:left w:val="nil"/>
              <w:bottom w:val="nil"/>
              <w:right w:val="nil"/>
            </w:tcBorders>
            <w:shd w:val="clear" w:color="auto" w:fill="auto"/>
            <w:noWrap/>
            <w:vAlign w:val="bottom"/>
            <w:hideMark/>
          </w:tcPr>
          <w:p w14:paraId="578014B2" w14:textId="77777777" w:rsidR="00EF14FB" w:rsidRPr="000D241F" w:rsidRDefault="00EF14FB" w:rsidP="00EF14FB">
            <w:pPr>
              <w:ind w:left="351" w:right="-450"/>
              <w:jc w:val="center"/>
              <w:rPr>
                <w:b/>
                <w:color w:val="000000"/>
                <w:sz w:val="22"/>
                <w:szCs w:val="22"/>
              </w:rPr>
            </w:pPr>
            <w:r>
              <w:rPr>
                <w:b/>
                <w:color w:val="000000"/>
                <w:sz w:val="22"/>
                <w:szCs w:val="22"/>
              </w:rPr>
              <w:t xml:space="preserve">      </w:t>
            </w:r>
            <w:r w:rsidRPr="000D241F">
              <w:rPr>
                <w:b/>
                <w:color w:val="000000"/>
                <w:sz w:val="22"/>
                <w:szCs w:val="22"/>
              </w:rPr>
              <w:t>Weighted</w:t>
            </w:r>
          </w:p>
        </w:tc>
        <w:tc>
          <w:tcPr>
            <w:tcW w:w="511" w:type="dxa"/>
            <w:gridSpan w:val="3"/>
            <w:tcBorders>
              <w:top w:val="nil"/>
              <w:left w:val="nil"/>
              <w:bottom w:val="nil"/>
              <w:right w:val="single" w:sz="4" w:space="0" w:color="auto"/>
            </w:tcBorders>
            <w:shd w:val="clear" w:color="auto" w:fill="auto"/>
            <w:noWrap/>
            <w:vAlign w:val="bottom"/>
            <w:hideMark/>
          </w:tcPr>
          <w:p w14:paraId="67A6C4A8" w14:textId="77777777" w:rsidR="00EF14FB" w:rsidRPr="00782E6A" w:rsidRDefault="00EF14FB" w:rsidP="00EF14FB">
            <w:pPr>
              <w:ind w:left="-840"/>
              <w:jc w:val="center"/>
              <w:rPr>
                <w:b/>
                <w:color w:val="000000"/>
                <w:sz w:val="22"/>
                <w:szCs w:val="22"/>
              </w:rPr>
            </w:pPr>
          </w:p>
        </w:tc>
      </w:tr>
      <w:tr w:rsidR="00EF14FB" w:rsidRPr="000D241F" w14:paraId="331E8095" w14:textId="77777777" w:rsidTr="00EF14FB">
        <w:trPr>
          <w:gridAfter w:val="1"/>
          <w:wAfter w:w="15" w:type="dxa"/>
          <w:trHeight w:val="300"/>
          <w:jc w:val="center"/>
        </w:trPr>
        <w:tc>
          <w:tcPr>
            <w:tcW w:w="312" w:type="dxa"/>
            <w:tcBorders>
              <w:top w:val="nil"/>
              <w:left w:val="single" w:sz="4" w:space="0" w:color="auto"/>
              <w:bottom w:val="single" w:sz="4" w:space="0" w:color="auto"/>
              <w:right w:val="nil"/>
            </w:tcBorders>
            <w:shd w:val="clear" w:color="auto" w:fill="auto"/>
            <w:noWrap/>
            <w:vAlign w:val="bottom"/>
            <w:hideMark/>
          </w:tcPr>
          <w:p w14:paraId="5D1585B0" w14:textId="77777777" w:rsidR="00EF14FB" w:rsidRDefault="00EF14FB" w:rsidP="00EF14FB">
            <w:pPr>
              <w:rPr>
                <w:rFonts w:ascii="Calibri" w:hAnsi="Calibri"/>
                <w:color w:val="000000"/>
                <w:sz w:val="22"/>
                <w:szCs w:val="22"/>
              </w:rPr>
            </w:pPr>
            <w:r>
              <w:rPr>
                <w:rFonts w:ascii="Calibri" w:hAnsi="Calibri"/>
                <w:color w:val="000000"/>
                <w:sz w:val="22"/>
                <w:szCs w:val="22"/>
              </w:rPr>
              <w:t> </w:t>
            </w:r>
          </w:p>
        </w:tc>
        <w:tc>
          <w:tcPr>
            <w:tcW w:w="3083" w:type="dxa"/>
            <w:tcBorders>
              <w:top w:val="nil"/>
              <w:left w:val="nil"/>
              <w:bottom w:val="single" w:sz="4" w:space="0" w:color="auto"/>
              <w:right w:val="nil"/>
            </w:tcBorders>
            <w:shd w:val="clear" w:color="auto" w:fill="auto"/>
            <w:noWrap/>
            <w:vAlign w:val="bottom"/>
            <w:hideMark/>
          </w:tcPr>
          <w:p w14:paraId="1DB6884E" w14:textId="77777777" w:rsidR="00EF14FB" w:rsidRPr="000D241F" w:rsidRDefault="00EF14FB" w:rsidP="00EF14FB">
            <w:pPr>
              <w:jc w:val="center"/>
              <w:rPr>
                <w:b/>
                <w:color w:val="000000"/>
                <w:sz w:val="22"/>
                <w:szCs w:val="22"/>
              </w:rPr>
            </w:pPr>
            <w:r w:rsidRPr="000D241F">
              <w:rPr>
                <w:b/>
                <w:color w:val="000000"/>
                <w:sz w:val="22"/>
                <w:szCs w:val="22"/>
              </w:rPr>
              <w:t>Capital Component</w:t>
            </w:r>
          </w:p>
        </w:tc>
        <w:tc>
          <w:tcPr>
            <w:tcW w:w="2167" w:type="dxa"/>
            <w:gridSpan w:val="2"/>
            <w:tcBorders>
              <w:top w:val="nil"/>
              <w:left w:val="nil"/>
              <w:bottom w:val="single" w:sz="4" w:space="0" w:color="auto"/>
              <w:right w:val="nil"/>
            </w:tcBorders>
            <w:shd w:val="clear" w:color="auto" w:fill="auto"/>
            <w:noWrap/>
            <w:vAlign w:val="bottom"/>
            <w:hideMark/>
          </w:tcPr>
          <w:p w14:paraId="7E97EA3B" w14:textId="77777777" w:rsidR="00EF14FB" w:rsidRPr="000D241F" w:rsidRDefault="00EF14FB" w:rsidP="00EF14FB">
            <w:pPr>
              <w:rPr>
                <w:b/>
                <w:color w:val="000000"/>
                <w:sz w:val="22"/>
                <w:szCs w:val="22"/>
              </w:rPr>
            </w:pPr>
            <w:r>
              <w:rPr>
                <w:b/>
                <w:color w:val="000000"/>
                <w:sz w:val="22"/>
                <w:szCs w:val="22"/>
              </w:rPr>
              <w:t xml:space="preserve">              </w:t>
            </w:r>
            <w:r w:rsidRPr="000D241F">
              <w:rPr>
                <w:b/>
                <w:color w:val="000000"/>
                <w:sz w:val="22"/>
                <w:szCs w:val="22"/>
              </w:rPr>
              <w:t>Structure</w:t>
            </w:r>
          </w:p>
        </w:tc>
        <w:tc>
          <w:tcPr>
            <w:tcW w:w="1108" w:type="dxa"/>
            <w:gridSpan w:val="2"/>
            <w:tcBorders>
              <w:top w:val="nil"/>
              <w:left w:val="nil"/>
              <w:bottom w:val="single" w:sz="4" w:space="0" w:color="auto"/>
              <w:right w:val="nil"/>
            </w:tcBorders>
            <w:shd w:val="clear" w:color="auto" w:fill="auto"/>
            <w:noWrap/>
            <w:vAlign w:val="bottom"/>
            <w:hideMark/>
          </w:tcPr>
          <w:p w14:paraId="2501C7BB" w14:textId="77777777" w:rsidR="00EF14FB" w:rsidRPr="000D241F" w:rsidRDefault="00EF14FB" w:rsidP="00EF14FB">
            <w:pPr>
              <w:jc w:val="center"/>
              <w:rPr>
                <w:b/>
                <w:color w:val="000000"/>
                <w:sz w:val="22"/>
                <w:szCs w:val="22"/>
              </w:rPr>
            </w:pPr>
            <w:r>
              <w:rPr>
                <w:b/>
                <w:color w:val="000000"/>
                <w:sz w:val="22"/>
                <w:szCs w:val="22"/>
              </w:rPr>
              <w:t xml:space="preserve">      </w:t>
            </w:r>
            <w:r w:rsidRPr="000D241F">
              <w:rPr>
                <w:b/>
                <w:color w:val="000000"/>
                <w:sz w:val="22"/>
                <w:szCs w:val="22"/>
              </w:rPr>
              <w:t>Ratio</w:t>
            </w:r>
          </w:p>
        </w:tc>
        <w:tc>
          <w:tcPr>
            <w:tcW w:w="1065" w:type="dxa"/>
            <w:gridSpan w:val="2"/>
            <w:tcBorders>
              <w:top w:val="nil"/>
              <w:left w:val="nil"/>
              <w:bottom w:val="single" w:sz="4" w:space="0" w:color="auto"/>
              <w:right w:val="nil"/>
            </w:tcBorders>
            <w:shd w:val="clear" w:color="auto" w:fill="auto"/>
            <w:noWrap/>
            <w:vAlign w:val="bottom"/>
            <w:hideMark/>
          </w:tcPr>
          <w:p w14:paraId="505812CB" w14:textId="77777777" w:rsidR="00EF14FB" w:rsidRPr="000D241F" w:rsidRDefault="00EF14FB" w:rsidP="00EF14FB">
            <w:pPr>
              <w:jc w:val="center"/>
              <w:rPr>
                <w:b/>
                <w:color w:val="000000"/>
                <w:sz w:val="22"/>
                <w:szCs w:val="22"/>
              </w:rPr>
            </w:pPr>
            <w:r>
              <w:rPr>
                <w:b/>
                <w:color w:val="000000"/>
                <w:sz w:val="22"/>
                <w:szCs w:val="22"/>
              </w:rPr>
              <w:t xml:space="preserve">       </w:t>
            </w:r>
            <w:r w:rsidRPr="000D241F">
              <w:rPr>
                <w:b/>
                <w:color w:val="000000"/>
                <w:sz w:val="22"/>
                <w:szCs w:val="22"/>
              </w:rPr>
              <w:t>Rate</w:t>
            </w:r>
          </w:p>
        </w:tc>
        <w:tc>
          <w:tcPr>
            <w:tcW w:w="2011" w:type="dxa"/>
            <w:gridSpan w:val="2"/>
            <w:tcBorders>
              <w:top w:val="nil"/>
              <w:left w:val="nil"/>
              <w:bottom w:val="single" w:sz="4" w:space="0" w:color="auto"/>
              <w:right w:val="nil"/>
            </w:tcBorders>
            <w:shd w:val="clear" w:color="auto" w:fill="auto"/>
            <w:noWrap/>
            <w:vAlign w:val="bottom"/>
            <w:hideMark/>
          </w:tcPr>
          <w:p w14:paraId="5DD5E8FC" w14:textId="77777777" w:rsidR="00EF14FB" w:rsidRPr="000D241F" w:rsidRDefault="00EF14FB" w:rsidP="00EF14FB">
            <w:pPr>
              <w:jc w:val="center"/>
              <w:rPr>
                <w:b/>
                <w:color w:val="000000"/>
                <w:sz w:val="22"/>
                <w:szCs w:val="22"/>
              </w:rPr>
            </w:pPr>
            <w:r w:rsidRPr="000D241F">
              <w:rPr>
                <w:b/>
                <w:color w:val="000000"/>
                <w:sz w:val="22"/>
                <w:szCs w:val="22"/>
              </w:rPr>
              <w:t>Cost Rate</w:t>
            </w:r>
          </w:p>
        </w:tc>
        <w:tc>
          <w:tcPr>
            <w:tcW w:w="71" w:type="dxa"/>
            <w:tcBorders>
              <w:top w:val="nil"/>
              <w:left w:val="nil"/>
              <w:bottom w:val="single" w:sz="4" w:space="0" w:color="auto"/>
              <w:right w:val="single" w:sz="4" w:space="0" w:color="auto"/>
            </w:tcBorders>
            <w:shd w:val="clear" w:color="auto" w:fill="auto"/>
            <w:noWrap/>
            <w:vAlign w:val="bottom"/>
            <w:hideMark/>
          </w:tcPr>
          <w:p w14:paraId="7257F352" w14:textId="77777777" w:rsidR="00EF14FB" w:rsidRPr="000D241F" w:rsidRDefault="00EF14FB" w:rsidP="00EF14FB">
            <w:pPr>
              <w:rPr>
                <w:rFonts w:ascii="Calibri" w:hAnsi="Calibri"/>
                <w:color w:val="000000"/>
                <w:sz w:val="22"/>
                <w:szCs w:val="22"/>
              </w:rPr>
            </w:pPr>
            <w:r w:rsidRPr="000D241F">
              <w:rPr>
                <w:rFonts w:ascii="Calibri" w:hAnsi="Calibri"/>
                <w:color w:val="000000"/>
                <w:sz w:val="22"/>
                <w:szCs w:val="22"/>
              </w:rPr>
              <w:t> </w:t>
            </w:r>
          </w:p>
        </w:tc>
      </w:tr>
      <w:tr w:rsidR="00EF14FB" w:rsidRPr="000D241F" w14:paraId="1FB6187C" w14:textId="77777777" w:rsidTr="00EF14FB">
        <w:trPr>
          <w:gridAfter w:val="1"/>
          <w:wAfter w:w="15" w:type="dxa"/>
          <w:trHeight w:hRule="exact" w:val="302"/>
          <w:jc w:val="center"/>
        </w:trPr>
        <w:tc>
          <w:tcPr>
            <w:tcW w:w="312" w:type="dxa"/>
            <w:tcBorders>
              <w:top w:val="nil"/>
              <w:left w:val="single" w:sz="4" w:space="0" w:color="auto"/>
              <w:bottom w:val="nil"/>
              <w:right w:val="nil"/>
            </w:tcBorders>
            <w:shd w:val="clear" w:color="auto" w:fill="auto"/>
            <w:noWrap/>
            <w:vAlign w:val="bottom"/>
            <w:hideMark/>
          </w:tcPr>
          <w:p w14:paraId="3437AE45" w14:textId="77777777" w:rsidR="00EF14FB" w:rsidRDefault="00EF14FB" w:rsidP="00EF14FB">
            <w:pPr>
              <w:rPr>
                <w:rFonts w:ascii="Calibri" w:hAnsi="Calibri"/>
                <w:color w:val="000000"/>
                <w:sz w:val="22"/>
                <w:szCs w:val="22"/>
              </w:rPr>
            </w:pPr>
            <w:r>
              <w:rPr>
                <w:rFonts w:ascii="Calibri" w:hAnsi="Calibri"/>
                <w:color w:val="000000"/>
                <w:sz w:val="22"/>
                <w:szCs w:val="22"/>
              </w:rPr>
              <w:t> </w:t>
            </w:r>
          </w:p>
        </w:tc>
        <w:tc>
          <w:tcPr>
            <w:tcW w:w="3083" w:type="dxa"/>
            <w:tcBorders>
              <w:top w:val="nil"/>
              <w:left w:val="nil"/>
              <w:bottom w:val="nil"/>
              <w:right w:val="nil"/>
            </w:tcBorders>
            <w:shd w:val="clear" w:color="auto" w:fill="auto"/>
            <w:noWrap/>
            <w:vAlign w:val="bottom"/>
            <w:hideMark/>
          </w:tcPr>
          <w:p w14:paraId="5725543F" w14:textId="77777777" w:rsidR="00EF14FB" w:rsidRPr="000D241F" w:rsidRDefault="00EF14FB" w:rsidP="00EF14FB">
            <w:pPr>
              <w:rPr>
                <w:color w:val="000000"/>
                <w:sz w:val="22"/>
                <w:szCs w:val="22"/>
              </w:rPr>
            </w:pPr>
            <w:r>
              <w:rPr>
                <w:color w:val="000000"/>
                <w:sz w:val="22"/>
                <w:szCs w:val="22"/>
              </w:rPr>
              <w:t>Long-</w:t>
            </w:r>
            <w:r w:rsidRPr="000D241F">
              <w:rPr>
                <w:color w:val="000000"/>
                <w:sz w:val="22"/>
                <w:szCs w:val="22"/>
              </w:rPr>
              <w:t>Term Debt</w:t>
            </w:r>
          </w:p>
        </w:tc>
        <w:tc>
          <w:tcPr>
            <w:tcW w:w="2167" w:type="dxa"/>
            <w:gridSpan w:val="2"/>
            <w:tcBorders>
              <w:top w:val="nil"/>
              <w:left w:val="nil"/>
              <w:bottom w:val="nil"/>
              <w:right w:val="nil"/>
            </w:tcBorders>
            <w:shd w:val="clear" w:color="auto" w:fill="auto"/>
            <w:noWrap/>
            <w:vAlign w:val="bottom"/>
            <w:hideMark/>
          </w:tcPr>
          <w:p w14:paraId="4E1DE428" w14:textId="77777777" w:rsidR="00EF14FB" w:rsidRPr="000D241F" w:rsidRDefault="00EF14FB" w:rsidP="00EF14FB">
            <w:pPr>
              <w:jc w:val="right"/>
              <w:rPr>
                <w:color w:val="000000"/>
                <w:sz w:val="22"/>
                <w:szCs w:val="22"/>
              </w:rPr>
            </w:pPr>
            <w:r>
              <w:rPr>
                <w:color w:val="000000"/>
                <w:sz w:val="22"/>
                <w:szCs w:val="22"/>
              </w:rPr>
              <w:t>$49,019</w:t>
            </w:r>
          </w:p>
        </w:tc>
        <w:tc>
          <w:tcPr>
            <w:tcW w:w="1108" w:type="dxa"/>
            <w:gridSpan w:val="2"/>
            <w:tcBorders>
              <w:top w:val="nil"/>
              <w:left w:val="nil"/>
              <w:bottom w:val="nil"/>
              <w:right w:val="nil"/>
            </w:tcBorders>
            <w:shd w:val="clear" w:color="auto" w:fill="auto"/>
            <w:noWrap/>
            <w:vAlign w:val="bottom"/>
            <w:hideMark/>
          </w:tcPr>
          <w:p w14:paraId="6BC6A241" w14:textId="77777777" w:rsidR="00EF14FB" w:rsidRPr="000D241F" w:rsidRDefault="00EF14FB" w:rsidP="00EF14FB">
            <w:pPr>
              <w:jc w:val="right"/>
              <w:rPr>
                <w:color w:val="000000"/>
                <w:sz w:val="22"/>
                <w:szCs w:val="22"/>
              </w:rPr>
            </w:pPr>
            <w:r>
              <w:rPr>
                <w:color w:val="000000"/>
                <w:sz w:val="22"/>
                <w:szCs w:val="22"/>
              </w:rPr>
              <w:t>1.55</w:t>
            </w:r>
            <w:r w:rsidRPr="000D241F">
              <w:rPr>
                <w:color w:val="000000"/>
                <w:sz w:val="22"/>
                <w:szCs w:val="22"/>
              </w:rPr>
              <w:t>%</w:t>
            </w:r>
          </w:p>
        </w:tc>
        <w:tc>
          <w:tcPr>
            <w:tcW w:w="1065" w:type="dxa"/>
            <w:gridSpan w:val="2"/>
            <w:tcBorders>
              <w:top w:val="nil"/>
              <w:left w:val="nil"/>
              <w:bottom w:val="nil"/>
              <w:right w:val="nil"/>
            </w:tcBorders>
            <w:shd w:val="clear" w:color="auto" w:fill="auto"/>
            <w:noWrap/>
            <w:vAlign w:val="bottom"/>
          </w:tcPr>
          <w:p w14:paraId="3E4B7BA5" w14:textId="77777777" w:rsidR="00EF14FB" w:rsidRPr="000D241F" w:rsidRDefault="00EF14FB" w:rsidP="00EF14FB">
            <w:pPr>
              <w:jc w:val="right"/>
              <w:rPr>
                <w:color w:val="000000"/>
                <w:sz w:val="22"/>
                <w:szCs w:val="22"/>
              </w:rPr>
            </w:pPr>
            <w:r>
              <w:rPr>
                <w:color w:val="000000"/>
                <w:sz w:val="22"/>
                <w:szCs w:val="22"/>
              </w:rPr>
              <w:t>6.50%</w:t>
            </w:r>
          </w:p>
        </w:tc>
        <w:tc>
          <w:tcPr>
            <w:tcW w:w="2011" w:type="dxa"/>
            <w:gridSpan w:val="2"/>
            <w:tcBorders>
              <w:top w:val="nil"/>
              <w:left w:val="nil"/>
              <w:bottom w:val="nil"/>
              <w:right w:val="nil"/>
            </w:tcBorders>
            <w:shd w:val="clear" w:color="auto" w:fill="auto"/>
            <w:noWrap/>
            <w:vAlign w:val="bottom"/>
            <w:hideMark/>
          </w:tcPr>
          <w:p w14:paraId="70D32F4C" w14:textId="77777777" w:rsidR="00EF14FB" w:rsidRPr="000D241F" w:rsidRDefault="00EF14FB" w:rsidP="00EF14FB">
            <w:pPr>
              <w:jc w:val="right"/>
              <w:rPr>
                <w:color w:val="000000"/>
                <w:sz w:val="22"/>
                <w:szCs w:val="22"/>
              </w:rPr>
            </w:pPr>
            <w:r>
              <w:rPr>
                <w:color w:val="000000"/>
                <w:sz w:val="22"/>
                <w:szCs w:val="22"/>
              </w:rPr>
              <w:t>0.10</w:t>
            </w:r>
            <w:r w:rsidRPr="000D241F">
              <w:rPr>
                <w:color w:val="000000"/>
                <w:sz w:val="22"/>
                <w:szCs w:val="22"/>
              </w:rPr>
              <w:t>%</w:t>
            </w:r>
          </w:p>
        </w:tc>
        <w:tc>
          <w:tcPr>
            <w:tcW w:w="71" w:type="dxa"/>
            <w:tcBorders>
              <w:top w:val="nil"/>
              <w:left w:val="nil"/>
              <w:bottom w:val="nil"/>
              <w:right w:val="single" w:sz="4" w:space="0" w:color="auto"/>
            </w:tcBorders>
            <w:shd w:val="clear" w:color="auto" w:fill="auto"/>
            <w:noWrap/>
            <w:vAlign w:val="bottom"/>
            <w:hideMark/>
          </w:tcPr>
          <w:p w14:paraId="70CA65F3" w14:textId="77777777" w:rsidR="00EF14FB" w:rsidRPr="000D241F" w:rsidRDefault="00EF14FB" w:rsidP="00EF14FB">
            <w:pPr>
              <w:rPr>
                <w:rFonts w:ascii="Calibri" w:hAnsi="Calibri"/>
                <w:color w:val="000000"/>
                <w:sz w:val="22"/>
                <w:szCs w:val="22"/>
              </w:rPr>
            </w:pPr>
            <w:r w:rsidRPr="000D241F">
              <w:rPr>
                <w:rFonts w:ascii="Calibri" w:hAnsi="Calibri"/>
                <w:color w:val="000000"/>
                <w:sz w:val="22"/>
                <w:szCs w:val="22"/>
              </w:rPr>
              <w:t> </w:t>
            </w:r>
          </w:p>
        </w:tc>
      </w:tr>
      <w:tr w:rsidR="00EF14FB" w:rsidRPr="000D241F" w14:paraId="645703AE" w14:textId="77777777" w:rsidTr="00EF14FB">
        <w:trPr>
          <w:gridAfter w:val="1"/>
          <w:wAfter w:w="15" w:type="dxa"/>
          <w:trHeight w:hRule="exact" w:val="302"/>
          <w:jc w:val="center"/>
        </w:trPr>
        <w:tc>
          <w:tcPr>
            <w:tcW w:w="312" w:type="dxa"/>
            <w:tcBorders>
              <w:top w:val="nil"/>
              <w:left w:val="single" w:sz="4" w:space="0" w:color="auto"/>
              <w:bottom w:val="nil"/>
              <w:right w:val="nil"/>
            </w:tcBorders>
            <w:shd w:val="clear" w:color="auto" w:fill="auto"/>
            <w:noWrap/>
            <w:vAlign w:val="bottom"/>
          </w:tcPr>
          <w:p w14:paraId="27D6149B" w14:textId="77777777" w:rsidR="00EF14FB" w:rsidRDefault="00EF14FB" w:rsidP="00EF14FB">
            <w:pPr>
              <w:rPr>
                <w:rFonts w:ascii="Calibri" w:hAnsi="Calibri"/>
                <w:color w:val="000000"/>
                <w:sz w:val="22"/>
                <w:szCs w:val="22"/>
              </w:rPr>
            </w:pPr>
          </w:p>
        </w:tc>
        <w:tc>
          <w:tcPr>
            <w:tcW w:w="3083" w:type="dxa"/>
            <w:tcBorders>
              <w:top w:val="nil"/>
              <w:left w:val="nil"/>
              <w:bottom w:val="nil"/>
              <w:right w:val="nil"/>
            </w:tcBorders>
            <w:shd w:val="clear" w:color="auto" w:fill="auto"/>
            <w:noWrap/>
            <w:vAlign w:val="bottom"/>
          </w:tcPr>
          <w:p w14:paraId="5AE143B1" w14:textId="77777777" w:rsidR="00EF14FB" w:rsidRDefault="00EF14FB" w:rsidP="00EF14FB">
            <w:pPr>
              <w:rPr>
                <w:color w:val="000000"/>
                <w:sz w:val="22"/>
                <w:szCs w:val="22"/>
              </w:rPr>
            </w:pPr>
            <w:r>
              <w:rPr>
                <w:color w:val="000000"/>
                <w:sz w:val="22"/>
                <w:szCs w:val="22"/>
              </w:rPr>
              <w:t>Long-Term Debt – Shoaf Family</w:t>
            </w:r>
          </w:p>
        </w:tc>
        <w:tc>
          <w:tcPr>
            <w:tcW w:w="2167" w:type="dxa"/>
            <w:gridSpan w:val="2"/>
            <w:tcBorders>
              <w:top w:val="nil"/>
              <w:left w:val="nil"/>
              <w:bottom w:val="nil"/>
              <w:right w:val="nil"/>
            </w:tcBorders>
            <w:shd w:val="clear" w:color="auto" w:fill="auto"/>
            <w:noWrap/>
            <w:vAlign w:val="bottom"/>
          </w:tcPr>
          <w:p w14:paraId="0EEEBEC9" w14:textId="77777777" w:rsidR="00EF14FB" w:rsidRDefault="00EF14FB" w:rsidP="00EF14FB">
            <w:pPr>
              <w:jc w:val="right"/>
              <w:rPr>
                <w:color w:val="000000"/>
                <w:sz w:val="22"/>
                <w:szCs w:val="22"/>
              </w:rPr>
            </w:pPr>
            <w:r>
              <w:rPr>
                <w:color w:val="000000"/>
                <w:sz w:val="22"/>
                <w:szCs w:val="22"/>
              </w:rPr>
              <w:t>653,242</w:t>
            </w:r>
          </w:p>
        </w:tc>
        <w:tc>
          <w:tcPr>
            <w:tcW w:w="1108" w:type="dxa"/>
            <w:gridSpan w:val="2"/>
            <w:tcBorders>
              <w:top w:val="nil"/>
              <w:left w:val="nil"/>
              <w:bottom w:val="nil"/>
              <w:right w:val="nil"/>
            </w:tcBorders>
            <w:shd w:val="clear" w:color="auto" w:fill="auto"/>
            <w:noWrap/>
            <w:vAlign w:val="bottom"/>
          </w:tcPr>
          <w:p w14:paraId="7819E48E" w14:textId="77777777" w:rsidR="00EF14FB" w:rsidRPr="000D241F" w:rsidRDefault="00EF14FB" w:rsidP="00EF14FB">
            <w:pPr>
              <w:jc w:val="right"/>
              <w:rPr>
                <w:color w:val="000000"/>
                <w:sz w:val="22"/>
                <w:szCs w:val="22"/>
              </w:rPr>
            </w:pPr>
            <w:r>
              <w:rPr>
                <w:color w:val="000000"/>
                <w:sz w:val="22"/>
                <w:szCs w:val="22"/>
              </w:rPr>
              <w:t>20.63%</w:t>
            </w:r>
          </w:p>
        </w:tc>
        <w:tc>
          <w:tcPr>
            <w:tcW w:w="1065" w:type="dxa"/>
            <w:gridSpan w:val="2"/>
            <w:tcBorders>
              <w:top w:val="nil"/>
              <w:left w:val="nil"/>
              <w:bottom w:val="nil"/>
              <w:right w:val="nil"/>
            </w:tcBorders>
            <w:shd w:val="clear" w:color="auto" w:fill="auto"/>
            <w:noWrap/>
            <w:vAlign w:val="bottom"/>
          </w:tcPr>
          <w:p w14:paraId="14621CFD" w14:textId="77777777" w:rsidR="00EF14FB" w:rsidRDefault="00EF14FB" w:rsidP="00EF14FB">
            <w:pPr>
              <w:jc w:val="right"/>
              <w:rPr>
                <w:color w:val="000000"/>
                <w:sz w:val="22"/>
                <w:szCs w:val="22"/>
              </w:rPr>
            </w:pPr>
            <w:r>
              <w:rPr>
                <w:color w:val="000000"/>
                <w:sz w:val="22"/>
                <w:szCs w:val="22"/>
              </w:rPr>
              <w:t>6.50%</w:t>
            </w:r>
          </w:p>
        </w:tc>
        <w:tc>
          <w:tcPr>
            <w:tcW w:w="2011" w:type="dxa"/>
            <w:gridSpan w:val="2"/>
            <w:tcBorders>
              <w:top w:val="nil"/>
              <w:left w:val="nil"/>
              <w:bottom w:val="nil"/>
              <w:right w:val="nil"/>
            </w:tcBorders>
            <w:shd w:val="clear" w:color="auto" w:fill="auto"/>
            <w:noWrap/>
            <w:vAlign w:val="bottom"/>
          </w:tcPr>
          <w:p w14:paraId="12FEE410" w14:textId="77777777" w:rsidR="00EF14FB" w:rsidRPr="000D241F" w:rsidRDefault="00EF14FB" w:rsidP="00EF14FB">
            <w:pPr>
              <w:jc w:val="right"/>
              <w:rPr>
                <w:color w:val="000000"/>
                <w:sz w:val="22"/>
                <w:szCs w:val="22"/>
              </w:rPr>
            </w:pPr>
            <w:r>
              <w:rPr>
                <w:color w:val="000000"/>
                <w:sz w:val="22"/>
                <w:szCs w:val="22"/>
              </w:rPr>
              <w:t>1.34%</w:t>
            </w:r>
          </w:p>
        </w:tc>
        <w:tc>
          <w:tcPr>
            <w:tcW w:w="71" w:type="dxa"/>
            <w:tcBorders>
              <w:top w:val="nil"/>
              <w:left w:val="nil"/>
              <w:bottom w:val="nil"/>
              <w:right w:val="single" w:sz="4" w:space="0" w:color="auto"/>
            </w:tcBorders>
            <w:shd w:val="clear" w:color="auto" w:fill="auto"/>
            <w:noWrap/>
            <w:vAlign w:val="bottom"/>
          </w:tcPr>
          <w:p w14:paraId="577FFE98" w14:textId="77777777" w:rsidR="00EF14FB" w:rsidRPr="000D241F" w:rsidRDefault="00EF14FB" w:rsidP="00EF14FB">
            <w:pPr>
              <w:rPr>
                <w:rFonts w:ascii="Calibri" w:hAnsi="Calibri"/>
                <w:color w:val="000000"/>
                <w:sz w:val="22"/>
                <w:szCs w:val="22"/>
              </w:rPr>
            </w:pPr>
          </w:p>
        </w:tc>
      </w:tr>
      <w:tr w:rsidR="00EF14FB" w:rsidRPr="000D241F" w14:paraId="186714C9" w14:textId="77777777" w:rsidTr="00EF14FB">
        <w:trPr>
          <w:gridAfter w:val="1"/>
          <w:wAfter w:w="15" w:type="dxa"/>
          <w:trHeight w:hRule="exact" w:val="302"/>
          <w:jc w:val="center"/>
        </w:trPr>
        <w:tc>
          <w:tcPr>
            <w:tcW w:w="312" w:type="dxa"/>
            <w:tcBorders>
              <w:top w:val="nil"/>
              <w:left w:val="single" w:sz="4" w:space="0" w:color="auto"/>
              <w:bottom w:val="nil"/>
              <w:right w:val="nil"/>
            </w:tcBorders>
            <w:shd w:val="clear" w:color="auto" w:fill="auto"/>
            <w:noWrap/>
            <w:vAlign w:val="bottom"/>
            <w:hideMark/>
          </w:tcPr>
          <w:p w14:paraId="79350AB7" w14:textId="77777777" w:rsidR="00EF14FB" w:rsidRDefault="00EF14FB" w:rsidP="00EF14FB">
            <w:pPr>
              <w:rPr>
                <w:rFonts w:ascii="Calibri" w:hAnsi="Calibri"/>
                <w:color w:val="000000"/>
                <w:sz w:val="22"/>
                <w:szCs w:val="22"/>
              </w:rPr>
            </w:pPr>
            <w:r>
              <w:rPr>
                <w:rFonts w:ascii="Calibri" w:hAnsi="Calibri"/>
                <w:color w:val="000000"/>
                <w:sz w:val="22"/>
                <w:szCs w:val="22"/>
              </w:rPr>
              <w:t> </w:t>
            </w:r>
          </w:p>
        </w:tc>
        <w:tc>
          <w:tcPr>
            <w:tcW w:w="3083" w:type="dxa"/>
            <w:tcBorders>
              <w:top w:val="nil"/>
              <w:left w:val="nil"/>
              <w:bottom w:val="nil"/>
              <w:right w:val="nil"/>
            </w:tcBorders>
            <w:shd w:val="clear" w:color="auto" w:fill="auto"/>
            <w:noWrap/>
            <w:vAlign w:val="bottom"/>
            <w:hideMark/>
          </w:tcPr>
          <w:p w14:paraId="02E90CE3" w14:textId="77777777" w:rsidR="00EF14FB" w:rsidRPr="000D241F" w:rsidRDefault="00EF14FB" w:rsidP="00EF14FB">
            <w:pPr>
              <w:rPr>
                <w:color w:val="000000"/>
                <w:sz w:val="22"/>
                <w:szCs w:val="22"/>
              </w:rPr>
            </w:pPr>
            <w:r w:rsidRPr="000D241F">
              <w:rPr>
                <w:color w:val="000000"/>
                <w:sz w:val="22"/>
                <w:szCs w:val="22"/>
              </w:rPr>
              <w:t>Customer Deposits</w:t>
            </w:r>
          </w:p>
        </w:tc>
        <w:tc>
          <w:tcPr>
            <w:tcW w:w="2167" w:type="dxa"/>
            <w:gridSpan w:val="2"/>
            <w:tcBorders>
              <w:top w:val="nil"/>
              <w:left w:val="nil"/>
              <w:bottom w:val="nil"/>
              <w:right w:val="nil"/>
            </w:tcBorders>
            <w:shd w:val="clear" w:color="auto" w:fill="auto"/>
            <w:noWrap/>
            <w:vAlign w:val="bottom"/>
            <w:hideMark/>
          </w:tcPr>
          <w:p w14:paraId="41A0246D" w14:textId="77777777" w:rsidR="00EF14FB" w:rsidRPr="000D241F" w:rsidRDefault="00EF14FB" w:rsidP="00EF14FB">
            <w:pPr>
              <w:jc w:val="right"/>
              <w:rPr>
                <w:color w:val="000000"/>
                <w:sz w:val="22"/>
                <w:szCs w:val="22"/>
              </w:rPr>
            </w:pPr>
            <w:r>
              <w:rPr>
                <w:color w:val="000000"/>
                <w:sz w:val="22"/>
                <w:szCs w:val="22"/>
              </w:rPr>
              <w:t xml:space="preserve">64,115 </w:t>
            </w:r>
            <w:r w:rsidRPr="000D241F">
              <w:rPr>
                <w:color w:val="000000"/>
                <w:sz w:val="22"/>
                <w:szCs w:val="22"/>
              </w:rPr>
              <w:t xml:space="preserve"> </w:t>
            </w:r>
          </w:p>
        </w:tc>
        <w:tc>
          <w:tcPr>
            <w:tcW w:w="1108" w:type="dxa"/>
            <w:gridSpan w:val="2"/>
            <w:tcBorders>
              <w:top w:val="nil"/>
              <w:left w:val="nil"/>
              <w:bottom w:val="nil"/>
              <w:right w:val="nil"/>
            </w:tcBorders>
            <w:shd w:val="clear" w:color="auto" w:fill="auto"/>
            <w:noWrap/>
            <w:vAlign w:val="bottom"/>
            <w:hideMark/>
          </w:tcPr>
          <w:p w14:paraId="37A239C6" w14:textId="77777777" w:rsidR="00EF14FB" w:rsidRPr="000D241F" w:rsidRDefault="00EF14FB" w:rsidP="00EF14FB">
            <w:pPr>
              <w:jc w:val="right"/>
              <w:rPr>
                <w:color w:val="000000"/>
                <w:sz w:val="22"/>
                <w:szCs w:val="22"/>
              </w:rPr>
            </w:pPr>
            <w:r>
              <w:rPr>
                <w:color w:val="000000"/>
                <w:sz w:val="22"/>
                <w:szCs w:val="22"/>
              </w:rPr>
              <w:t>2.02</w:t>
            </w:r>
            <w:r w:rsidRPr="000D241F">
              <w:rPr>
                <w:color w:val="000000"/>
                <w:sz w:val="22"/>
                <w:szCs w:val="22"/>
              </w:rPr>
              <w:t>%</w:t>
            </w:r>
          </w:p>
        </w:tc>
        <w:tc>
          <w:tcPr>
            <w:tcW w:w="1065" w:type="dxa"/>
            <w:gridSpan w:val="2"/>
            <w:tcBorders>
              <w:top w:val="nil"/>
              <w:left w:val="nil"/>
              <w:bottom w:val="nil"/>
              <w:right w:val="nil"/>
            </w:tcBorders>
            <w:shd w:val="clear" w:color="auto" w:fill="auto"/>
            <w:noWrap/>
            <w:vAlign w:val="bottom"/>
          </w:tcPr>
          <w:p w14:paraId="658F390B" w14:textId="77777777" w:rsidR="00EF14FB" w:rsidRPr="000D241F" w:rsidRDefault="00EF14FB" w:rsidP="00EF14FB">
            <w:pPr>
              <w:jc w:val="right"/>
              <w:rPr>
                <w:color w:val="000000"/>
                <w:sz w:val="22"/>
                <w:szCs w:val="22"/>
              </w:rPr>
            </w:pPr>
            <w:r>
              <w:rPr>
                <w:color w:val="000000"/>
                <w:sz w:val="22"/>
                <w:szCs w:val="22"/>
              </w:rPr>
              <w:t>2.00%</w:t>
            </w:r>
          </w:p>
        </w:tc>
        <w:tc>
          <w:tcPr>
            <w:tcW w:w="2011" w:type="dxa"/>
            <w:gridSpan w:val="2"/>
            <w:tcBorders>
              <w:top w:val="nil"/>
              <w:left w:val="nil"/>
              <w:bottom w:val="nil"/>
              <w:right w:val="nil"/>
            </w:tcBorders>
            <w:shd w:val="clear" w:color="auto" w:fill="auto"/>
            <w:noWrap/>
            <w:vAlign w:val="bottom"/>
            <w:hideMark/>
          </w:tcPr>
          <w:p w14:paraId="428C4C37" w14:textId="77777777" w:rsidR="00EF14FB" w:rsidRPr="000D241F" w:rsidRDefault="00EF14FB" w:rsidP="00EF14FB">
            <w:pPr>
              <w:jc w:val="right"/>
              <w:rPr>
                <w:color w:val="000000"/>
                <w:sz w:val="22"/>
                <w:szCs w:val="22"/>
              </w:rPr>
            </w:pPr>
            <w:r>
              <w:rPr>
                <w:color w:val="000000"/>
                <w:sz w:val="22"/>
                <w:szCs w:val="22"/>
              </w:rPr>
              <w:t>0.04</w:t>
            </w:r>
            <w:r w:rsidRPr="000D241F">
              <w:rPr>
                <w:color w:val="000000"/>
                <w:sz w:val="22"/>
                <w:szCs w:val="22"/>
              </w:rPr>
              <w:t>%</w:t>
            </w:r>
          </w:p>
        </w:tc>
        <w:tc>
          <w:tcPr>
            <w:tcW w:w="71" w:type="dxa"/>
            <w:tcBorders>
              <w:top w:val="nil"/>
              <w:left w:val="nil"/>
              <w:bottom w:val="nil"/>
              <w:right w:val="single" w:sz="4" w:space="0" w:color="auto"/>
            </w:tcBorders>
            <w:shd w:val="clear" w:color="auto" w:fill="auto"/>
            <w:noWrap/>
            <w:vAlign w:val="bottom"/>
            <w:hideMark/>
          </w:tcPr>
          <w:p w14:paraId="1B549F11" w14:textId="77777777" w:rsidR="00EF14FB" w:rsidRPr="000D241F" w:rsidRDefault="00EF14FB" w:rsidP="00EF14FB">
            <w:pPr>
              <w:rPr>
                <w:rFonts w:ascii="Calibri" w:hAnsi="Calibri"/>
                <w:color w:val="000000"/>
                <w:sz w:val="22"/>
                <w:szCs w:val="22"/>
              </w:rPr>
            </w:pPr>
            <w:r w:rsidRPr="000D241F">
              <w:rPr>
                <w:rFonts w:ascii="Calibri" w:hAnsi="Calibri"/>
                <w:color w:val="000000"/>
                <w:sz w:val="22"/>
                <w:szCs w:val="22"/>
              </w:rPr>
              <w:t> </w:t>
            </w:r>
          </w:p>
        </w:tc>
      </w:tr>
      <w:tr w:rsidR="00EF14FB" w:rsidRPr="000D241F" w14:paraId="613CE2BA" w14:textId="77777777" w:rsidTr="00EF14FB">
        <w:trPr>
          <w:gridAfter w:val="1"/>
          <w:wAfter w:w="15" w:type="dxa"/>
          <w:trHeight w:hRule="exact" w:val="302"/>
          <w:jc w:val="center"/>
        </w:trPr>
        <w:tc>
          <w:tcPr>
            <w:tcW w:w="312" w:type="dxa"/>
            <w:tcBorders>
              <w:top w:val="nil"/>
              <w:left w:val="single" w:sz="4" w:space="0" w:color="auto"/>
              <w:bottom w:val="nil"/>
              <w:right w:val="nil"/>
            </w:tcBorders>
            <w:shd w:val="clear" w:color="auto" w:fill="auto"/>
            <w:noWrap/>
            <w:vAlign w:val="bottom"/>
            <w:hideMark/>
          </w:tcPr>
          <w:p w14:paraId="4595330B" w14:textId="77777777" w:rsidR="00EF14FB" w:rsidRDefault="00EF14FB" w:rsidP="00EF14FB">
            <w:pPr>
              <w:rPr>
                <w:rFonts w:ascii="Calibri" w:hAnsi="Calibri"/>
                <w:color w:val="000000"/>
                <w:sz w:val="22"/>
                <w:szCs w:val="22"/>
              </w:rPr>
            </w:pPr>
            <w:r>
              <w:rPr>
                <w:rFonts w:ascii="Calibri" w:hAnsi="Calibri"/>
                <w:color w:val="000000"/>
                <w:sz w:val="22"/>
                <w:szCs w:val="22"/>
              </w:rPr>
              <w:t> </w:t>
            </w:r>
          </w:p>
        </w:tc>
        <w:tc>
          <w:tcPr>
            <w:tcW w:w="3083" w:type="dxa"/>
            <w:tcBorders>
              <w:top w:val="nil"/>
              <w:left w:val="nil"/>
              <w:bottom w:val="nil"/>
              <w:right w:val="nil"/>
            </w:tcBorders>
            <w:shd w:val="clear" w:color="auto" w:fill="auto"/>
            <w:noWrap/>
            <w:vAlign w:val="bottom"/>
            <w:hideMark/>
          </w:tcPr>
          <w:p w14:paraId="07D4068A" w14:textId="77777777" w:rsidR="00EF14FB" w:rsidRPr="000D241F" w:rsidRDefault="00EF14FB" w:rsidP="00EF14FB">
            <w:pPr>
              <w:rPr>
                <w:color w:val="000000"/>
                <w:sz w:val="22"/>
                <w:szCs w:val="22"/>
              </w:rPr>
            </w:pPr>
            <w:r w:rsidRPr="000D241F">
              <w:rPr>
                <w:color w:val="000000"/>
                <w:sz w:val="22"/>
                <w:szCs w:val="22"/>
              </w:rPr>
              <w:t>Common Equity</w:t>
            </w:r>
          </w:p>
        </w:tc>
        <w:tc>
          <w:tcPr>
            <w:tcW w:w="2167" w:type="dxa"/>
            <w:gridSpan w:val="2"/>
            <w:tcBorders>
              <w:top w:val="nil"/>
              <w:left w:val="nil"/>
              <w:bottom w:val="nil"/>
              <w:right w:val="nil"/>
            </w:tcBorders>
            <w:shd w:val="clear" w:color="auto" w:fill="auto"/>
            <w:noWrap/>
            <w:vAlign w:val="bottom"/>
            <w:hideMark/>
          </w:tcPr>
          <w:p w14:paraId="6C0B91EE" w14:textId="77777777" w:rsidR="00EF14FB" w:rsidRPr="000D241F" w:rsidRDefault="00EF14FB" w:rsidP="00EF14FB">
            <w:pPr>
              <w:jc w:val="right"/>
              <w:rPr>
                <w:color w:val="000000"/>
                <w:sz w:val="22"/>
                <w:szCs w:val="22"/>
              </w:rPr>
            </w:pPr>
            <w:r>
              <w:rPr>
                <w:color w:val="000000"/>
                <w:sz w:val="22"/>
                <w:szCs w:val="22"/>
              </w:rPr>
              <w:t>1,053,392</w:t>
            </w:r>
            <w:r w:rsidRPr="000D241F">
              <w:rPr>
                <w:color w:val="000000"/>
                <w:sz w:val="22"/>
                <w:szCs w:val="22"/>
              </w:rPr>
              <w:t xml:space="preserve"> </w:t>
            </w:r>
          </w:p>
        </w:tc>
        <w:tc>
          <w:tcPr>
            <w:tcW w:w="1108" w:type="dxa"/>
            <w:gridSpan w:val="2"/>
            <w:tcBorders>
              <w:top w:val="nil"/>
              <w:left w:val="nil"/>
              <w:bottom w:val="nil"/>
              <w:right w:val="nil"/>
            </w:tcBorders>
            <w:shd w:val="clear" w:color="auto" w:fill="auto"/>
            <w:noWrap/>
            <w:vAlign w:val="bottom"/>
            <w:hideMark/>
          </w:tcPr>
          <w:p w14:paraId="12EA4156" w14:textId="77777777" w:rsidR="00EF14FB" w:rsidRPr="000D241F" w:rsidRDefault="00EF14FB" w:rsidP="00EF14FB">
            <w:pPr>
              <w:jc w:val="right"/>
              <w:rPr>
                <w:color w:val="000000"/>
                <w:sz w:val="22"/>
                <w:szCs w:val="22"/>
              </w:rPr>
            </w:pPr>
            <w:r>
              <w:rPr>
                <w:color w:val="000000"/>
                <w:sz w:val="22"/>
                <w:szCs w:val="22"/>
              </w:rPr>
              <w:t>33.26</w:t>
            </w:r>
            <w:r w:rsidRPr="000D241F">
              <w:rPr>
                <w:color w:val="000000"/>
                <w:sz w:val="22"/>
                <w:szCs w:val="22"/>
              </w:rPr>
              <w:t>%</w:t>
            </w:r>
          </w:p>
        </w:tc>
        <w:tc>
          <w:tcPr>
            <w:tcW w:w="1065" w:type="dxa"/>
            <w:gridSpan w:val="2"/>
            <w:tcBorders>
              <w:top w:val="nil"/>
              <w:left w:val="nil"/>
              <w:bottom w:val="nil"/>
              <w:right w:val="nil"/>
            </w:tcBorders>
            <w:shd w:val="clear" w:color="auto" w:fill="auto"/>
            <w:noWrap/>
            <w:vAlign w:val="bottom"/>
            <w:hideMark/>
          </w:tcPr>
          <w:p w14:paraId="3FD94D0B" w14:textId="77777777" w:rsidR="00EF14FB" w:rsidRPr="000D241F" w:rsidRDefault="00EF14FB" w:rsidP="00EF14FB">
            <w:pPr>
              <w:jc w:val="right"/>
              <w:rPr>
                <w:color w:val="000000"/>
                <w:sz w:val="22"/>
                <w:szCs w:val="22"/>
              </w:rPr>
            </w:pPr>
            <w:r>
              <w:rPr>
                <w:color w:val="000000"/>
                <w:sz w:val="22"/>
                <w:szCs w:val="22"/>
              </w:rPr>
              <w:t>10.00</w:t>
            </w:r>
            <w:r w:rsidRPr="000D241F">
              <w:rPr>
                <w:color w:val="000000"/>
                <w:sz w:val="22"/>
                <w:szCs w:val="22"/>
              </w:rPr>
              <w:t>%</w:t>
            </w:r>
          </w:p>
        </w:tc>
        <w:tc>
          <w:tcPr>
            <w:tcW w:w="2011" w:type="dxa"/>
            <w:gridSpan w:val="2"/>
            <w:tcBorders>
              <w:top w:val="nil"/>
              <w:left w:val="nil"/>
              <w:bottom w:val="nil"/>
              <w:right w:val="nil"/>
            </w:tcBorders>
            <w:shd w:val="clear" w:color="auto" w:fill="auto"/>
            <w:noWrap/>
            <w:vAlign w:val="bottom"/>
            <w:hideMark/>
          </w:tcPr>
          <w:p w14:paraId="0E6D7FCF" w14:textId="77777777" w:rsidR="00EF14FB" w:rsidRPr="000D241F" w:rsidRDefault="00EF14FB" w:rsidP="00EF14FB">
            <w:pPr>
              <w:jc w:val="right"/>
              <w:rPr>
                <w:color w:val="000000"/>
                <w:sz w:val="22"/>
                <w:szCs w:val="22"/>
              </w:rPr>
            </w:pPr>
            <w:r>
              <w:rPr>
                <w:color w:val="000000"/>
                <w:sz w:val="22"/>
                <w:szCs w:val="22"/>
              </w:rPr>
              <w:t>3.33</w:t>
            </w:r>
            <w:r w:rsidRPr="000D241F">
              <w:rPr>
                <w:color w:val="000000"/>
                <w:sz w:val="22"/>
                <w:szCs w:val="22"/>
              </w:rPr>
              <w:t>%</w:t>
            </w:r>
          </w:p>
        </w:tc>
        <w:tc>
          <w:tcPr>
            <w:tcW w:w="71" w:type="dxa"/>
            <w:tcBorders>
              <w:top w:val="nil"/>
              <w:left w:val="nil"/>
              <w:bottom w:val="nil"/>
              <w:right w:val="single" w:sz="4" w:space="0" w:color="auto"/>
            </w:tcBorders>
            <w:shd w:val="clear" w:color="auto" w:fill="auto"/>
            <w:noWrap/>
            <w:vAlign w:val="bottom"/>
            <w:hideMark/>
          </w:tcPr>
          <w:p w14:paraId="19CCCF64" w14:textId="77777777" w:rsidR="00EF14FB" w:rsidRPr="000D241F" w:rsidRDefault="00EF14FB" w:rsidP="00EF14FB">
            <w:pPr>
              <w:rPr>
                <w:rFonts w:ascii="Calibri" w:hAnsi="Calibri"/>
                <w:color w:val="000000"/>
                <w:sz w:val="22"/>
                <w:szCs w:val="22"/>
              </w:rPr>
            </w:pPr>
            <w:r w:rsidRPr="000D241F">
              <w:rPr>
                <w:rFonts w:ascii="Calibri" w:hAnsi="Calibri"/>
                <w:color w:val="000000"/>
                <w:sz w:val="22"/>
                <w:szCs w:val="22"/>
              </w:rPr>
              <w:t> </w:t>
            </w:r>
          </w:p>
        </w:tc>
      </w:tr>
      <w:tr w:rsidR="00EF14FB" w:rsidRPr="000D241F" w14:paraId="2E95298D" w14:textId="77777777" w:rsidTr="00EF14FB">
        <w:trPr>
          <w:gridAfter w:val="1"/>
          <w:wAfter w:w="15" w:type="dxa"/>
          <w:trHeight w:hRule="exact" w:val="302"/>
          <w:jc w:val="center"/>
        </w:trPr>
        <w:tc>
          <w:tcPr>
            <w:tcW w:w="312" w:type="dxa"/>
            <w:tcBorders>
              <w:top w:val="nil"/>
              <w:left w:val="single" w:sz="4" w:space="0" w:color="auto"/>
              <w:bottom w:val="nil"/>
              <w:right w:val="nil"/>
            </w:tcBorders>
            <w:shd w:val="clear" w:color="auto" w:fill="auto"/>
            <w:noWrap/>
            <w:vAlign w:val="bottom"/>
            <w:hideMark/>
          </w:tcPr>
          <w:p w14:paraId="77D2EAA2" w14:textId="77777777" w:rsidR="00EF14FB" w:rsidRDefault="00EF14FB" w:rsidP="00EF14FB">
            <w:pPr>
              <w:rPr>
                <w:rFonts w:ascii="Calibri" w:hAnsi="Calibri"/>
                <w:color w:val="000000"/>
                <w:sz w:val="22"/>
                <w:szCs w:val="22"/>
              </w:rPr>
            </w:pPr>
            <w:r>
              <w:rPr>
                <w:rFonts w:ascii="Calibri" w:hAnsi="Calibri"/>
                <w:color w:val="000000"/>
                <w:sz w:val="22"/>
                <w:szCs w:val="22"/>
              </w:rPr>
              <w:t> </w:t>
            </w:r>
          </w:p>
        </w:tc>
        <w:tc>
          <w:tcPr>
            <w:tcW w:w="3083" w:type="dxa"/>
            <w:tcBorders>
              <w:top w:val="nil"/>
              <w:left w:val="nil"/>
              <w:bottom w:val="nil"/>
              <w:right w:val="nil"/>
            </w:tcBorders>
            <w:shd w:val="clear" w:color="auto" w:fill="auto"/>
            <w:noWrap/>
            <w:vAlign w:val="bottom"/>
            <w:hideMark/>
          </w:tcPr>
          <w:p w14:paraId="71804CB9" w14:textId="77777777" w:rsidR="00EF14FB" w:rsidRPr="000D241F" w:rsidRDefault="00EF14FB" w:rsidP="00EF14FB">
            <w:pPr>
              <w:rPr>
                <w:color w:val="000000"/>
                <w:sz w:val="22"/>
                <w:szCs w:val="22"/>
              </w:rPr>
            </w:pPr>
            <w:r w:rsidRPr="000D241F">
              <w:rPr>
                <w:color w:val="000000"/>
                <w:sz w:val="22"/>
                <w:szCs w:val="22"/>
              </w:rPr>
              <w:t>Deferred Income Taxes</w:t>
            </w:r>
          </w:p>
        </w:tc>
        <w:tc>
          <w:tcPr>
            <w:tcW w:w="2167" w:type="dxa"/>
            <w:gridSpan w:val="2"/>
            <w:tcBorders>
              <w:top w:val="nil"/>
              <w:left w:val="nil"/>
              <w:right w:val="nil"/>
            </w:tcBorders>
            <w:shd w:val="clear" w:color="auto" w:fill="auto"/>
            <w:noWrap/>
            <w:vAlign w:val="bottom"/>
            <w:hideMark/>
          </w:tcPr>
          <w:p w14:paraId="620C496B" w14:textId="77777777" w:rsidR="00EF14FB" w:rsidRPr="000D241F" w:rsidRDefault="00EF14FB" w:rsidP="00EF14FB">
            <w:pPr>
              <w:jc w:val="right"/>
              <w:rPr>
                <w:color w:val="000000"/>
                <w:sz w:val="22"/>
                <w:szCs w:val="22"/>
              </w:rPr>
            </w:pPr>
            <w:r>
              <w:rPr>
                <w:color w:val="000000"/>
                <w:sz w:val="22"/>
                <w:szCs w:val="22"/>
              </w:rPr>
              <w:t>937,870</w:t>
            </w:r>
            <w:r w:rsidRPr="000D241F">
              <w:rPr>
                <w:color w:val="000000"/>
                <w:sz w:val="22"/>
                <w:szCs w:val="22"/>
              </w:rPr>
              <w:t xml:space="preserve"> </w:t>
            </w:r>
          </w:p>
        </w:tc>
        <w:tc>
          <w:tcPr>
            <w:tcW w:w="1108" w:type="dxa"/>
            <w:gridSpan w:val="2"/>
            <w:tcBorders>
              <w:top w:val="nil"/>
              <w:left w:val="nil"/>
              <w:right w:val="nil"/>
            </w:tcBorders>
            <w:shd w:val="clear" w:color="auto" w:fill="auto"/>
            <w:noWrap/>
            <w:vAlign w:val="bottom"/>
            <w:hideMark/>
          </w:tcPr>
          <w:p w14:paraId="0C698396" w14:textId="77777777" w:rsidR="00EF14FB" w:rsidRPr="000D241F" w:rsidRDefault="00EF14FB" w:rsidP="00EF14FB">
            <w:pPr>
              <w:jc w:val="right"/>
              <w:rPr>
                <w:color w:val="000000"/>
                <w:sz w:val="22"/>
                <w:szCs w:val="22"/>
              </w:rPr>
            </w:pPr>
            <w:r>
              <w:rPr>
                <w:color w:val="000000"/>
                <w:sz w:val="22"/>
                <w:szCs w:val="22"/>
              </w:rPr>
              <w:t>29.61</w:t>
            </w:r>
            <w:r w:rsidRPr="000D241F">
              <w:rPr>
                <w:color w:val="000000"/>
                <w:sz w:val="22"/>
                <w:szCs w:val="22"/>
              </w:rPr>
              <w:t>%</w:t>
            </w:r>
          </w:p>
        </w:tc>
        <w:tc>
          <w:tcPr>
            <w:tcW w:w="1065" w:type="dxa"/>
            <w:gridSpan w:val="2"/>
            <w:tcBorders>
              <w:top w:val="nil"/>
              <w:left w:val="nil"/>
              <w:right w:val="nil"/>
            </w:tcBorders>
            <w:shd w:val="clear" w:color="auto" w:fill="auto"/>
            <w:noWrap/>
            <w:vAlign w:val="bottom"/>
            <w:hideMark/>
          </w:tcPr>
          <w:p w14:paraId="46E9D2AE" w14:textId="77777777" w:rsidR="00EF14FB" w:rsidRPr="000D241F" w:rsidRDefault="00EF14FB" w:rsidP="00EF14FB">
            <w:pPr>
              <w:jc w:val="right"/>
              <w:rPr>
                <w:color w:val="000000"/>
                <w:sz w:val="22"/>
                <w:szCs w:val="22"/>
              </w:rPr>
            </w:pPr>
            <w:r w:rsidRPr="000D241F">
              <w:rPr>
                <w:color w:val="000000"/>
                <w:sz w:val="22"/>
                <w:szCs w:val="22"/>
              </w:rPr>
              <w:t>0.00%</w:t>
            </w:r>
          </w:p>
        </w:tc>
        <w:tc>
          <w:tcPr>
            <w:tcW w:w="2011" w:type="dxa"/>
            <w:gridSpan w:val="2"/>
            <w:tcBorders>
              <w:top w:val="nil"/>
              <w:left w:val="nil"/>
              <w:right w:val="nil"/>
            </w:tcBorders>
            <w:shd w:val="clear" w:color="auto" w:fill="auto"/>
            <w:noWrap/>
            <w:vAlign w:val="bottom"/>
            <w:hideMark/>
          </w:tcPr>
          <w:p w14:paraId="1344381A" w14:textId="77777777" w:rsidR="00EF14FB" w:rsidRPr="000D241F" w:rsidRDefault="00EF14FB" w:rsidP="00EF14FB">
            <w:pPr>
              <w:jc w:val="right"/>
              <w:rPr>
                <w:color w:val="000000"/>
                <w:sz w:val="22"/>
                <w:szCs w:val="22"/>
              </w:rPr>
            </w:pPr>
            <w:r w:rsidRPr="000D241F">
              <w:rPr>
                <w:color w:val="000000"/>
                <w:sz w:val="22"/>
                <w:szCs w:val="22"/>
              </w:rPr>
              <w:t>0.00%</w:t>
            </w:r>
          </w:p>
        </w:tc>
        <w:tc>
          <w:tcPr>
            <w:tcW w:w="71" w:type="dxa"/>
            <w:tcBorders>
              <w:top w:val="nil"/>
              <w:left w:val="nil"/>
              <w:bottom w:val="nil"/>
              <w:right w:val="single" w:sz="4" w:space="0" w:color="auto"/>
            </w:tcBorders>
            <w:shd w:val="clear" w:color="auto" w:fill="auto"/>
            <w:noWrap/>
            <w:vAlign w:val="bottom"/>
            <w:hideMark/>
          </w:tcPr>
          <w:p w14:paraId="3B28FD96" w14:textId="77777777" w:rsidR="00EF14FB" w:rsidRPr="000D241F" w:rsidRDefault="00EF14FB" w:rsidP="00EF14FB">
            <w:pPr>
              <w:rPr>
                <w:rFonts w:ascii="Calibri" w:hAnsi="Calibri"/>
                <w:color w:val="000000"/>
                <w:sz w:val="22"/>
                <w:szCs w:val="22"/>
              </w:rPr>
            </w:pPr>
            <w:r w:rsidRPr="000D241F">
              <w:rPr>
                <w:rFonts w:ascii="Calibri" w:hAnsi="Calibri"/>
                <w:color w:val="000000"/>
                <w:sz w:val="22"/>
                <w:szCs w:val="22"/>
              </w:rPr>
              <w:t> </w:t>
            </w:r>
          </w:p>
        </w:tc>
      </w:tr>
      <w:tr w:rsidR="00EF14FB" w:rsidRPr="000D241F" w14:paraId="26B26476" w14:textId="77777777" w:rsidTr="00EF14FB">
        <w:trPr>
          <w:gridAfter w:val="1"/>
          <w:wAfter w:w="15" w:type="dxa"/>
          <w:trHeight w:hRule="exact" w:val="302"/>
          <w:jc w:val="center"/>
        </w:trPr>
        <w:tc>
          <w:tcPr>
            <w:tcW w:w="312" w:type="dxa"/>
            <w:tcBorders>
              <w:top w:val="nil"/>
              <w:left w:val="single" w:sz="4" w:space="0" w:color="auto"/>
              <w:bottom w:val="nil"/>
              <w:right w:val="nil"/>
            </w:tcBorders>
            <w:shd w:val="clear" w:color="auto" w:fill="auto"/>
            <w:noWrap/>
            <w:vAlign w:val="bottom"/>
            <w:hideMark/>
          </w:tcPr>
          <w:p w14:paraId="2B67D9B2" w14:textId="77777777" w:rsidR="00EF14FB" w:rsidRDefault="00EF14FB" w:rsidP="00EF14FB">
            <w:pPr>
              <w:rPr>
                <w:rFonts w:ascii="Calibri" w:hAnsi="Calibri"/>
                <w:color w:val="000000"/>
                <w:sz w:val="22"/>
                <w:szCs w:val="22"/>
              </w:rPr>
            </w:pPr>
            <w:r>
              <w:rPr>
                <w:rFonts w:ascii="Calibri" w:hAnsi="Calibri"/>
                <w:color w:val="000000"/>
                <w:sz w:val="22"/>
                <w:szCs w:val="22"/>
              </w:rPr>
              <w:t> </w:t>
            </w:r>
          </w:p>
        </w:tc>
        <w:tc>
          <w:tcPr>
            <w:tcW w:w="3083" w:type="dxa"/>
            <w:tcBorders>
              <w:top w:val="nil"/>
              <w:left w:val="nil"/>
              <w:bottom w:val="nil"/>
              <w:right w:val="nil"/>
            </w:tcBorders>
            <w:shd w:val="clear" w:color="auto" w:fill="auto"/>
            <w:noWrap/>
            <w:vAlign w:val="bottom"/>
            <w:hideMark/>
          </w:tcPr>
          <w:p w14:paraId="4A17427A" w14:textId="77777777" w:rsidR="00EF14FB" w:rsidRPr="000D241F" w:rsidRDefault="00EF14FB" w:rsidP="00EF14FB">
            <w:pPr>
              <w:rPr>
                <w:color w:val="000000"/>
                <w:sz w:val="22"/>
                <w:szCs w:val="22"/>
              </w:rPr>
            </w:pPr>
            <w:r>
              <w:rPr>
                <w:color w:val="000000"/>
                <w:sz w:val="22"/>
                <w:szCs w:val="22"/>
              </w:rPr>
              <w:t>Deferred Credits – FCPC &amp; GCI</w:t>
            </w:r>
          </w:p>
        </w:tc>
        <w:tc>
          <w:tcPr>
            <w:tcW w:w="2167" w:type="dxa"/>
            <w:gridSpan w:val="2"/>
            <w:tcBorders>
              <w:top w:val="nil"/>
              <w:left w:val="nil"/>
              <w:bottom w:val="single" w:sz="4" w:space="0" w:color="auto"/>
              <w:right w:val="nil"/>
            </w:tcBorders>
            <w:shd w:val="clear" w:color="auto" w:fill="auto"/>
            <w:noWrap/>
            <w:vAlign w:val="bottom"/>
            <w:hideMark/>
          </w:tcPr>
          <w:p w14:paraId="795E20BA" w14:textId="77777777" w:rsidR="00EF14FB" w:rsidRPr="000D241F" w:rsidRDefault="00EF14FB" w:rsidP="00EF14FB">
            <w:pPr>
              <w:jc w:val="right"/>
              <w:rPr>
                <w:color w:val="000000"/>
                <w:sz w:val="22"/>
                <w:szCs w:val="22"/>
              </w:rPr>
            </w:pPr>
            <w:r>
              <w:rPr>
                <w:color w:val="000000"/>
                <w:sz w:val="22"/>
                <w:szCs w:val="22"/>
              </w:rPr>
              <w:t>409,330</w:t>
            </w:r>
            <w:r w:rsidRPr="000D241F">
              <w:rPr>
                <w:color w:val="000000"/>
                <w:sz w:val="22"/>
                <w:szCs w:val="22"/>
              </w:rPr>
              <w:t xml:space="preserve">      </w:t>
            </w:r>
          </w:p>
        </w:tc>
        <w:tc>
          <w:tcPr>
            <w:tcW w:w="1108" w:type="dxa"/>
            <w:gridSpan w:val="2"/>
            <w:tcBorders>
              <w:top w:val="nil"/>
              <w:left w:val="nil"/>
              <w:bottom w:val="single" w:sz="4" w:space="0" w:color="auto"/>
              <w:right w:val="nil"/>
            </w:tcBorders>
            <w:shd w:val="clear" w:color="auto" w:fill="auto"/>
            <w:noWrap/>
            <w:vAlign w:val="bottom"/>
            <w:hideMark/>
          </w:tcPr>
          <w:p w14:paraId="2B1A7AAE" w14:textId="77777777" w:rsidR="00EF14FB" w:rsidRPr="000D241F" w:rsidRDefault="00EF14FB" w:rsidP="00EF14FB">
            <w:pPr>
              <w:jc w:val="right"/>
              <w:rPr>
                <w:color w:val="000000"/>
                <w:sz w:val="22"/>
                <w:szCs w:val="22"/>
              </w:rPr>
            </w:pPr>
            <w:r>
              <w:rPr>
                <w:color w:val="000000"/>
                <w:sz w:val="22"/>
                <w:szCs w:val="22"/>
              </w:rPr>
              <w:t>12.92</w:t>
            </w:r>
            <w:r w:rsidRPr="000D241F">
              <w:rPr>
                <w:color w:val="000000"/>
                <w:sz w:val="22"/>
                <w:szCs w:val="22"/>
              </w:rPr>
              <w:t>%</w:t>
            </w:r>
          </w:p>
        </w:tc>
        <w:tc>
          <w:tcPr>
            <w:tcW w:w="1065" w:type="dxa"/>
            <w:gridSpan w:val="2"/>
            <w:tcBorders>
              <w:top w:val="nil"/>
              <w:left w:val="nil"/>
              <w:bottom w:val="single" w:sz="4" w:space="0" w:color="auto"/>
              <w:right w:val="nil"/>
            </w:tcBorders>
            <w:shd w:val="clear" w:color="auto" w:fill="auto"/>
            <w:noWrap/>
            <w:vAlign w:val="bottom"/>
            <w:hideMark/>
          </w:tcPr>
          <w:p w14:paraId="31E12979" w14:textId="77777777" w:rsidR="00EF14FB" w:rsidRPr="000D241F" w:rsidRDefault="00EF14FB" w:rsidP="00EF14FB">
            <w:pPr>
              <w:jc w:val="right"/>
              <w:rPr>
                <w:color w:val="000000"/>
                <w:sz w:val="22"/>
                <w:szCs w:val="22"/>
              </w:rPr>
            </w:pPr>
            <w:r w:rsidRPr="000D241F">
              <w:rPr>
                <w:color w:val="000000"/>
                <w:sz w:val="22"/>
                <w:szCs w:val="22"/>
              </w:rPr>
              <w:t>0.00%</w:t>
            </w:r>
          </w:p>
        </w:tc>
        <w:tc>
          <w:tcPr>
            <w:tcW w:w="2011" w:type="dxa"/>
            <w:gridSpan w:val="2"/>
            <w:tcBorders>
              <w:top w:val="nil"/>
              <w:left w:val="nil"/>
              <w:bottom w:val="single" w:sz="4" w:space="0" w:color="auto"/>
              <w:right w:val="nil"/>
            </w:tcBorders>
            <w:shd w:val="clear" w:color="auto" w:fill="auto"/>
            <w:noWrap/>
            <w:vAlign w:val="bottom"/>
            <w:hideMark/>
          </w:tcPr>
          <w:p w14:paraId="2600CCA4" w14:textId="77777777" w:rsidR="00EF14FB" w:rsidRPr="000D241F" w:rsidRDefault="00EF14FB" w:rsidP="00EF14FB">
            <w:pPr>
              <w:jc w:val="right"/>
              <w:rPr>
                <w:color w:val="000000"/>
                <w:sz w:val="22"/>
                <w:szCs w:val="22"/>
              </w:rPr>
            </w:pPr>
            <w:r w:rsidRPr="000D241F">
              <w:rPr>
                <w:color w:val="000000"/>
                <w:sz w:val="22"/>
                <w:szCs w:val="22"/>
              </w:rPr>
              <w:t>0.00%</w:t>
            </w:r>
          </w:p>
        </w:tc>
        <w:tc>
          <w:tcPr>
            <w:tcW w:w="71" w:type="dxa"/>
            <w:tcBorders>
              <w:top w:val="nil"/>
              <w:left w:val="nil"/>
              <w:bottom w:val="nil"/>
              <w:right w:val="single" w:sz="4" w:space="0" w:color="auto"/>
            </w:tcBorders>
            <w:shd w:val="clear" w:color="auto" w:fill="auto"/>
            <w:noWrap/>
            <w:vAlign w:val="bottom"/>
            <w:hideMark/>
          </w:tcPr>
          <w:p w14:paraId="07B78693" w14:textId="77777777" w:rsidR="00EF14FB" w:rsidRPr="000D241F" w:rsidRDefault="00EF14FB" w:rsidP="00EF14FB">
            <w:pPr>
              <w:rPr>
                <w:rFonts w:ascii="Calibri" w:hAnsi="Calibri"/>
                <w:color w:val="000000"/>
                <w:sz w:val="22"/>
                <w:szCs w:val="22"/>
              </w:rPr>
            </w:pPr>
            <w:r w:rsidRPr="000D241F">
              <w:rPr>
                <w:rFonts w:ascii="Calibri" w:hAnsi="Calibri"/>
                <w:color w:val="000000"/>
                <w:sz w:val="22"/>
                <w:szCs w:val="22"/>
              </w:rPr>
              <w:t> </w:t>
            </w:r>
          </w:p>
        </w:tc>
      </w:tr>
      <w:tr w:rsidR="00EF14FB" w:rsidRPr="000D241F" w14:paraId="64925B99" w14:textId="77777777" w:rsidTr="00EF14FB">
        <w:trPr>
          <w:gridAfter w:val="1"/>
          <w:wAfter w:w="15" w:type="dxa"/>
          <w:trHeight w:hRule="exact" w:val="317"/>
          <w:jc w:val="center"/>
        </w:trPr>
        <w:tc>
          <w:tcPr>
            <w:tcW w:w="312" w:type="dxa"/>
            <w:tcBorders>
              <w:top w:val="nil"/>
              <w:left w:val="single" w:sz="4" w:space="0" w:color="auto"/>
              <w:bottom w:val="nil"/>
              <w:right w:val="nil"/>
            </w:tcBorders>
            <w:shd w:val="clear" w:color="auto" w:fill="auto"/>
            <w:noWrap/>
            <w:vAlign w:val="bottom"/>
            <w:hideMark/>
          </w:tcPr>
          <w:p w14:paraId="24C4B90B" w14:textId="77777777" w:rsidR="00EF14FB" w:rsidRDefault="00EF14FB" w:rsidP="00EF14FB">
            <w:pPr>
              <w:rPr>
                <w:rFonts w:ascii="Calibri" w:hAnsi="Calibri"/>
                <w:color w:val="000000"/>
                <w:sz w:val="22"/>
                <w:szCs w:val="22"/>
              </w:rPr>
            </w:pPr>
            <w:r>
              <w:rPr>
                <w:rFonts w:ascii="Calibri" w:hAnsi="Calibri"/>
                <w:color w:val="000000"/>
                <w:sz w:val="22"/>
                <w:szCs w:val="22"/>
              </w:rPr>
              <w:t> </w:t>
            </w:r>
          </w:p>
        </w:tc>
        <w:tc>
          <w:tcPr>
            <w:tcW w:w="3083" w:type="dxa"/>
            <w:tcBorders>
              <w:top w:val="nil"/>
              <w:left w:val="nil"/>
              <w:bottom w:val="nil"/>
              <w:right w:val="nil"/>
            </w:tcBorders>
            <w:shd w:val="clear" w:color="auto" w:fill="auto"/>
            <w:noWrap/>
            <w:vAlign w:val="bottom"/>
            <w:hideMark/>
          </w:tcPr>
          <w:p w14:paraId="29FB9AFD" w14:textId="77777777" w:rsidR="00EF14FB" w:rsidRPr="000D241F" w:rsidRDefault="00EF14FB" w:rsidP="00EF14FB">
            <w:pPr>
              <w:rPr>
                <w:color w:val="000000"/>
                <w:sz w:val="22"/>
                <w:szCs w:val="22"/>
              </w:rPr>
            </w:pPr>
            <w:r w:rsidRPr="000D241F">
              <w:rPr>
                <w:color w:val="000000"/>
                <w:sz w:val="22"/>
                <w:szCs w:val="22"/>
              </w:rPr>
              <w:t>Total</w:t>
            </w:r>
          </w:p>
        </w:tc>
        <w:tc>
          <w:tcPr>
            <w:tcW w:w="2167" w:type="dxa"/>
            <w:gridSpan w:val="2"/>
            <w:tcBorders>
              <w:top w:val="single" w:sz="4" w:space="0" w:color="auto"/>
              <w:left w:val="nil"/>
              <w:bottom w:val="double" w:sz="6" w:space="0" w:color="auto"/>
              <w:right w:val="nil"/>
            </w:tcBorders>
            <w:shd w:val="clear" w:color="auto" w:fill="auto"/>
            <w:noWrap/>
            <w:vAlign w:val="bottom"/>
            <w:hideMark/>
          </w:tcPr>
          <w:p w14:paraId="34759408" w14:textId="77777777" w:rsidR="00EF14FB" w:rsidRPr="000D241F" w:rsidRDefault="00EF14FB" w:rsidP="00EF14FB">
            <w:pPr>
              <w:jc w:val="right"/>
              <w:rPr>
                <w:color w:val="000000"/>
                <w:sz w:val="22"/>
                <w:szCs w:val="22"/>
              </w:rPr>
            </w:pPr>
            <w:r w:rsidRPr="000D241F">
              <w:rPr>
                <w:color w:val="000000"/>
                <w:sz w:val="22"/>
                <w:szCs w:val="22"/>
              </w:rPr>
              <w:t xml:space="preserve">   $319,224,069</w:t>
            </w:r>
          </w:p>
        </w:tc>
        <w:tc>
          <w:tcPr>
            <w:tcW w:w="1108" w:type="dxa"/>
            <w:gridSpan w:val="2"/>
            <w:tcBorders>
              <w:top w:val="single" w:sz="4" w:space="0" w:color="auto"/>
              <w:left w:val="nil"/>
              <w:bottom w:val="double" w:sz="6" w:space="0" w:color="auto"/>
              <w:right w:val="nil"/>
            </w:tcBorders>
            <w:shd w:val="clear" w:color="auto" w:fill="auto"/>
            <w:noWrap/>
            <w:vAlign w:val="bottom"/>
            <w:hideMark/>
          </w:tcPr>
          <w:p w14:paraId="1DBCD29F" w14:textId="77777777" w:rsidR="00EF14FB" w:rsidRPr="000D241F" w:rsidRDefault="00EF14FB" w:rsidP="00EF14FB">
            <w:pPr>
              <w:jc w:val="right"/>
              <w:rPr>
                <w:color w:val="000000"/>
                <w:sz w:val="22"/>
                <w:szCs w:val="22"/>
              </w:rPr>
            </w:pPr>
            <w:r w:rsidRPr="000D241F">
              <w:rPr>
                <w:color w:val="000000"/>
                <w:sz w:val="22"/>
                <w:szCs w:val="22"/>
              </w:rPr>
              <w:t>100.00%</w:t>
            </w:r>
          </w:p>
        </w:tc>
        <w:tc>
          <w:tcPr>
            <w:tcW w:w="1065" w:type="dxa"/>
            <w:gridSpan w:val="2"/>
            <w:tcBorders>
              <w:top w:val="single" w:sz="4" w:space="0" w:color="auto"/>
              <w:left w:val="nil"/>
              <w:bottom w:val="nil"/>
              <w:right w:val="nil"/>
            </w:tcBorders>
            <w:shd w:val="clear" w:color="auto" w:fill="auto"/>
            <w:noWrap/>
            <w:vAlign w:val="bottom"/>
          </w:tcPr>
          <w:p w14:paraId="6FE8DDD3" w14:textId="77777777" w:rsidR="00EF14FB" w:rsidRPr="000D241F" w:rsidRDefault="00EF14FB" w:rsidP="00EF14FB">
            <w:pPr>
              <w:jc w:val="right"/>
              <w:rPr>
                <w:color w:val="000000"/>
                <w:sz w:val="22"/>
                <w:szCs w:val="22"/>
              </w:rPr>
            </w:pPr>
          </w:p>
        </w:tc>
        <w:tc>
          <w:tcPr>
            <w:tcW w:w="2011" w:type="dxa"/>
            <w:gridSpan w:val="2"/>
            <w:tcBorders>
              <w:top w:val="single" w:sz="4" w:space="0" w:color="auto"/>
              <w:left w:val="nil"/>
              <w:bottom w:val="double" w:sz="6" w:space="0" w:color="auto"/>
              <w:right w:val="nil"/>
            </w:tcBorders>
            <w:shd w:val="clear" w:color="auto" w:fill="auto"/>
            <w:noWrap/>
            <w:vAlign w:val="bottom"/>
            <w:hideMark/>
          </w:tcPr>
          <w:p w14:paraId="5392CD1B" w14:textId="77777777" w:rsidR="00EF14FB" w:rsidRPr="000D241F" w:rsidRDefault="00EF14FB" w:rsidP="00EF14FB">
            <w:pPr>
              <w:jc w:val="right"/>
              <w:rPr>
                <w:color w:val="000000"/>
                <w:sz w:val="22"/>
                <w:szCs w:val="22"/>
              </w:rPr>
            </w:pPr>
            <w:r>
              <w:rPr>
                <w:color w:val="000000"/>
                <w:sz w:val="22"/>
                <w:szCs w:val="22"/>
              </w:rPr>
              <w:t>4.81</w:t>
            </w:r>
            <w:r w:rsidRPr="000D241F">
              <w:rPr>
                <w:color w:val="000000"/>
                <w:sz w:val="22"/>
                <w:szCs w:val="22"/>
              </w:rPr>
              <w:t>%</w:t>
            </w:r>
          </w:p>
        </w:tc>
        <w:tc>
          <w:tcPr>
            <w:tcW w:w="71" w:type="dxa"/>
            <w:tcBorders>
              <w:top w:val="nil"/>
              <w:left w:val="nil"/>
              <w:bottom w:val="nil"/>
              <w:right w:val="single" w:sz="4" w:space="0" w:color="auto"/>
            </w:tcBorders>
            <w:shd w:val="clear" w:color="auto" w:fill="auto"/>
            <w:noWrap/>
            <w:vAlign w:val="bottom"/>
            <w:hideMark/>
          </w:tcPr>
          <w:p w14:paraId="41D35C8D" w14:textId="77777777" w:rsidR="00EF14FB" w:rsidRPr="000D241F" w:rsidRDefault="00EF14FB" w:rsidP="00EF14FB">
            <w:pPr>
              <w:rPr>
                <w:rFonts w:ascii="Calibri" w:hAnsi="Calibri"/>
                <w:color w:val="000000"/>
                <w:sz w:val="22"/>
                <w:szCs w:val="22"/>
              </w:rPr>
            </w:pPr>
            <w:r w:rsidRPr="000D241F">
              <w:rPr>
                <w:rFonts w:ascii="Calibri" w:hAnsi="Calibri"/>
                <w:color w:val="000000"/>
                <w:sz w:val="22"/>
                <w:szCs w:val="22"/>
              </w:rPr>
              <w:t> </w:t>
            </w:r>
          </w:p>
        </w:tc>
      </w:tr>
      <w:tr w:rsidR="00EF14FB" w:rsidRPr="000D241F" w14:paraId="6A1DBE6B" w14:textId="77777777" w:rsidTr="00EF14FB">
        <w:trPr>
          <w:gridAfter w:val="1"/>
          <w:wAfter w:w="15" w:type="dxa"/>
          <w:trHeight w:hRule="exact" w:val="317"/>
          <w:jc w:val="center"/>
        </w:trPr>
        <w:tc>
          <w:tcPr>
            <w:tcW w:w="312" w:type="dxa"/>
            <w:tcBorders>
              <w:top w:val="nil"/>
              <w:left w:val="single" w:sz="4" w:space="0" w:color="auto"/>
              <w:bottom w:val="single" w:sz="4" w:space="0" w:color="auto"/>
              <w:right w:val="nil"/>
            </w:tcBorders>
            <w:shd w:val="clear" w:color="auto" w:fill="auto"/>
            <w:noWrap/>
            <w:vAlign w:val="bottom"/>
            <w:hideMark/>
          </w:tcPr>
          <w:p w14:paraId="5DD0D645" w14:textId="77777777" w:rsidR="00EF14FB" w:rsidRDefault="00EF14FB" w:rsidP="00EF14FB">
            <w:pPr>
              <w:rPr>
                <w:rFonts w:ascii="Calibri" w:hAnsi="Calibri"/>
                <w:color w:val="000000"/>
                <w:sz w:val="22"/>
                <w:szCs w:val="22"/>
              </w:rPr>
            </w:pPr>
            <w:r>
              <w:rPr>
                <w:rFonts w:ascii="Calibri" w:hAnsi="Calibri"/>
                <w:color w:val="000000"/>
                <w:sz w:val="22"/>
                <w:szCs w:val="22"/>
              </w:rPr>
              <w:t> </w:t>
            </w:r>
          </w:p>
        </w:tc>
        <w:tc>
          <w:tcPr>
            <w:tcW w:w="3083" w:type="dxa"/>
            <w:tcBorders>
              <w:top w:val="nil"/>
              <w:left w:val="nil"/>
              <w:bottom w:val="single" w:sz="4" w:space="0" w:color="auto"/>
              <w:right w:val="nil"/>
            </w:tcBorders>
            <w:shd w:val="clear" w:color="auto" w:fill="auto"/>
            <w:noWrap/>
            <w:vAlign w:val="bottom"/>
            <w:hideMark/>
          </w:tcPr>
          <w:p w14:paraId="2FB8FF2B" w14:textId="77777777" w:rsidR="00EF14FB" w:rsidRPr="000D241F" w:rsidRDefault="00EF14FB" w:rsidP="00EF14FB">
            <w:pPr>
              <w:rPr>
                <w:color w:val="000000"/>
                <w:sz w:val="22"/>
                <w:szCs w:val="22"/>
              </w:rPr>
            </w:pPr>
            <w:r w:rsidRPr="000D241F">
              <w:rPr>
                <w:color w:val="000000"/>
                <w:sz w:val="22"/>
                <w:szCs w:val="22"/>
              </w:rPr>
              <w:t> </w:t>
            </w:r>
          </w:p>
        </w:tc>
        <w:tc>
          <w:tcPr>
            <w:tcW w:w="2167" w:type="dxa"/>
            <w:gridSpan w:val="2"/>
            <w:tcBorders>
              <w:top w:val="nil"/>
              <w:left w:val="nil"/>
              <w:bottom w:val="single" w:sz="4" w:space="0" w:color="auto"/>
              <w:right w:val="nil"/>
            </w:tcBorders>
            <w:shd w:val="clear" w:color="auto" w:fill="auto"/>
            <w:noWrap/>
            <w:vAlign w:val="bottom"/>
            <w:hideMark/>
          </w:tcPr>
          <w:p w14:paraId="6721CFE3" w14:textId="77777777" w:rsidR="00EF14FB" w:rsidRPr="000D241F" w:rsidRDefault="00EF14FB" w:rsidP="00EF14FB">
            <w:pPr>
              <w:rPr>
                <w:color w:val="000000"/>
                <w:sz w:val="22"/>
                <w:szCs w:val="22"/>
              </w:rPr>
            </w:pPr>
            <w:r w:rsidRPr="000D241F">
              <w:rPr>
                <w:color w:val="000000"/>
                <w:sz w:val="22"/>
                <w:szCs w:val="22"/>
              </w:rPr>
              <w:t> </w:t>
            </w:r>
          </w:p>
        </w:tc>
        <w:tc>
          <w:tcPr>
            <w:tcW w:w="1108" w:type="dxa"/>
            <w:gridSpan w:val="2"/>
            <w:tcBorders>
              <w:top w:val="nil"/>
              <w:left w:val="nil"/>
              <w:bottom w:val="single" w:sz="4" w:space="0" w:color="auto"/>
              <w:right w:val="nil"/>
            </w:tcBorders>
            <w:shd w:val="clear" w:color="auto" w:fill="auto"/>
            <w:noWrap/>
            <w:vAlign w:val="bottom"/>
            <w:hideMark/>
          </w:tcPr>
          <w:p w14:paraId="17312B4F" w14:textId="77777777" w:rsidR="00EF14FB" w:rsidRPr="000D241F" w:rsidRDefault="00EF14FB" w:rsidP="00EF14FB">
            <w:pPr>
              <w:rPr>
                <w:color w:val="000000"/>
                <w:sz w:val="22"/>
                <w:szCs w:val="22"/>
              </w:rPr>
            </w:pPr>
            <w:r w:rsidRPr="000D241F">
              <w:rPr>
                <w:color w:val="000000"/>
                <w:sz w:val="22"/>
                <w:szCs w:val="22"/>
              </w:rPr>
              <w:t> </w:t>
            </w:r>
          </w:p>
        </w:tc>
        <w:tc>
          <w:tcPr>
            <w:tcW w:w="1065" w:type="dxa"/>
            <w:gridSpan w:val="2"/>
            <w:tcBorders>
              <w:top w:val="nil"/>
              <w:left w:val="nil"/>
              <w:bottom w:val="single" w:sz="4" w:space="0" w:color="auto"/>
              <w:right w:val="nil"/>
            </w:tcBorders>
            <w:shd w:val="clear" w:color="auto" w:fill="auto"/>
            <w:noWrap/>
            <w:vAlign w:val="bottom"/>
          </w:tcPr>
          <w:p w14:paraId="54572221" w14:textId="77777777" w:rsidR="00EF14FB" w:rsidRPr="000D241F" w:rsidRDefault="00EF14FB" w:rsidP="00EF14FB">
            <w:pPr>
              <w:rPr>
                <w:color w:val="000000"/>
                <w:sz w:val="22"/>
                <w:szCs w:val="22"/>
              </w:rPr>
            </w:pPr>
            <w:r w:rsidRPr="000D241F">
              <w:rPr>
                <w:color w:val="000000"/>
                <w:sz w:val="22"/>
                <w:szCs w:val="22"/>
              </w:rPr>
              <w:t> </w:t>
            </w:r>
          </w:p>
        </w:tc>
        <w:tc>
          <w:tcPr>
            <w:tcW w:w="2011" w:type="dxa"/>
            <w:gridSpan w:val="2"/>
            <w:tcBorders>
              <w:top w:val="nil"/>
              <w:left w:val="nil"/>
              <w:bottom w:val="single" w:sz="4" w:space="0" w:color="auto"/>
              <w:right w:val="nil"/>
            </w:tcBorders>
            <w:shd w:val="clear" w:color="auto" w:fill="auto"/>
            <w:noWrap/>
            <w:vAlign w:val="bottom"/>
            <w:hideMark/>
          </w:tcPr>
          <w:p w14:paraId="2DC5412D" w14:textId="77777777" w:rsidR="00EF14FB" w:rsidRPr="000D241F" w:rsidRDefault="00EF14FB" w:rsidP="00EF14FB">
            <w:pPr>
              <w:rPr>
                <w:color w:val="000000"/>
                <w:sz w:val="22"/>
                <w:szCs w:val="22"/>
              </w:rPr>
            </w:pPr>
            <w:r w:rsidRPr="000D241F">
              <w:rPr>
                <w:color w:val="000000"/>
                <w:sz w:val="22"/>
                <w:szCs w:val="22"/>
              </w:rPr>
              <w:t> </w:t>
            </w:r>
          </w:p>
        </w:tc>
        <w:tc>
          <w:tcPr>
            <w:tcW w:w="71" w:type="dxa"/>
            <w:tcBorders>
              <w:top w:val="nil"/>
              <w:left w:val="nil"/>
              <w:bottom w:val="single" w:sz="4" w:space="0" w:color="auto"/>
              <w:right w:val="single" w:sz="4" w:space="0" w:color="auto"/>
            </w:tcBorders>
            <w:shd w:val="clear" w:color="auto" w:fill="auto"/>
            <w:noWrap/>
            <w:vAlign w:val="bottom"/>
            <w:hideMark/>
          </w:tcPr>
          <w:p w14:paraId="0362387D" w14:textId="77777777" w:rsidR="00EF14FB" w:rsidRPr="000D241F" w:rsidRDefault="00EF14FB" w:rsidP="00EF14FB">
            <w:pPr>
              <w:rPr>
                <w:rFonts w:ascii="Calibri" w:hAnsi="Calibri"/>
                <w:color w:val="000000"/>
                <w:sz w:val="22"/>
                <w:szCs w:val="22"/>
              </w:rPr>
            </w:pPr>
            <w:r w:rsidRPr="000D241F">
              <w:rPr>
                <w:rFonts w:ascii="Calibri" w:hAnsi="Calibri"/>
                <w:color w:val="000000"/>
                <w:sz w:val="22"/>
                <w:szCs w:val="22"/>
              </w:rPr>
              <w:t> </w:t>
            </w:r>
          </w:p>
        </w:tc>
      </w:tr>
    </w:tbl>
    <w:p w14:paraId="121EF2C1" w14:textId="77777777" w:rsidR="00EF14FB" w:rsidRDefault="00EF14FB" w:rsidP="009969B1">
      <w:pPr>
        <w:sectPr w:rsidR="00EF14FB" w:rsidSect="00EF14FB">
          <w:headerReference w:type="default" r:id="rId15"/>
          <w:pgSz w:w="12240" w:h="15840" w:code="1"/>
          <w:pgMar w:top="1440" w:right="1440" w:bottom="1440" w:left="1440" w:header="720" w:footer="720" w:gutter="0"/>
          <w:cols w:space="720"/>
          <w:docGrid w:linePitch="360"/>
        </w:sectPr>
      </w:pPr>
    </w:p>
    <w:p w14:paraId="6689F253" w14:textId="42AEDAA2" w:rsidR="00EF14FB" w:rsidRDefault="003A1A9A" w:rsidP="009969B1">
      <w:r>
        <w:rPr>
          <w:noProof/>
        </w:rPr>
        <w:lastRenderedPageBreak/>
        <w:drawing>
          <wp:inline distT="0" distB="0" distL="0" distR="0" wp14:anchorId="4906619A" wp14:editId="5CEB873E">
            <wp:extent cx="5943600" cy="31572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R Schedule F-10 (Order attachment)(Revised Rev. Req.).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3157220"/>
                    </a:xfrm>
                    <a:prstGeom prst="rect">
                      <a:avLst/>
                    </a:prstGeom>
                  </pic:spPr>
                </pic:pic>
              </a:graphicData>
            </a:graphic>
          </wp:inline>
        </w:drawing>
      </w:r>
    </w:p>
    <w:sectPr w:rsidR="00EF14FB" w:rsidSect="00EF14FB">
      <w:head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AA6D8" w14:textId="77777777" w:rsidR="0091157A" w:rsidRDefault="0091157A">
      <w:r>
        <w:separator/>
      </w:r>
    </w:p>
  </w:endnote>
  <w:endnote w:type="continuationSeparator" w:id="0">
    <w:p w14:paraId="288E5A74" w14:textId="77777777" w:rsidR="0091157A" w:rsidRDefault="0091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0D99F" w14:textId="77777777" w:rsidR="00947D35" w:rsidRDefault="00947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DBE23" w14:textId="77777777" w:rsidR="00947D35" w:rsidRDefault="00947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A49E2" w14:textId="77777777" w:rsidR="0091157A" w:rsidRDefault="0091157A">
    <w:pPr>
      <w:pStyle w:val="Footer"/>
    </w:pPr>
  </w:p>
  <w:p w14:paraId="20013B85" w14:textId="77777777" w:rsidR="0091157A" w:rsidRDefault="00911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6164E" w14:textId="77777777" w:rsidR="0091157A" w:rsidRDefault="0091157A">
      <w:r>
        <w:separator/>
      </w:r>
    </w:p>
  </w:footnote>
  <w:footnote w:type="continuationSeparator" w:id="0">
    <w:p w14:paraId="576A60F2" w14:textId="77777777" w:rsidR="0091157A" w:rsidRDefault="0091157A">
      <w:r>
        <w:continuationSeparator/>
      </w:r>
    </w:p>
  </w:footnote>
  <w:footnote w:id="1">
    <w:p w14:paraId="69ADFE38" w14:textId="77777777" w:rsidR="0091157A" w:rsidRPr="004157CB" w:rsidRDefault="0091157A" w:rsidP="009969B1">
      <w:pPr>
        <w:pStyle w:val="FootnoteText"/>
        <w:rPr>
          <w:i/>
        </w:rPr>
      </w:pPr>
      <w:r>
        <w:rPr>
          <w:rStyle w:val="FootnoteReference"/>
        </w:rPr>
        <w:footnoteRef/>
      </w:r>
      <w:r>
        <w:t xml:space="preserve">Order No. PSC-2008-0436-PAA-GU, issued July 8, 2008, in Docket No. 20070592-GU, </w:t>
      </w:r>
      <w:r>
        <w:rPr>
          <w:i/>
        </w:rPr>
        <w:t>In re: Petition for rate increase by St. Joe Natural Gas Company, Inc.</w:t>
      </w:r>
    </w:p>
  </w:footnote>
  <w:footnote w:id="2">
    <w:p w14:paraId="52FEA274" w14:textId="77777777" w:rsidR="0091157A" w:rsidRDefault="0091157A" w:rsidP="009969B1">
      <w:pPr>
        <w:pStyle w:val="FootnoteText"/>
      </w:pPr>
      <w:r>
        <w:rPr>
          <w:rStyle w:val="FootnoteReference"/>
        </w:rPr>
        <w:footnoteRef/>
      </w:r>
      <w:r>
        <w:t xml:space="preserve">Order No. PSC-2016-0297-PAA-GU, issued July 27, 2016, in Docket No. 20160033-GU, </w:t>
      </w:r>
      <w:r>
        <w:rPr>
          <w:i/>
        </w:rPr>
        <w:t>In re: Petition for limited proceeding to restructure rates by St. Joe Natural Gas Company, Inc.</w:t>
      </w:r>
    </w:p>
  </w:footnote>
  <w:footnote w:id="3">
    <w:p w14:paraId="0DAB1C80" w14:textId="77777777" w:rsidR="0091157A" w:rsidRDefault="0091157A" w:rsidP="009969B1">
      <w:pPr>
        <w:pStyle w:val="FootnoteText"/>
      </w:pPr>
      <w:r>
        <w:rPr>
          <w:rStyle w:val="FootnoteReference"/>
        </w:rPr>
        <w:footnoteRef/>
      </w:r>
      <w:r>
        <w:t xml:space="preserve">Order No. PSC-2021-0196-AS-GU, issued June 3, 2021, in Docket No. 20200039-GU, </w:t>
      </w:r>
      <w:r>
        <w:rPr>
          <w:i/>
        </w:rPr>
        <w:t>In re: Petition for approval to implement a temporary storm cost recovery surcharge, by St. Joe Natural Gas Company, Inc.</w:t>
      </w:r>
    </w:p>
  </w:footnote>
  <w:footnote w:id="4">
    <w:p w14:paraId="7871249A" w14:textId="77777777" w:rsidR="0091157A" w:rsidRDefault="0091157A" w:rsidP="009969B1">
      <w:pPr>
        <w:pStyle w:val="FootnoteText"/>
      </w:pPr>
      <w:r>
        <w:rPr>
          <w:rStyle w:val="FootnoteReference"/>
        </w:rPr>
        <w:footnoteRef/>
      </w:r>
      <w:r>
        <w:t>Document No. 04381-2024, filed May 30, 2024.</w:t>
      </w:r>
    </w:p>
  </w:footnote>
  <w:footnote w:id="5">
    <w:p w14:paraId="27961A70" w14:textId="77777777" w:rsidR="0091157A" w:rsidRDefault="0091157A" w:rsidP="009969B1">
      <w:pPr>
        <w:pStyle w:val="FootnoteText"/>
      </w:pPr>
      <w:r>
        <w:rPr>
          <w:rStyle w:val="FootnoteReference"/>
        </w:rPr>
        <w:footnoteRef/>
      </w:r>
      <w:r>
        <w:t>Document No. 04381-2024, filed May 30, 2024.</w:t>
      </w:r>
    </w:p>
  </w:footnote>
  <w:footnote w:id="6">
    <w:p w14:paraId="44810325" w14:textId="77777777" w:rsidR="0091157A" w:rsidRDefault="0091157A" w:rsidP="009969B1">
      <w:pPr>
        <w:pStyle w:val="FootnoteText"/>
      </w:pPr>
      <w:r>
        <w:rPr>
          <w:rStyle w:val="FootnoteReference"/>
        </w:rPr>
        <w:footnoteRef/>
      </w:r>
      <w:r>
        <w:t>Order No. PSC-2008-0436-PAA-GU</w:t>
      </w:r>
      <w:r>
        <w:rPr>
          <w:i/>
        </w:rPr>
        <w:t>.</w:t>
      </w:r>
    </w:p>
  </w:footnote>
  <w:footnote w:id="7">
    <w:p w14:paraId="24626EB8" w14:textId="77777777" w:rsidR="0091157A" w:rsidRDefault="0091157A" w:rsidP="009969B1">
      <w:pPr>
        <w:pStyle w:val="FootnoteText"/>
      </w:pPr>
      <w:r>
        <w:rPr>
          <w:rStyle w:val="FootnoteReference"/>
        </w:rPr>
        <w:footnoteRef/>
      </w:r>
      <w:r>
        <w:t>Order No. PSC-2008-0436-PAA-GU</w:t>
      </w:r>
      <w:r>
        <w:rPr>
          <w:i/>
        </w:rPr>
        <w:t>.</w:t>
      </w:r>
    </w:p>
  </w:footnote>
  <w:footnote w:id="8">
    <w:p w14:paraId="6F3E5F3C" w14:textId="77777777" w:rsidR="0091157A" w:rsidRDefault="0091157A" w:rsidP="009969B1">
      <w:pPr>
        <w:pStyle w:val="FootnoteText"/>
      </w:pPr>
      <w:r>
        <w:rPr>
          <w:rStyle w:val="FootnoteReference"/>
        </w:rPr>
        <w:footnoteRef/>
      </w:r>
      <w:r>
        <w:t>Order No. PSC-2008-0436-PAA-GU</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3F314" w14:textId="77777777" w:rsidR="00947D35" w:rsidRDefault="00947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A2A93" w14:textId="6649752C" w:rsidR="0091157A" w:rsidRDefault="0091157A">
    <w:pPr>
      <w:pStyle w:val="OrderHeader"/>
    </w:pPr>
    <w:r>
      <w:t xml:space="preserve">ORDER NO. </w:t>
    </w:r>
    <w:r w:rsidR="005B7530">
      <w:fldChar w:fldCharType="begin"/>
    </w:r>
    <w:r w:rsidR="005B7530">
      <w:instrText xml:space="preserve"> REF OrderNo0379 </w:instrText>
    </w:r>
    <w:r w:rsidR="005B7530">
      <w:fldChar w:fldCharType="separate"/>
    </w:r>
    <w:r w:rsidR="00C56795">
      <w:t>PSC-2024-0379-PCO-GU</w:t>
    </w:r>
    <w:r w:rsidR="005B7530">
      <w:fldChar w:fldCharType="end"/>
    </w:r>
  </w:p>
  <w:p w14:paraId="3D700652" w14:textId="77777777" w:rsidR="0091157A" w:rsidRDefault="0091157A">
    <w:pPr>
      <w:pStyle w:val="OrderHeader"/>
    </w:pPr>
    <w:bookmarkStart w:id="11" w:name="HeaderDocketNo"/>
    <w:bookmarkEnd w:id="11"/>
    <w:r>
      <w:t>DOCKET NO. 20240046-GU</w:t>
    </w:r>
    <w:r>
      <w:tab/>
    </w:r>
    <w:r>
      <w:tab/>
    </w:r>
  </w:p>
  <w:p w14:paraId="0DAF451E" w14:textId="1DE32BAC" w:rsidR="0091157A" w:rsidRDefault="0091157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7530">
      <w:rPr>
        <w:rStyle w:val="PageNumber"/>
        <w:noProof/>
      </w:rPr>
      <w:t>6</w:t>
    </w:r>
    <w:r>
      <w:rPr>
        <w:rStyle w:val="PageNumber"/>
      </w:rPr>
      <w:fldChar w:fldCharType="end"/>
    </w:r>
  </w:p>
  <w:p w14:paraId="17FB54C3" w14:textId="77777777" w:rsidR="0091157A" w:rsidRDefault="0091157A">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EE87F" w14:textId="77777777" w:rsidR="00947D35" w:rsidRDefault="00947D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0772C" w14:textId="5CA28136" w:rsidR="0091157A" w:rsidRDefault="00947D35">
    <w:pPr>
      <w:pStyle w:val="OrderHeader"/>
    </w:pPr>
    <w:r>
      <w:t>ORDER NO. PSC-2024-0379-PCO-GU</w:t>
    </w:r>
  </w:p>
  <w:p w14:paraId="35C8C075" w14:textId="77777777" w:rsidR="0091157A" w:rsidRDefault="0091157A">
    <w:pPr>
      <w:pStyle w:val="OrderHeader"/>
    </w:pPr>
    <w:r>
      <w:t>DOCKET NO. 20240046-GU</w:t>
    </w:r>
    <w:r>
      <w:tab/>
    </w:r>
    <w:r>
      <w:tab/>
      <w:t>Attachment A</w:t>
    </w:r>
  </w:p>
  <w:p w14:paraId="718C0A70" w14:textId="33B4F818" w:rsidR="0091157A" w:rsidRDefault="0091157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7530">
      <w:rPr>
        <w:rStyle w:val="PageNumber"/>
        <w:noProof/>
      </w:rPr>
      <w:t>9</w:t>
    </w:r>
    <w:r>
      <w:rPr>
        <w:rStyle w:val="PageNumber"/>
      </w:rPr>
      <w:fldChar w:fldCharType="end"/>
    </w:r>
  </w:p>
  <w:p w14:paraId="247964E6" w14:textId="77777777" w:rsidR="0091157A" w:rsidRDefault="0091157A">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19681" w14:textId="77777777" w:rsidR="0091157A" w:rsidRDefault="0091157A" w:rsidP="00EF14FB">
    <w:pPr>
      <w:pStyle w:val="OrderHeader"/>
    </w:pPr>
    <w:r>
      <w:t xml:space="preserve">ORDER NO. </w:t>
    </w:r>
  </w:p>
  <w:p w14:paraId="1867CBBA" w14:textId="77777777" w:rsidR="0091157A" w:rsidRDefault="0091157A" w:rsidP="00EF14FB">
    <w:pPr>
      <w:pStyle w:val="OrderHeader"/>
    </w:pPr>
    <w:r>
      <w:t>DOCKET NO. 20240046-GU</w:t>
    </w:r>
  </w:p>
  <w:p w14:paraId="60FF5185" w14:textId="77777777" w:rsidR="0091157A" w:rsidRDefault="0091157A" w:rsidP="00EF14FB">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3DE748F0" w14:textId="77777777" w:rsidR="0091157A" w:rsidRDefault="0091157A" w:rsidP="00EF14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1046A" w14:textId="263F8115" w:rsidR="0091157A" w:rsidRDefault="00947D35">
    <w:pPr>
      <w:pStyle w:val="OrderHeader"/>
    </w:pPr>
    <w:r>
      <w:t>ORDER NO. PSC-2024-0379-PCO-GU</w:t>
    </w:r>
  </w:p>
  <w:p w14:paraId="43E33AFD" w14:textId="77777777" w:rsidR="0091157A" w:rsidRDefault="0091157A">
    <w:pPr>
      <w:pStyle w:val="OrderHeader"/>
    </w:pPr>
    <w:r>
      <w:t>DOCKET NO. 20240046-GU</w:t>
    </w:r>
    <w:r>
      <w:tab/>
    </w:r>
    <w:r>
      <w:tab/>
      <w:t>Attachment B</w:t>
    </w:r>
  </w:p>
  <w:p w14:paraId="7F5AC5A3" w14:textId="39F14E94" w:rsidR="0091157A" w:rsidRDefault="0091157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7530">
      <w:rPr>
        <w:rStyle w:val="PageNumber"/>
        <w:noProof/>
      </w:rPr>
      <w:t>10</w:t>
    </w:r>
    <w:r>
      <w:rPr>
        <w:rStyle w:val="PageNumber"/>
      </w:rPr>
      <w:fldChar w:fldCharType="end"/>
    </w:r>
  </w:p>
  <w:p w14:paraId="585CF43A" w14:textId="77777777" w:rsidR="0091157A" w:rsidRDefault="0091157A">
    <w:pPr>
      <w:pStyle w:val="Order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CECA1" w14:textId="16691322" w:rsidR="0091157A" w:rsidRDefault="00947D35">
    <w:pPr>
      <w:pStyle w:val="OrderHeader"/>
    </w:pPr>
    <w:r>
      <w:t>ORDER NO. PSC-2024-0379-PCO-GU</w:t>
    </w:r>
  </w:p>
  <w:p w14:paraId="1AAE9A02" w14:textId="77777777" w:rsidR="0091157A" w:rsidRDefault="0091157A">
    <w:pPr>
      <w:pStyle w:val="OrderHeader"/>
    </w:pPr>
    <w:r>
      <w:t>DOCKET NO. 20240046-GU</w:t>
    </w:r>
    <w:r>
      <w:tab/>
    </w:r>
    <w:r>
      <w:tab/>
      <w:t>Attachment C</w:t>
    </w:r>
  </w:p>
  <w:p w14:paraId="37570293" w14:textId="4ACD56A2" w:rsidR="0091157A" w:rsidRDefault="0091157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7530">
      <w:rPr>
        <w:rStyle w:val="PageNumber"/>
        <w:noProof/>
      </w:rPr>
      <w:t>11</w:t>
    </w:r>
    <w:r>
      <w:rPr>
        <w:rStyle w:val="PageNumber"/>
      </w:rPr>
      <w:fldChar w:fldCharType="end"/>
    </w:r>
  </w:p>
  <w:p w14:paraId="200A9A4F" w14:textId="77777777" w:rsidR="0091157A" w:rsidRDefault="0091157A">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334E2"/>
    <w:multiLevelType w:val="hybridMultilevel"/>
    <w:tmpl w:val="0CFC9C64"/>
    <w:lvl w:ilvl="0" w:tplc="73A874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46-GU"/>
  </w:docVars>
  <w:rsids>
    <w:rsidRoot w:val="009969B1"/>
    <w:rsid w:val="000022B8"/>
    <w:rsid w:val="00003883"/>
    <w:rsid w:val="00011251"/>
    <w:rsid w:val="00025C2A"/>
    <w:rsid w:val="00025C9D"/>
    <w:rsid w:val="0003433F"/>
    <w:rsid w:val="00035A8C"/>
    <w:rsid w:val="00036BDD"/>
    <w:rsid w:val="00041FFD"/>
    <w:rsid w:val="00042C99"/>
    <w:rsid w:val="00053AB9"/>
    <w:rsid w:val="00056229"/>
    <w:rsid w:val="00057AF1"/>
    <w:rsid w:val="00062167"/>
    <w:rsid w:val="00065FC2"/>
    <w:rsid w:val="00067685"/>
    <w:rsid w:val="00067B07"/>
    <w:rsid w:val="00070DCA"/>
    <w:rsid w:val="000730D7"/>
    <w:rsid w:val="00076E6B"/>
    <w:rsid w:val="00081AE4"/>
    <w:rsid w:val="0008247D"/>
    <w:rsid w:val="00083AC3"/>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0D24"/>
    <w:rsid w:val="00142A96"/>
    <w:rsid w:val="001513DE"/>
    <w:rsid w:val="00154A71"/>
    <w:rsid w:val="001655D4"/>
    <w:rsid w:val="00165803"/>
    <w:rsid w:val="00187E32"/>
    <w:rsid w:val="0019130D"/>
    <w:rsid w:val="001918FF"/>
    <w:rsid w:val="001949D8"/>
    <w:rsid w:val="00194A97"/>
    <w:rsid w:val="00194E81"/>
    <w:rsid w:val="001A15E7"/>
    <w:rsid w:val="001A33C9"/>
    <w:rsid w:val="001A58F3"/>
    <w:rsid w:val="001B034E"/>
    <w:rsid w:val="001B7624"/>
    <w:rsid w:val="001C2847"/>
    <w:rsid w:val="001C3BB5"/>
    <w:rsid w:val="001C3F8C"/>
    <w:rsid w:val="001C6097"/>
    <w:rsid w:val="001C7126"/>
    <w:rsid w:val="001D008A"/>
    <w:rsid w:val="001D0726"/>
    <w:rsid w:val="001E0152"/>
    <w:rsid w:val="001E0FF5"/>
    <w:rsid w:val="001E6DAF"/>
    <w:rsid w:val="001F0095"/>
    <w:rsid w:val="001F243D"/>
    <w:rsid w:val="001F36B0"/>
    <w:rsid w:val="001F4CA3"/>
    <w:rsid w:val="001F59E0"/>
    <w:rsid w:val="002002ED"/>
    <w:rsid w:val="00202065"/>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0484"/>
    <w:rsid w:val="002A11AC"/>
    <w:rsid w:val="002A6F30"/>
    <w:rsid w:val="002A7884"/>
    <w:rsid w:val="002B3111"/>
    <w:rsid w:val="002C09F5"/>
    <w:rsid w:val="002C118E"/>
    <w:rsid w:val="002C2096"/>
    <w:rsid w:val="002C249C"/>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55B6E"/>
    <w:rsid w:val="00360F30"/>
    <w:rsid w:val="00361522"/>
    <w:rsid w:val="00365016"/>
    <w:rsid w:val="0037196E"/>
    <w:rsid w:val="003744F5"/>
    <w:rsid w:val="00375F66"/>
    <w:rsid w:val="00382C6A"/>
    <w:rsid w:val="003875A9"/>
    <w:rsid w:val="00387BDE"/>
    <w:rsid w:val="00387CE8"/>
    <w:rsid w:val="00390DD8"/>
    <w:rsid w:val="00394DC6"/>
    <w:rsid w:val="003959BC"/>
    <w:rsid w:val="00397C3E"/>
    <w:rsid w:val="003A1A9A"/>
    <w:rsid w:val="003A3128"/>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3258"/>
    <w:rsid w:val="00411DF2"/>
    <w:rsid w:val="00411E8F"/>
    <w:rsid w:val="004247F5"/>
    <w:rsid w:val="0042527B"/>
    <w:rsid w:val="00427EAC"/>
    <w:rsid w:val="004431B4"/>
    <w:rsid w:val="00445604"/>
    <w:rsid w:val="004476E4"/>
    <w:rsid w:val="00451158"/>
    <w:rsid w:val="0045537F"/>
    <w:rsid w:val="00457DC7"/>
    <w:rsid w:val="004605C8"/>
    <w:rsid w:val="004640B3"/>
    <w:rsid w:val="00471CC2"/>
    <w:rsid w:val="00472BCC"/>
    <w:rsid w:val="00472DF7"/>
    <w:rsid w:val="00477699"/>
    <w:rsid w:val="00487C14"/>
    <w:rsid w:val="004A25CD"/>
    <w:rsid w:val="004A26CC"/>
    <w:rsid w:val="004B2108"/>
    <w:rsid w:val="004B3A2B"/>
    <w:rsid w:val="004B6490"/>
    <w:rsid w:val="004B7023"/>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7DA"/>
    <w:rsid w:val="0055595D"/>
    <w:rsid w:val="00556A10"/>
    <w:rsid w:val="00557F50"/>
    <w:rsid w:val="00560100"/>
    <w:rsid w:val="00571D3D"/>
    <w:rsid w:val="0058264B"/>
    <w:rsid w:val="00586368"/>
    <w:rsid w:val="005868AA"/>
    <w:rsid w:val="00590845"/>
    <w:rsid w:val="005963C2"/>
    <w:rsid w:val="005A0D69"/>
    <w:rsid w:val="005A31F4"/>
    <w:rsid w:val="005A73EA"/>
    <w:rsid w:val="005B45F7"/>
    <w:rsid w:val="005B63EA"/>
    <w:rsid w:val="005B7530"/>
    <w:rsid w:val="005C1A88"/>
    <w:rsid w:val="005C5033"/>
    <w:rsid w:val="005C55D8"/>
    <w:rsid w:val="005D4E1B"/>
    <w:rsid w:val="005E751B"/>
    <w:rsid w:val="005F2751"/>
    <w:rsid w:val="005F3354"/>
    <w:rsid w:val="005F4AD6"/>
    <w:rsid w:val="005F5DF3"/>
    <w:rsid w:val="0060005E"/>
    <w:rsid w:val="0060095B"/>
    <w:rsid w:val="00601266"/>
    <w:rsid w:val="00603086"/>
    <w:rsid w:val="00610221"/>
    <w:rsid w:val="00610E73"/>
    <w:rsid w:val="006110FE"/>
    <w:rsid w:val="00615F9B"/>
    <w:rsid w:val="00616DF2"/>
    <w:rsid w:val="0062385D"/>
    <w:rsid w:val="0063168D"/>
    <w:rsid w:val="00635C79"/>
    <w:rsid w:val="006423A7"/>
    <w:rsid w:val="006455DF"/>
    <w:rsid w:val="00645AF6"/>
    <w:rsid w:val="00645F58"/>
    <w:rsid w:val="00647025"/>
    <w:rsid w:val="0064730A"/>
    <w:rsid w:val="006507DA"/>
    <w:rsid w:val="006531A4"/>
    <w:rsid w:val="00653A85"/>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38BF"/>
    <w:rsid w:val="006D5575"/>
    <w:rsid w:val="006D7191"/>
    <w:rsid w:val="006D7DFE"/>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392A"/>
    <w:rsid w:val="007467C4"/>
    <w:rsid w:val="0076170F"/>
    <w:rsid w:val="0076669C"/>
    <w:rsid w:val="00766E46"/>
    <w:rsid w:val="00772CCB"/>
    <w:rsid w:val="00777727"/>
    <w:rsid w:val="0078166A"/>
    <w:rsid w:val="00782B79"/>
    <w:rsid w:val="00783811"/>
    <w:rsid w:val="00783C2B"/>
    <w:rsid w:val="007865E9"/>
    <w:rsid w:val="0079237D"/>
    <w:rsid w:val="00792383"/>
    <w:rsid w:val="00794D5A"/>
    <w:rsid w:val="00794DD9"/>
    <w:rsid w:val="007A060F"/>
    <w:rsid w:val="007B1C5E"/>
    <w:rsid w:val="007B350E"/>
    <w:rsid w:val="007B794C"/>
    <w:rsid w:val="007C0FBC"/>
    <w:rsid w:val="007C29C9"/>
    <w:rsid w:val="007C35B8"/>
    <w:rsid w:val="007C36E3"/>
    <w:rsid w:val="007C3ABB"/>
    <w:rsid w:val="007C7134"/>
    <w:rsid w:val="007C7ECF"/>
    <w:rsid w:val="007D37A1"/>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10B8"/>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4920"/>
    <w:rsid w:val="009057FD"/>
    <w:rsid w:val="00906FBA"/>
    <w:rsid w:val="0091157A"/>
    <w:rsid w:val="009163E8"/>
    <w:rsid w:val="00921BD3"/>
    <w:rsid w:val="009228C7"/>
    <w:rsid w:val="00922A7F"/>
    <w:rsid w:val="00923A5B"/>
    <w:rsid w:val="00923A5E"/>
    <w:rsid w:val="00924FE7"/>
    <w:rsid w:val="00926E27"/>
    <w:rsid w:val="00931C8C"/>
    <w:rsid w:val="00932FCC"/>
    <w:rsid w:val="00943D21"/>
    <w:rsid w:val="0094504B"/>
    <w:rsid w:val="00947D35"/>
    <w:rsid w:val="0096022F"/>
    <w:rsid w:val="00964A38"/>
    <w:rsid w:val="00966A9D"/>
    <w:rsid w:val="0096742B"/>
    <w:rsid w:val="00967C64"/>
    <w:rsid w:val="009718C5"/>
    <w:rsid w:val="00976AFF"/>
    <w:rsid w:val="00984FE5"/>
    <w:rsid w:val="00985FC6"/>
    <w:rsid w:val="00986AED"/>
    <w:rsid w:val="009924CF"/>
    <w:rsid w:val="00994100"/>
    <w:rsid w:val="009969B1"/>
    <w:rsid w:val="009A04B7"/>
    <w:rsid w:val="009A6B17"/>
    <w:rsid w:val="009B052E"/>
    <w:rsid w:val="009B4E00"/>
    <w:rsid w:val="009B767C"/>
    <w:rsid w:val="009B7FAF"/>
    <w:rsid w:val="009D4C29"/>
    <w:rsid w:val="009D731A"/>
    <w:rsid w:val="009E58E9"/>
    <w:rsid w:val="009E6803"/>
    <w:rsid w:val="009F6AD2"/>
    <w:rsid w:val="009F7C1B"/>
    <w:rsid w:val="00A00B5B"/>
    <w:rsid w:val="00A00D8D"/>
    <w:rsid w:val="00A01BB6"/>
    <w:rsid w:val="00A06C0C"/>
    <w:rsid w:val="00A108A7"/>
    <w:rsid w:val="00A228DA"/>
    <w:rsid w:val="00A22B28"/>
    <w:rsid w:val="00A31C0C"/>
    <w:rsid w:val="00A3351E"/>
    <w:rsid w:val="00A4303C"/>
    <w:rsid w:val="00A46CAF"/>
    <w:rsid w:val="00A470FD"/>
    <w:rsid w:val="00A50B5E"/>
    <w:rsid w:val="00A62DAB"/>
    <w:rsid w:val="00A66A3A"/>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4F30"/>
    <w:rsid w:val="00B552E0"/>
    <w:rsid w:val="00B55AB0"/>
    <w:rsid w:val="00B55EE5"/>
    <w:rsid w:val="00B61D42"/>
    <w:rsid w:val="00B67A43"/>
    <w:rsid w:val="00B71D1F"/>
    <w:rsid w:val="00B7208C"/>
    <w:rsid w:val="00B72CFF"/>
    <w:rsid w:val="00B73DE6"/>
    <w:rsid w:val="00B761CD"/>
    <w:rsid w:val="00B76B66"/>
    <w:rsid w:val="00B86EF0"/>
    <w:rsid w:val="00B9629D"/>
    <w:rsid w:val="00B96969"/>
    <w:rsid w:val="00B97900"/>
    <w:rsid w:val="00BA1229"/>
    <w:rsid w:val="00BA44A8"/>
    <w:rsid w:val="00BA49C5"/>
    <w:rsid w:val="00BB0182"/>
    <w:rsid w:val="00BB2F4A"/>
    <w:rsid w:val="00BC786E"/>
    <w:rsid w:val="00BD5C92"/>
    <w:rsid w:val="00BE50E6"/>
    <w:rsid w:val="00BE7A0C"/>
    <w:rsid w:val="00BF0188"/>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4607"/>
    <w:rsid w:val="00C55A33"/>
    <w:rsid w:val="00C56795"/>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0EC2"/>
    <w:rsid w:val="00CC7E68"/>
    <w:rsid w:val="00CD3D74"/>
    <w:rsid w:val="00CD7132"/>
    <w:rsid w:val="00CE0E6F"/>
    <w:rsid w:val="00CE3B21"/>
    <w:rsid w:val="00CE56FC"/>
    <w:rsid w:val="00CE7A4D"/>
    <w:rsid w:val="00CF32D2"/>
    <w:rsid w:val="00CF4CFE"/>
    <w:rsid w:val="00D00E8E"/>
    <w:rsid w:val="00D02E0F"/>
    <w:rsid w:val="00D036F9"/>
    <w:rsid w:val="00D03EE8"/>
    <w:rsid w:val="00D10250"/>
    <w:rsid w:val="00D13535"/>
    <w:rsid w:val="00D15497"/>
    <w:rsid w:val="00D17B79"/>
    <w:rsid w:val="00D205F5"/>
    <w:rsid w:val="00D23E4B"/>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1B61"/>
    <w:rsid w:val="00E33F44"/>
    <w:rsid w:val="00E37D48"/>
    <w:rsid w:val="00E37EAE"/>
    <w:rsid w:val="00E4225C"/>
    <w:rsid w:val="00E44879"/>
    <w:rsid w:val="00E72914"/>
    <w:rsid w:val="00E75AE0"/>
    <w:rsid w:val="00E83C1F"/>
    <w:rsid w:val="00E85684"/>
    <w:rsid w:val="00E8794B"/>
    <w:rsid w:val="00E97656"/>
    <w:rsid w:val="00EA004A"/>
    <w:rsid w:val="00EA0BD6"/>
    <w:rsid w:val="00EA172C"/>
    <w:rsid w:val="00EA259B"/>
    <w:rsid w:val="00EA35A3"/>
    <w:rsid w:val="00EA3E6A"/>
    <w:rsid w:val="00EB18EF"/>
    <w:rsid w:val="00EB58F4"/>
    <w:rsid w:val="00EB6C9B"/>
    <w:rsid w:val="00EB7951"/>
    <w:rsid w:val="00ED6A79"/>
    <w:rsid w:val="00EE17DF"/>
    <w:rsid w:val="00EE5B75"/>
    <w:rsid w:val="00EF1482"/>
    <w:rsid w:val="00EF14FB"/>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55DD"/>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04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9969B1"/>
    <w:pPr>
      <w:jc w:val="center"/>
    </w:pPr>
    <w:rPr>
      <w:rFonts w:ascii="Arial" w:hAnsi="Arial"/>
      <w:b/>
    </w:rPr>
  </w:style>
  <w:style w:type="paragraph" w:customStyle="1" w:styleId="IssueHeading">
    <w:name w:val="Issue Heading"/>
    <w:basedOn w:val="Heading1"/>
    <w:next w:val="BodyText"/>
    <w:link w:val="IssueHeadingChar"/>
    <w:qFormat/>
    <w:rsid w:val="009969B1"/>
    <w:pPr>
      <w:keepNext w:val="0"/>
    </w:pPr>
    <w:rPr>
      <w:rFonts w:ascii="Arial" w:hAnsi="Arial"/>
      <w:b/>
      <w:i/>
    </w:rPr>
  </w:style>
  <w:style w:type="character" w:customStyle="1" w:styleId="IssueHeadingChar">
    <w:name w:val="Issue Heading Char"/>
    <w:link w:val="IssueHeading"/>
    <w:rsid w:val="009969B1"/>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9969B1"/>
    <w:pPr>
      <w:keepNext w:val="0"/>
    </w:pPr>
    <w:rPr>
      <w:rFonts w:ascii="Arial" w:hAnsi="Arial"/>
      <w:b/>
      <w:i/>
    </w:rPr>
  </w:style>
  <w:style w:type="character" w:customStyle="1" w:styleId="IssueSubsectionHeadingChar">
    <w:name w:val="Issue Subsection Heading Char"/>
    <w:link w:val="IssueSubsectionHeading"/>
    <w:rsid w:val="009969B1"/>
    <w:rPr>
      <w:rFonts w:ascii="Arial" w:hAnsi="Arial" w:cs="Arial"/>
      <w:b/>
      <w:bCs/>
      <w:i/>
      <w:iCs/>
      <w:sz w:val="24"/>
      <w:szCs w:val="28"/>
    </w:rPr>
  </w:style>
  <w:style w:type="paragraph" w:customStyle="1" w:styleId="TableNumber">
    <w:name w:val="Table Number"/>
    <w:basedOn w:val="BodyText"/>
    <w:next w:val="BodyText"/>
    <w:qFormat/>
    <w:rsid w:val="009969B1"/>
    <w:pPr>
      <w:spacing w:before="480" w:after="0"/>
      <w:jc w:val="center"/>
    </w:pPr>
    <w:rPr>
      <w:rFonts w:ascii="Arial" w:hAnsi="Arial"/>
      <w:b/>
    </w:rPr>
  </w:style>
  <w:style w:type="paragraph" w:customStyle="1" w:styleId="TableTitle">
    <w:name w:val="Table Title"/>
    <w:basedOn w:val="BodyText"/>
    <w:next w:val="BodyText"/>
    <w:qFormat/>
    <w:rsid w:val="009969B1"/>
    <w:pPr>
      <w:spacing w:after="0"/>
      <w:jc w:val="center"/>
    </w:pPr>
    <w:rPr>
      <w:rFonts w:ascii="Arial" w:hAnsi="Arial"/>
      <w:b/>
    </w:rPr>
  </w:style>
  <w:style w:type="character" w:styleId="CommentReference">
    <w:name w:val="annotation reference"/>
    <w:basedOn w:val="DefaultParagraphFont"/>
    <w:semiHidden/>
    <w:unhideWhenUsed/>
    <w:rsid w:val="00645F58"/>
    <w:rPr>
      <w:sz w:val="16"/>
      <w:szCs w:val="16"/>
    </w:rPr>
  </w:style>
  <w:style w:type="paragraph" w:styleId="CommentText">
    <w:name w:val="annotation text"/>
    <w:basedOn w:val="Normal"/>
    <w:link w:val="CommentTextChar"/>
    <w:semiHidden/>
    <w:unhideWhenUsed/>
    <w:rsid w:val="00645F58"/>
    <w:rPr>
      <w:sz w:val="20"/>
      <w:szCs w:val="20"/>
    </w:rPr>
  </w:style>
  <w:style w:type="character" w:customStyle="1" w:styleId="CommentTextChar">
    <w:name w:val="Comment Text Char"/>
    <w:basedOn w:val="DefaultParagraphFont"/>
    <w:link w:val="CommentText"/>
    <w:semiHidden/>
    <w:rsid w:val="00645F58"/>
  </w:style>
  <w:style w:type="paragraph" w:styleId="CommentSubject">
    <w:name w:val="annotation subject"/>
    <w:basedOn w:val="CommentText"/>
    <w:next w:val="CommentText"/>
    <w:link w:val="CommentSubjectChar"/>
    <w:semiHidden/>
    <w:unhideWhenUsed/>
    <w:rsid w:val="00645F58"/>
    <w:rPr>
      <w:b/>
      <w:bCs/>
    </w:rPr>
  </w:style>
  <w:style w:type="character" w:customStyle="1" w:styleId="CommentSubjectChar">
    <w:name w:val="Comment Subject Char"/>
    <w:basedOn w:val="CommentTextChar"/>
    <w:link w:val="CommentSubject"/>
    <w:semiHidden/>
    <w:rsid w:val="00645F58"/>
    <w:rPr>
      <w:b/>
      <w:bCs/>
    </w:rPr>
  </w:style>
  <w:style w:type="paragraph" w:styleId="BalloonText">
    <w:name w:val="Balloon Text"/>
    <w:basedOn w:val="Normal"/>
    <w:link w:val="BalloonTextChar"/>
    <w:semiHidden/>
    <w:unhideWhenUsed/>
    <w:rsid w:val="00645F58"/>
    <w:rPr>
      <w:rFonts w:ascii="Segoe UI" w:hAnsi="Segoe UI" w:cs="Segoe UI"/>
      <w:sz w:val="18"/>
      <w:szCs w:val="18"/>
    </w:rPr>
  </w:style>
  <w:style w:type="character" w:customStyle="1" w:styleId="BalloonTextChar">
    <w:name w:val="Balloon Text Char"/>
    <w:basedOn w:val="DefaultParagraphFont"/>
    <w:link w:val="BalloonText"/>
    <w:semiHidden/>
    <w:rsid w:val="00645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11</Pages>
  <Words>2914</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2024-08-28T11:17:00Z</dcterms:created>
  <dcterms:modified xsi:type="dcterms:W3CDTF">2024-08-28T15:04:00Z</dcterms:modified>
</cp:coreProperties>
</file>