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67593" w:rsidP="001E20EA">
      <w:pPr>
        <w:pStyle w:val="OrderHeading"/>
      </w:pPr>
      <w:r>
        <w:t>BEFORE THE FLORIDA PUBLIC SERVICE COMMISSION</w:t>
      </w:r>
    </w:p>
    <w:p w:rsidR="00067593" w:rsidRDefault="00067593" w:rsidP="0006759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67593" w:rsidRPr="00C63FCF" w:rsidTr="00C63FCF">
        <w:trPr>
          <w:trHeight w:val="828"/>
        </w:trPr>
        <w:tc>
          <w:tcPr>
            <w:tcW w:w="4788" w:type="dxa"/>
            <w:tcBorders>
              <w:bottom w:val="nil"/>
              <w:right w:val="double" w:sz="6" w:space="0" w:color="auto"/>
            </w:tcBorders>
            <w:shd w:val="clear" w:color="auto" w:fill="auto"/>
          </w:tcPr>
          <w:p w:rsidR="00067593" w:rsidRDefault="00067593" w:rsidP="00C63FCF">
            <w:pPr>
              <w:pStyle w:val="OrderBody"/>
              <w:tabs>
                <w:tab w:val="center" w:pos="4320"/>
                <w:tab w:val="right" w:pos="8640"/>
              </w:tabs>
              <w:jc w:val="left"/>
            </w:pPr>
            <w:r>
              <w:t xml:space="preserve">In re: </w:t>
            </w:r>
            <w:bookmarkStart w:id="0" w:name="SMInRe"/>
            <w:bookmarkEnd w:id="0"/>
            <w:r>
              <w:t>Petition for limited proceeding for recovery of incremental storm restoration costs related to Hurricane Idalia, by Duke Energy Florida, LLC.</w:t>
            </w:r>
          </w:p>
          <w:p w:rsidR="00067593" w:rsidRDefault="00067593"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067593" w:rsidRDefault="00067593" w:rsidP="00C63FCF">
            <w:pPr>
              <w:pStyle w:val="OrderBody"/>
              <w:tabs>
                <w:tab w:val="center" w:pos="4320"/>
                <w:tab w:val="right" w:pos="8640"/>
              </w:tabs>
              <w:jc w:val="left"/>
            </w:pPr>
            <w:r>
              <w:t xml:space="preserve">DOCKET NO. </w:t>
            </w:r>
            <w:bookmarkStart w:id="1" w:name="SMDocketNo"/>
            <w:bookmarkEnd w:id="1"/>
            <w:r>
              <w:t>20230116-EI</w:t>
            </w:r>
          </w:p>
        </w:tc>
      </w:tr>
      <w:tr w:rsidR="00067593" w:rsidRPr="00C63FCF" w:rsidTr="00C63FCF">
        <w:trPr>
          <w:trHeight w:val="828"/>
        </w:trPr>
        <w:tc>
          <w:tcPr>
            <w:tcW w:w="4788" w:type="dxa"/>
            <w:tcBorders>
              <w:top w:val="nil"/>
              <w:bottom w:val="single" w:sz="8" w:space="0" w:color="auto"/>
              <w:right w:val="double" w:sz="6" w:space="0" w:color="auto"/>
            </w:tcBorders>
            <w:shd w:val="clear" w:color="auto" w:fill="auto"/>
          </w:tcPr>
          <w:p w:rsidR="00067593" w:rsidRDefault="00067593" w:rsidP="00C63FCF">
            <w:pPr>
              <w:pStyle w:val="OrderBody"/>
              <w:tabs>
                <w:tab w:val="center" w:pos="4320"/>
                <w:tab w:val="right" w:pos="8640"/>
              </w:tabs>
              <w:jc w:val="left"/>
            </w:pPr>
            <w:r>
              <w:t>In re: Petition for limited proceeding for recovery of incremental storm restoration costs related to Hurricanes Elsa, Eta, Isaias, Ian, Nicole, and Tropical Storm Fred, by Duke Energy Florida, LLC.</w:t>
            </w:r>
          </w:p>
        </w:tc>
        <w:tc>
          <w:tcPr>
            <w:tcW w:w="4788" w:type="dxa"/>
            <w:tcBorders>
              <w:left w:val="double" w:sz="6" w:space="0" w:color="auto"/>
            </w:tcBorders>
            <w:shd w:val="clear" w:color="auto" w:fill="auto"/>
          </w:tcPr>
          <w:p w:rsidR="00067593" w:rsidRDefault="00067593" w:rsidP="00067593">
            <w:pPr>
              <w:pStyle w:val="OrderBody"/>
            </w:pPr>
            <w:r>
              <w:t xml:space="preserve">DOCKET NO. </w:t>
            </w:r>
            <w:bookmarkStart w:id="2" w:name="SMDocketNo2"/>
            <w:bookmarkEnd w:id="2"/>
            <w:r>
              <w:t>20230020-EI</w:t>
            </w:r>
          </w:p>
          <w:p w:rsidR="00067593" w:rsidRDefault="00067593" w:rsidP="00C63FCF">
            <w:pPr>
              <w:pStyle w:val="OrderBody"/>
              <w:tabs>
                <w:tab w:val="center" w:pos="4320"/>
                <w:tab w:val="right" w:pos="8640"/>
              </w:tabs>
              <w:jc w:val="left"/>
            </w:pPr>
            <w:r>
              <w:t xml:space="preserve">ORDER NO. </w:t>
            </w:r>
            <w:bookmarkStart w:id="3" w:name="OrderNo0067"/>
            <w:r w:rsidR="00881965">
              <w:t>PSC-2025-0067-PCO-EI</w:t>
            </w:r>
            <w:bookmarkEnd w:id="3"/>
          </w:p>
          <w:p w:rsidR="00067593" w:rsidRDefault="00067593" w:rsidP="00C63FCF">
            <w:pPr>
              <w:pStyle w:val="OrderBody"/>
              <w:tabs>
                <w:tab w:val="center" w:pos="4320"/>
                <w:tab w:val="right" w:pos="8640"/>
              </w:tabs>
              <w:jc w:val="left"/>
            </w:pPr>
            <w:r>
              <w:t xml:space="preserve">ISSUED: </w:t>
            </w:r>
            <w:r w:rsidR="00881965">
              <w:t>March 5, 2025</w:t>
            </w:r>
          </w:p>
          <w:p w:rsidR="00067593" w:rsidRDefault="00067593" w:rsidP="00C63FCF">
            <w:pPr>
              <w:pStyle w:val="OrderBody"/>
              <w:tabs>
                <w:tab w:val="center" w:pos="4320"/>
                <w:tab w:val="right" w:pos="8640"/>
              </w:tabs>
              <w:jc w:val="left"/>
            </w:pPr>
          </w:p>
        </w:tc>
      </w:tr>
    </w:tbl>
    <w:p w:rsidR="00067593" w:rsidRDefault="00067593" w:rsidP="00067593"/>
    <w:p w:rsidR="00CB5276" w:rsidRDefault="00067593" w:rsidP="00067593">
      <w:pPr>
        <w:pStyle w:val="CenterUnderline"/>
      </w:pPr>
      <w:bookmarkStart w:id="4" w:name="Commissioners"/>
      <w:bookmarkEnd w:id="4"/>
      <w:r>
        <w:t>ORDER</w:t>
      </w:r>
      <w:bookmarkStart w:id="5" w:name="OrderTitle"/>
      <w:r>
        <w:t xml:space="preserve"> ESTABLISHING PROCEDURE </w:t>
      </w:r>
      <w:bookmarkEnd w:id="5"/>
    </w:p>
    <w:p w:rsidR="00067593" w:rsidRDefault="00067593" w:rsidP="00067593">
      <w:pPr>
        <w:pStyle w:val="CenterUnderline"/>
      </w:pPr>
    </w:p>
    <w:p w:rsidR="00AE2E49" w:rsidRPr="00FE366F" w:rsidRDefault="00AE2E49" w:rsidP="00AE2E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FE366F">
        <w:rPr>
          <w:b/>
          <w:bCs/>
        </w:rPr>
        <w:t>I.</w:t>
      </w:r>
      <w:r w:rsidRPr="00FE366F">
        <w:rPr>
          <w:b/>
          <w:bCs/>
        </w:rPr>
        <w:tab/>
      </w:r>
      <w:r w:rsidRPr="00FE366F">
        <w:rPr>
          <w:b/>
          <w:bCs/>
          <w:u w:val="single"/>
        </w:rPr>
        <w:t>Case Background</w:t>
      </w:r>
    </w:p>
    <w:p w:rsidR="00AE2E49" w:rsidRPr="00FE366F" w:rsidRDefault="00AE2E49" w:rsidP="00AE2E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9B2E27" w:rsidRDefault="00AE2E49" w:rsidP="00AE2E49">
      <w:pPr>
        <w:autoSpaceDE w:val="0"/>
        <w:autoSpaceDN w:val="0"/>
        <w:adjustRightInd w:val="0"/>
        <w:jc w:val="both"/>
      </w:pPr>
      <w:r w:rsidRPr="00FE366F">
        <w:tab/>
      </w:r>
      <w:r>
        <w:t xml:space="preserve">On October 16, 2023, </w:t>
      </w:r>
      <w:r w:rsidR="009B2E27">
        <w:t xml:space="preserve">in Docket No. 20230116-EI, </w:t>
      </w:r>
      <w:r>
        <w:t>Duke Energy Florida, LLC (DEF) filed a petition</w:t>
      </w:r>
      <w:r w:rsidR="009B2E27">
        <w:t xml:space="preserve"> seeking authority to implement an interim storm restoration recovery surcharge to recover approximately $</w:t>
      </w:r>
      <w:r w:rsidR="00F678AF">
        <w:t xml:space="preserve">91.9 </w:t>
      </w:r>
      <w:r w:rsidR="009B2E27">
        <w:t>million in incremental storm restoration costs, replenishment of the storm reserve, and interest related to Hurricane Idalia, to begin with the first billing cycle of January 2024 through December 31, 2024, subject to final true-up.  At that time</w:t>
      </w:r>
      <w:r w:rsidR="0064793D">
        <w:t>,</w:t>
      </w:r>
      <w:r w:rsidR="009B2E27">
        <w:t xml:space="preserve"> DEF also requested approval to </w:t>
      </w:r>
      <w:r w:rsidR="00F678AF">
        <w:t xml:space="preserve">combine </w:t>
      </w:r>
      <w:r w:rsidR="009B2E27">
        <w:t xml:space="preserve">the remaining </w:t>
      </w:r>
      <w:r w:rsidR="00F678AF">
        <w:t xml:space="preserve">$73.9 million </w:t>
      </w:r>
      <w:r w:rsidR="009B2E27">
        <w:t>interim incremental storm restoration costs for Hurricanes Elsa, Eta, Isaias, Ian, Nicole, and Tropical Storm Fred</w:t>
      </w:r>
      <w:r w:rsidR="00F678AF">
        <w:t>,</w:t>
      </w:r>
      <w:r w:rsidR="009B2E27">
        <w:t xml:space="preserve"> </w:t>
      </w:r>
      <w:r w:rsidR="00F678AF">
        <w:t>approved in Docket No. 20230020-EI,</w:t>
      </w:r>
      <w:r w:rsidR="0064793D">
        <w:t xml:space="preserve"> with Hurricane Idalia costs </w:t>
      </w:r>
      <w:r w:rsidR="00A923A5">
        <w:t xml:space="preserve">to recover </w:t>
      </w:r>
      <w:r w:rsidR="0064793D">
        <w:t>a total of $166.1 million, over the January through December 31, 2024 time period.</w:t>
      </w:r>
      <w:r w:rsidR="00F678AF">
        <w:t xml:space="preserve">  </w:t>
      </w:r>
      <w:r w:rsidR="00A923A5">
        <w:t>O</w:t>
      </w:r>
      <w:r w:rsidR="00F678AF">
        <w:t>rder No. PSC-2023-0375-PCO-EI, issued December 19, 2023</w:t>
      </w:r>
      <w:r w:rsidR="00A923A5">
        <w:t xml:space="preserve">, approved the requested combined interim storm cost recovery of $166.1 million over the January through December 31, 2024 time period. </w:t>
      </w:r>
      <w:r w:rsidR="00F678AF">
        <w:t xml:space="preserve">    </w:t>
      </w:r>
    </w:p>
    <w:p w:rsidR="00F678AF" w:rsidRDefault="00F678AF" w:rsidP="00AE2E49">
      <w:pPr>
        <w:autoSpaceDE w:val="0"/>
        <w:autoSpaceDN w:val="0"/>
        <w:adjustRightInd w:val="0"/>
        <w:jc w:val="both"/>
      </w:pPr>
    </w:p>
    <w:p w:rsidR="00F678AF" w:rsidRDefault="00F678AF" w:rsidP="00AE2E49">
      <w:pPr>
        <w:autoSpaceDE w:val="0"/>
        <w:autoSpaceDN w:val="0"/>
        <w:adjustRightInd w:val="0"/>
        <w:jc w:val="both"/>
      </w:pPr>
      <w:r>
        <w:tab/>
      </w:r>
      <w:r w:rsidR="005521A7">
        <w:t>On May 14, 2024, Docket Nos. 20230030-EI and 20230116-EI were consolidated by Order No. PSC-2024-0151</w:t>
      </w:r>
      <w:r w:rsidR="00882906">
        <w:t>-</w:t>
      </w:r>
      <w:r w:rsidR="005521A7">
        <w:t xml:space="preserve">PHO-EI.  </w:t>
      </w:r>
      <w:r w:rsidR="0064793D">
        <w:t xml:space="preserve">A hearing </w:t>
      </w:r>
      <w:r w:rsidR="00882906">
        <w:t xml:space="preserve">was held on </w:t>
      </w:r>
      <w:r w:rsidR="0064793D">
        <w:t>May 21, 2024, to establish t</w:t>
      </w:r>
      <w:r>
        <w:t>he final</w:t>
      </w:r>
      <w:r w:rsidR="00A923A5">
        <w:t>,</w:t>
      </w:r>
      <w:r>
        <w:t xml:space="preserve"> </w:t>
      </w:r>
      <w:r w:rsidR="00A923A5">
        <w:t xml:space="preserve">prudent </w:t>
      </w:r>
      <w:r>
        <w:t xml:space="preserve">costs for </w:t>
      </w:r>
      <w:r w:rsidR="0064793D">
        <w:t>Hurricanes Elsa, Eta, Isaias, Ian, Nicole,</w:t>
      </w:r>
      <w:r w:rsidR="00E5590A">
        <w:t xml:space="preserve"> </w:t>
      </w:r>
      <w:r w:rsidR="0064793D">
        <w:t>and Tropical Storm Fred</w:t>
      </w:r>
      <w:r w:rsidR="003F12A6">
        <w:t xml:space="preserve">.  Final storm restoration costs for </w:t>
      </w:r>
      <w:r w:rsidR="0020336E">
        <w:t>H</w:t>
      </w:r>
      <w:r w:rsidR="003F12A6">
        <w:t xml:space="preserve">urricanes </w:t>
      </w:r>
      <w:r w:rsidR="0020336E">
        <w:t>Elsa, Eta, Isaias, Ian, Nicole,</w:t>
      </w:r>
      <w:r w:rsidR="00E5590A">
        <w:t xml:space="preserve"> </w:t>
      </w:r>
      <w:r w:rsidR="003F12A6">
        <w:t>and Tropical Storm Fred</w:t>
      </w:r>
      <w:r w:rsidR="0064793D">
        <w:t xml:space="preserve"> </w:t>
      </w:r>
      <w:r w:rsidR="0020336E">
        <w:t xml:space="preserve">in the amount of $431,380,637 plus estimated interest </w:t>
      </w:r>
      <w:r w:rsidR="0064793D">
        <w:t xml:space="preserve">were </w:t>
      </w:r>
      <w:r w:rsidR="003F12A6">
        <w:t xml:space="preserve">approved </w:t>
      </w:r>
      <w:r w:rsidR="005521A7">
        <w:t xml:space="preserve">by </w:t>
      </w:r>
      <w:r w:rsidR="0064793D">
        <w:t>Order No. PSC-2024-0377-FOF-EI, issued</w:t>
      </w:r>
      <w:r w:rsidR="003F12A6">
        <w:t xml:space="preserve"> August 27, 2024.</w:t>
      </w:r>
    </w:p>
    <w:p w:rsidR="009B2E27" w:rsidRDefault="009B2E27" w:rsidP="00AE2E49">
      <w:pPr>
        <w:autoSpaceDE w:val="0"/>
        <w:autoSpaceDN w:val="0"/>
        <w:adjustRightInd w:val="0"/>
        <w:jc w:val="both"/>
      </w:pPr>
    </w:p>
    <w:p w:rsidR="009B2E27" w:rsidRDefault="003F12A6" w:rsidP="00AE2E49">
      <w:pPr>
        <w:autoSpaceDE w:val="0"/>
        <w:autoSpaceDN w:val="0"/>
        <w:adjustRightInd w:val="0"/>
        <w:jc w:val="both"/>
      </w:pPr>
      <w:r>
        <w:tab/>
        <w:t xml:space="preserve">On September 23, 2024, DEF filed its petition to </w:t>
      </w:r>
      <w:r w:rsidR="009A2860">
        <w:t xml:space="preserve">determine several issues: (1) to determine the prudent storm cost for Hurricane Idalia; 2) to determine the money </w:t>
      </w:r>
      <w:r>
        <w:t xml:space="preserve">actually collected </w:t>
      </w:r>
      <w:r w:rsidR="009A2860">
        <w:t xml:space="preserve">over the April 2023 to </w:t>
      </w:r>
      <w:r>
        <w:t xml:space="preserve">December 2024 </w:t>
      </w:r>
      <w:r w:rsidR="009A2860">
        <w:t xml:space="preserve">combined </w:t>
      </w:r>
      <w:r>
        <w:t>time period</w:t>
      </w:r>
      <w:r w:rsidR="00CA5047">
        <w:t xml:space="preserve"> in which the storm cost recovery surcharge was in effect</w:t>
      </w:r>
      <w:r w:rsidR="009A2860">
        <w:t xml:space="preserve">; (3) to combine the </w:t>
      </w:r>
      <w:r w:rsidR="00CA5047">
        <w:t xml:space="preserve">$431,380,637 </w:t>
      </w:r>
      <w:r>
        <w:t>costs approved as prudent</w:t>
      </w:r>
      <w:r w:rsidR="00CA5047">
        <w:t xml:space="preserve"> for Hurricanes Elsa, Eta, Isaias, Ian, Nicole, and Tropical Storm Fred with the costs determined to be prudent for Hurricane Idalia; and (4) to calculate the true-up of collected moneys with the combined prudent storm recovery costs.  </w:t>
      </w:r>
      <w:r w:rsidR="005521A7">
        <w:t xml:space="preserve">The Commission has set a hearing </w:t>
      </w:r>
      <w:r w:rsidR="00CC3B83">
        <w:t>for June 3-4, 2025</w:t>
      </w:r>
      <w:r w:rsidR="00B55D9A">
        <w:t>.</w:t>
      </w:r>
      <w:r w:rsidR="005521A7">
        <w:t xml:space="preserve">   </w:t>
      </w:r>
      <w:r>
        <w:t xml:space="preserve">  </w:t>
      </w:r>
    </w:p>
    <w:p w:rsidR="00AE2E49" w:rsidRDefault="00AE2E49" w:rsidP="00AE2E49">
      <w:pPr>
        <w:autoSpaceDE w:val="0"/>
        <w:autoSpaceDN w:val="0"/>
        <w:adjustRightInd w:val="0"/>
        <w:jc w:val="both"/>
      </w:pPr>
    </w:p>
    <w:p w:rsidR="00B66110" w:rsidRDefault="00AE2E49" w:rsidP="001D65E8">
      <w:pPr>
        <w:ind w:firstLine="720"/>
        <w:jc w:val="both"/>
      </w:pPr>
      <w:r w:rsidRPr="00FE366F">
        <w:t xml:space="preserve">This Order sets forth the procedural requirements for all parties to this docket. </w:t>
      </w:r>
      <w:r w:rsidR="007340D1">
        <w:t xml:space="preserve">The Office of Public Counsel has been recognized as a party in both Docket Nos. 20230020-EI and </w:t>
      </w:r>
      <w:r w:rsidR="007340D1">
        <w:lastRenderedPageBreak/>
        <w:t>20230116-EI</w:t>
      </w:r>
      <w:r w:rsidR="001D65E8">
        <w:t>.</w:t>
      </w:r>
      <w:r w:rsidR="007340D1">
        <w:rPr>
          <w:rStyle w:val="FootnoteReference"/>
        </w:rPr>
        <w:footnoteReference w:id="1"/>
      </w:r>
      <w:r w:rsidR="007340D1">
        <w:t xml:space="preserve"> Walmart, Inc. and White Springs Agricul</w:t>
      </w:r>
      <w:r w:rsidR="00E5590A">
        <w:t>t</w:t>
      </w:r>
      <w:r w:rsidR="007340D1">
        <w:t xml:space="preserve">ural Chemicals, Inc. d/b/a PCS Phosphate-White Springs have been granted intervention in Docket No. 20230020-EI.  </w:t>
      </w:r>
      <w:r w:rsidRPr="00FE366F">
        <w:t>Jurisdiction over these matters is vested in the Commission through several provisions of Chapter 366, Florida Statutes (F.S.), including Sections 366.04, 366.05, and 366.06, F.S.</w:t>
      </w:r>
    </w:p>
    <w:p w:rsidR="00B66110" w:rsidRDefault="00B66110" w:rsidP="001D65E8">
      <w:pPr>
        <w:ind w:firstLine="720"/>
        <w:jc w:val="both"/>
      </w:pPr>
    </w:p>
    <w:p w:rsidR="00AE2E49" w:rsidRPr="00FE366F" w:rsidRDefault="00AE2E49" w:rsidP="001D65E8">
      <w:pPr>
        <w:ind w:firstLine="720"/>
        <w:jc w:val="both"/>
      </w:pPr>
      <w:r w:rsidRPr="00FE366F">
        <w:t xml:space="preserve">This </w:t>
      </w:r>
      <w:r w:rsidR="001D65E8">
        <w:t>O</w:t>
      </w:r>
      <w:r w:rsidRPr="00FE366F">
        <w:t>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rsidR="00AE2E49" w:rsidRPr="00FE366F" w:rsidRDefault="00AE2E49" w:rsidP="001D65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AE2E49" w:rsidRPr="00FE366F" w:rsidRDefault="00AE2E49" w:rsidP="00AE2E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E366F">
        <w:rPr>
          <w:b/>
          <w:bCs/>
        </w:rPr>
        <w:t>II.</w:t>
      </w:r>
      <w:r w:rsidRPr="00FE366F">
        <w:rPr>
          <w:b/>
          <w:bCs/>
        </w:rPr>
        <w:tab/>
      </w:r>
      <w:r w:rsidRPr="00FE366F">
        <w:rPr>
          <w:b/>
          <w:bCs/>
          <w:u w:val="single"/>
        </w:rPr>
        <w:t>General Filing Procedures</w:t>
      </w:r>
    </w:p>
    <w:p w:rsidR="00AE2E49" w:rsidRPr="00FE366F" w:rsidRDefault="00AE2E49" w:rsidP="00AE2E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E2E49" w:rsidRPr="00FE366F"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E366F">
        <w:tab/>
        <w:t xml:space="preserve">Filings pertaining to this docket must comply with Rule 28-106.104, F.A.C.  Filing may be accomplished electronically as provided in the Commission’s Statement of Agency Organization and Operation and the E-Filing Requirements link, posted on our website, </w:t>
      </w:r>
      <w:hyperlink r:id="rId8" w:history="1">
        <w:r w:rsidRPr="00FE366F">
          <w:rPr>
            <w:color w:val="0000FF"/>
            <w:u w:val="single"/>
          </w:rPr>
          <w:t>www.floridapsc.com</w:t>
        </w:r>
      </w:hyperlink>
      <w:r w:rsidRPr="00FE366F">
        <w:t>.  If filing via mail, hand delivery, or courier service, the filing should be addressed to:</w:t>
      </w:r>
    </w:p>
    <w:p w:rsidR="00AE2E49" w:rsidRPr="00FE366F"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E2E49" w:rsidRPr="00FE366F"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E366F">
        <w:tab/>
        <w:t xml:space="preserve">Office of Commission Clerk </w:t>
      </w:r>
    </w:p>
    <w:p w:rsidR="00AE2E49" w:rsidRPr="00FE366F"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E366F">
        <w:tab/>
        <w:t>Florida Public Service Commission</w:t>
      </w:r>
    </w:p>
    <w:p w:rsidR="00AE2E49" w:rsidRPr="00FE366F"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E366F">
        <w:tab/>
        <w:t>2540 Shumard Oak Boulevard</w:t>
      </w:r>
    </w:p>
    <w:p w:rsidR="00AE2E49" w:rsidRPr="00FE366F"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E366F">
        <w:tab/>
        <w:t>Tallahassee, Florida  32399-0850</w:t>
      </w:r>
    </w:p>
    <w:p w:rsidR="00AE2E49" w:rsidRPr="00FE366F"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E2E49" w:rsidRPr="00FE366F"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E366F">
        <w:tab/>
        <w:t>The Commission strongly encourages electronic filing, which is available from the Commission’s Home Page under the Clerk’s Office menu and Electronic Filing web form.  The filing party is responsible for ensuring that no information protected by privacy or confidentiality laws is contained in any electronic document.  To the extent possible, when making an electronic filing, an electronic copy of all filings shall also be provided to parties and Commission staff in Microsoft Word format and all schedules shall be provided in Microsoft Excel format with formulas intact and unlocked.</w:t>
      </w: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E2E49" w:rsidRDefault="00AE2E49" w:rsidP="00AE2E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FE366F">
        <w:rPr>
          <w:b/>
        </w:rPr>
        <w:t>I</w:t>
      </w:r>
      <w:r w:rsidR="007C5666">
        <w:rPr>
          <w:b/>
        </w:rPr>
        <w:t>II</w:t>
      </w:r>
      <w:r w:rsidRPr="00FE366F">
        <w:rPr>
          <w:b/>
        </w:rPr>
        <w:t>.</w:t>
      </w:r>
      <w:r w:rsidRPr="00FE366F">
        <w:rPr>
          <w:b/>
        </w:rPr>
        <w:tab/>
      </w:r>
      <w:r>
        <w:rPr>
          <w:b/>
          <w:u w:val="single"/>
        </w:rPr>
        <w:t>Prefiled Testimony and Exhibits</w:t>
      </w: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Each party shall file all testimony and exhibits that it intends to sponsor, pursuant to the schedule set forth in Section</w:t>
      </w:r>
      <w:r w:rsidRPr="00FE366F">
        <w:t xml:space="preserve"> </w:t>
      </w:r>
      <w:r w:rsidR="00B66110">
        <w:t>VIII</w:t>
      </w:r>
      <w:r w:rsidRPr="00FE366F">
        <w:t xml:space="preserve"> of</w:t>
      </w:r>
      <w:r w:rsidRPr="00C75702">
        <w:t xml:space="preserve"> this Order.</w:t>
      </w:r>
      <w:r>
        <w:t xml:space="preserve"> Testimony and exhibits may be filed electronically. </w:t>
      </w:r>
      <w:r w:rsidRPr="00AC326D">
        <w:t>If filing electronically, each set of testimony and accompanying exhibits must be saved as distinct and separate electronic files; multiple sets of testimony and exhibits combined in a single electronic file are not acceptable.</w:t>
      </w:r>
      <w:r>
        <w:t xml:space="preserve"> </w:t>
      </w:r>
      <w:r w:rsidRPr="00C75702">
        <w:t xml:space="preserve">If filing paper copies, an original and </w:t>
      </w:r>
      <w:r w:rsidRPr="007659C3">
        <w:t>15 copies</w:t>
      </w:r>
      <w:r w:rsidRPr="00C75702">
        <w:t xml:space="preserve"> of all testimony and exhibits shall be filed with</w:t>
      </w:r>
      <w:r>
        <w:t xml:space="preserve"> the Office of Commission Clerk</w:t>
      </w:r>
      <w:r w:rsidRPr="00C75702">
        <w:t xml:space="preserve"> by 5:00 p.m. on the date due. A copy of all prefiled testimony and exhibits shall be served electronically or by regular mail, overnight mail, or hand delivery to all other parties and </w:t>
      </w:r>
      <w:r>
        <w:t xml:space="preserve">Commission </w:t>
      </w:r>
      <w:r w:rsidRPr="00C75702">
        <w:t>staff no later than the date filed with the Commission.</w:t>
      </w:r>
      <w:r>
        <w:t xml:space="preserve"> </w:t>
      </w:r>
      <w:r w:rsidRPr="00C75702">
        <w:t xml:space="preserve">Failure of a party to timely prefile exhibits and </w:t>
      </w:r>
      <w:r w:rsidRPr="00C75702">
        <w:lastRenderedPageBreak/>
        <w:t>testimony from any witness in accordance with the foregoing requirements may bar admission of such exhibits and testimony.</w:t>
      </w: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D93339">
        <w:t xml:space="preserve">Parties may use exhibits in their native Excel format for demonstrative purposes; however, any exhibits created in Excel that a party seeks to admit into the record must be converted to Adobe </w:t>
      </w:r>
      <w:r>
        <w:t>P</w:t>
      </w:r>
      <w:r w:rsidRPr="00D93339">
        <w:t xml:space="preserve">ortable </w:t>
      </w:r>
      <w:r>
        <w:t>D</w:t>
      </w:r>
      <w:r w:rsidRPr="00D93339">
        <w:t xml:space="preserve">ocument </w:t>
      </w:r>
      <w:r>
        <w:t>F</w:t>
      </w:r>
      <w:r w:rsidRPr="00D93339">
        <w:t>ormat (</w:t>
      </w:r>
      <w:r>
        <w:t>PDF</w:t>
      </w:r>
      <w:r w:rsidRPr="00D93339">
        <w:t>) and provided to the Commission as a separate electronic file.</w:t>
      </w:r>
    </w:p>
    <w:p w:rsidR="00AE2E49" w:rsidRPr="00C75702"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r>
      <w:r w:rsidRPr="007659C3">
        <w:t>The dimensions of each page of testimony shall be 8 ½ x 11 inches.</w:t>
      </w:r>
      <w:r>
        <w:t xml:space="preserve"> </w:t>
      </w:r>
      <w:r w:rsidRPr="007659C3">
        <w:t>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E2E49" w:rsidRDefault="00AE2E49" w:rsidP="00AE2E49">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pPr>
      <w:r>
        <w:tab/>
        <w:t>Each exhibit sponsored by a witness in support of his or her prefiled testimony shall be:</w:t>
      </w:r>
    </w:p>
    <w:p w:rsidR="00AE2E49" w:rsidRDefault="00AE2E49" w:rsidP="00AE2E49">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AE2E49" w:rsidRDefault="00AE2E49" w:rsidP="00AE2E49">
      <w:pPr>
        <w:pStyle w:val="Level3"/>
        <w:widowControl/>
        <w:numPr>
          <w:ilvl w:val="0"/>
          <w:numId w:val="5"/>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Attached to that witness’ testimony when filed;</w:t>
      </w:r>
    </w:p>
    <w:p w:rsidR="00AE2E49" w:rsidRPr="00C75702" w:rsidRDefault="00AE2E49" w:rsidP="00AE2E49">
      <w:pPr>
        <w:pStyle w:val="Level3"/>
        <w:widowControl/>
        <w:numPr>
          <w:ilvl w:val="0"/>
          <w:numId w:val="5"/>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rsidRPr="00C75702">
        <w:t>If filing paper copies, on three-holed paper, unbound, and without tabs;</w:t>
      </w:r>
    </w:p>
    <w:p w:rsidR="00AE2E49" w:rsidRDefault="00AE2E49" w:rsidP="00AE2E49">
      <w:pPr>
        <w:pStyle w:val="Level3"/>
        <w:widowControl/>
        <w:numPr>
          <w:ilvl w:val="0"/>
          <w:numId w:val="5"/>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Sequentially numbered beginning with 1 (any exhibits attached to subsequently filed testimony of the same witness shall continue the sequential numbering system);</w:t>
      </w:r>
    </w:p>
    <w:p w:rsidR="00AE2E49" w:rsidRDefault="00AE2E49" w:rsidP="00AE2E49">
      <w:pPr>
        <w:pStyle w:val="Level3"/>
        <w:widowControl/>
        <w:numPr>
          <w:ilvl w:val="0"/>
          <w:numId w:val="5"/>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Identified in the upper right-hand corner of each page by the docket number, a brief title, and the witness’ initials followed by the exhibit’s number; and</w:t>
      </w:r>
    </w:p>
    <w:p w:rsidR="00AE2E49" w:rsidRDefault="00AE2E49" w:rsidP="00AE2E49">
      <w:pPr>
        <w:pStyle w:val="Level3"/>
        <w:widowControl/>
        <w:numPr>
          <w:ilvl w:val="0"/>
          <w:numId w:val="5"/>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Paginated by showing in the upper right-hand corner of each page the page number followed by the total number of pages in the exhibit.</w:t>
      </w:r>
    </w:p>
    <w:p w:rsidR="00AE2E49" w:rsidRDefault="00AE2E49" w:rsidP="00AE2E49">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AE2E49" w:rsidRDefault="00AE2E49" w:rsidP="00AE2E49">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pPr>
      <w:r>
        <w:tab/>
        <w:t>An example of the information to appear in the upper right-hand corner of the exhibit is as follows:</w:t>
      </w: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Docket No. 20012345-EI</w:t>
      </w: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Foreign Coal Shipments to Port of Tampa</w:t>
      </w: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Exhibit BLW-1, Page 1 of 2</w:t>
      </w: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After an opportunity for opposing parties to object to introduction of the exhibits and to cross-examine the witness sponsoring them, exhibits may be offered into evidence at the hearing.</w:t>
      </w: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E2E49" w:rsidRDefault="006E153B"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I</w:t>
      </w:r>
      <w:r w:rsidR="00AE2E49">
        <w:rPr>
          <w:b/>
        </w:rPr>
        <w:t>V.</w:t>
      </w:r>
      <w:r w:rsidR="00AE2E49">
        <w:rPr>
          <w:b/>
        </w:rPr>
        <w:tab/>
      </w:r>
      <w:r w:rsidR="00AE2E49">
        <w:rPr>
          <w:b/>
          <w:u w:val="single"/>
        </w:rPr>
        <w:t>Discovery Procedures</w:t>
      </w: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General Requirements</w:t>
      </w: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Discovery shall be conducted in accordance with the provisions of Chapter 120, F.S., the relevant provisions of Chapter 366, F.S., Rules 25-22, 25-40, and 28-106, F.A.C., and the applicable Florida Rules of Civil Procedure (as amended January 1, 2025), as modified herein or as may be subsequently modified by the Prehearing Officer. Unless otherwise ordered, Florida Rule of Civil Procedure 1.280(a) (Initial Discovery Disclosure) shall not apply to this proceeding.</w:t>
      </w:r>
    </w:p>
    <w:p w:rsidR="00AE2E49" w:rsidRDefault="00AE2E49" w:rsidP="00AE2E49">
      <w:pPr>
        <w:jc w:val="both"/>
        <w:rPr>
          <w:rFonts w:cs="Courier New"/>
        </w:rPr>
      </w:pP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E2E49" w:rsidRDefault="00AE2E49" w:rsidP="00AE2E49">
      <w:pPr>
        <w:spacing w:line="2" w:lineRule="exact"/>
        <w:jc w:val="both"/>
      </w:pPr>
    </w:p>
    <w:p w:rsidR="00AE2E49" w:rsidRDefault="00AE2E49" w:rsidP="00AE2E49">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Discovery shall be completed by </w:t>
      </w:r>
      <w:r w:rsidR="006E153B">
        <w:t>May 19</w:t>
      </w:r>
      <w:r w:rsidRPr="007E5BDB">
        <w:t>, 2025</w:t>
      </w:r>
      <w:r>
        <w:t>.</w:t>
      </w:r>
    </w:p>
    <w:p w:rsidR="00AE2E49" w:rsidRDefault="00AE2E49" w:rsidP="00AE2E49">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w:t>
      </w:r>
      <w:r>
        <w:t xml:space="preserve"> </w:t>
      </w:r>
      <w:r w:rsidRPr="007659C3">
        <w:t>Documents provided in response to a document request may be provided via a CD, DVD, or flash drive if not served electronically.</w:t>
      </w:r>
    </w:p>
    <w:p w:rsidR="00AE2E49" w:rsidRDefault="00AE2E49" w:rsidP="00AE2E49">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electronic discovery response shall be given a separate electronic file name that is no longer than 60 characters.</w:t>
      </w:r>
    </w:p>
    <w:p w:rsidR="00AE2E49" w:rsidRDefault="00AE2E49" w:rsidP="00AE2E49">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Sets of interrogatories, requests for admissions, requests for production of documents, or other forms of discovery shall be numbered sequentially in order to facilitate identification.</w:t>
      </w:r>
    </w:p>
    <w:p w:rsidR="00AE2E49" w:rsidRDefault="00AE2E49" w:rsidP="00AE2E49">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Within each set, discovery requests shall be numbered sequentially, and any discovery requests in subsequent sets shall continue the sequential numbering system.</w:t>
      </w:r>
    </w:p>
    <w:p w:rsidR="006E153B" w:rsidRDefault="006E153B" w:rsidP="00AE2E49">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For discovery requests made prior to the filing of the utility’s rebuttal testimony, discovery responses shall be served within 30 days (inclusive of mailing) of receipt of the discovery request.  For discovery requests related to matters addressed in the utility’s rebuttal testimony, discovery responses shall be served within 10 days of receipt of the discovery request.     </w:t>
      </w:r>
    </w:p>
    <w:p w:rsidR="00AE2E49" w:rsidRDefault="00AE2E49" w:rsidP="00AE2E49">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rsidR="00AE2E49" w:rsidRPr="00746187" w:rsidRDefault="00AE2E49" w:rsidP="00AE2E49">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Copie</w:t>
      </w:r>
      <w:r w:rsidRPr="0015392D">
        <w:t>s, whether hard copies or electronic,</w:t>
      </w:r>
      <w:r>
        <w:t xml:space="preserve"> of discovery requests and responses shall be served on </w:t>
      </w:r>
      <w:r w:rsidRPr="0015392D">
        <w:t>all</w:t>
      </w:r>
      <w:r>
        <w:t xml:space="preserve"> parties </w:t>
      </w:r>
      <w:r w:rsidRPr="0015392D">
        <w:t xml:space="preserve">and </w:t>
      </w:r>
      <w:r>
        <w:t xml:space="preserve">Commission </w:t>
      </w:r>
      <w:r w:rsidRPr="0015392D">
        <w:t>staff</w:t>
      </w:r>
      <w:r>
        <w:t>.</w:t>
      </w:r>
      <w:r w:rsidRPr="0015392D">
        <w:t xml:space="preserve"> </w:t>
      </w:r>
      <w:r>
        <w:t xml:space="preserve">In addition, copies of all responses to requests for production of documents shall be provided to the Commission staff at its Tallahassee office unless otherwise agreed. </w:t>
      </w:r>
      <w:r w:rsidRPr="00922155">
        <w:t>The address block for Commission staff shall include the e</w:t>
      </w:r>
      <w:r>
        <w:t>-</w:t>
      </w:r>
      <w:r w:rsidRPr="00922155">
        <w:t xml:space="preserve">mail address </w:t>
      </w:r>
      <w:r w:rsidRPr="00746187">
        <w:t>discovery-gcl@psc.state.fl.us</w:t>
      </w:r>
      <w:r w:rsidRPr="00922155">
        <w:t xml:space="preserve"> in addition to the e</w:t>
      </w:r>
      <w:r>
        <w:t>-</w:t>
      </w:r>
      <w:r w:rsidRPr="00922155">
        <w:t>mail address for staff counsel.</w:t>
      </w:r>
    </w:p>
    <w:p w:rsidR="00AE2E49" w:rsidRPr="00972F91" w:rsidRDefault="00AE2E49" w:rsidP="00AE2E49">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72F91">
        <w:t>Parties shall file in the Commission Clerk’s Office a notice of service of any interrogatories or request</w:t>
      </w:r>
      <w:r>
        <w:t>s</w:t>
      </w:r>
      <w:r w:rsidRPr="00972F91">
        <w:t xml:space="preserve"> for production of documents propounded</w:t>
      </w:r>
      <w:r>
        <w:t xml:space="preserve"> and associated responses</w:t>
      </w:r>
      <w:r w:rsidRPr="00972F91">
        <w:t xml:space="preserve"> in this docket, giving the date of service and the name of the party to whom the discovery was directed.  </w:t>
      </w: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E2E49" w:rsidRDefault="00AE2E49" w:rsidP="00AE2E49">
      <w:pPr>
        <w:spacing w:line="2" w:lineRule="exact"/>
        <w:jc w:val="both"/>
      </w:pPr>
    </w:p>
    <w:p w:rsidR="00AE2E49" w:rsidRDefault="00AE2E49" w:rsidP="00AE2E49">
      <w:pPr>
        <w:pStyle w:val="Level2"/>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Interrogatories, including all subparts, shall be limited to </w:t>
      </w:r>
      <w:r w:rsidR="001357BC">
        <w:t>2</w:t>
      </w:r>
      <w:r w:rsidRPr="008E33DD">
        <w:t>00</w:t>
      </w:r>
      <w:r w:rsidRPr="00746187">
        <w:t>.</w:t>
      </w:r>
    </w:p>
    <w:p w:rsidR="00AE2E49" w:rsidRDefault="00AE2E49" w:rsidP="00AE2E49">
      <w:pPr>
        <w:pStyle w:val="Level2"/>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Requests for production of documents, including all subparts, shall be limited to </w:t>
      </w:r>
      <w:r w:rsidR="001357BC">
        <w:t>2</w:t>
      </w:r>
      <w:r w:rsidRPr="008E33DD">
        <w:t>00</w:t>
      </w:r>
      <w:r>
        <w:t>.</w:t>
      </w:r>
    </w:p>
    <w:p w:rsidR="00AE2E49" w:rsidRDefault="00AE2E49" w:rsidP="00AE2E49">
      <w:pPr>
        <w:pStyle w:val="Level2"/>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Requests for admissions, including all subparts, shall be limited to </w:t>
      </w:r>
      <w:r w:rsidR="001357BC">
        <w:t>5</w:t>
      </w:r>
      <w:r>
        <w:t>0.</w:t>
      </w:r>
    </w:p>
    <w:p w:rsidR="00AE2E49" w:rsidRDefault="00AE2E49" w:rsidP="00AE2E49">
      <w:pPr>
        <w:pStyle w:val="Leve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1D65E8" w:rsidRDefault="00AE2E49" w:rsidP="001D65E8">
      <w:pPr>
        <w:ind w:firstLine="720"/>
        <w:jc w:val="both"/>
        <w:rPr>
          <w:rFonts w:cs="Courier New"/>
        </w:rPr>
      </w:pPr>
      <w:r>
        <w:rPr>
          <w:rFonts w:cs="Courier New"/>
        </w:rPr>
        <w:lastRenderedPageBreak/>
        <w:t xml:space="preserve">When a discovery request is served </w:t>
      </w:r>
      <w:r w:rsidR="001357BC">
        <w:rPr>
          <w:rFonts w:cs="Courier New"/>
        </w:rPr>
        <w:t>and the respondent intends to seek clarification of any portion of the discovery request, the respondent shall request such clarification within 10 days of service of the discovery request.</w:t>
      </w:r>
      <w:r w:rsidR="00E5590A">
        <w:rPr>
          <w:rFonts w:cs="Courier New"/>
        </w:rPr>
        <w:t xml:space="preserve">  </w:t>
      </w:r>
      <w:r w:rsidR="001357BC">
        <w:rPr>
          <w:rFonts w:cs="Courier New"/>
        </w:rPr>
        <w:t>For discovery reques</w:t>
      </w:r>
      <w:r w:rsidR="00E5590A">
        <w:rPr>
          <w:rFonts w:cs="Courier New"/>
        </w:rPr>
        <w:t>ts</w:t>
      </w:r>
      <w:r w:rsidR="001357BC">
        <w:rPr>
          <w:rFonts w:cs="Courier New"/>
        </w:rPr>
        <w:t xml:space="preserve"> served after</w:t>
      </w:r>
      <w:r w:rsidR="00E5590A">
        <w:rPr>
          <w:rFonts w:cs="Courier New"/>
        </w:rPr>
        <w:t xml:space="preserve"> </w:t>
      </w:r>
      <w:r w:rsidR="001357BC">
        <w:rPr>
          <w:rFonts w:cs="Courier New"/>
        </w:rPr>
        <w:t xml:space="preserve">the date for rebuttal testimony, such clarification must be requested within 5 days.  This procedure is intended to reduce delay in resolving discovery disputes. </w:t>
      </w:r>
    </w:p>
    <w:p w:rsidR="001D65E8" w:rsidRDefault="001D65E8" w:rsidP="001D65E8">
      <w:pPr>
        <w:ind w:firstLine="720"/>
        <w:jc w:val="both"/>
        <w:rPr>
          <w:rFonts w:cs="Courier New"/>
        </w:rPr>
      </w:pPr>
    </w:p>
    <w:p w:rsidR="00AE2E49" w:rsidRDefault="00AE2E49" w:rsidP="001D65E8">
      <w:pPr>
        <w:ind w:firstLine="720"/>
        <w:jc w:val="both"/>
      </w:pPr>
      <w:r w:rsidRPr="00746187">
        <w:t>B.</w:t>
      </w:r>
      <w:r w:rsidRPr="00746187">
        <w:tab/>
      </w:r>
      <w:r>
        <w:rPr>
          <w:u w:val="single"/>
        </w:rPr>
        <w:t>Confidential Information Provided Pursuant to Discovery</w:t>
      </w:r>
      <w:r>
        <w:tab/>
      </w:r>
    </w:p>
    <w:p w:rsidR="00AE2E49" w:rsidRDefault="00AE2E49" w:rsidP="00AE2E49">
      <w:pPr>
        <w:pStyle w:val="Leve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Any information provided to the Commission staff pursuant to a discovery request by the staff or any other person and for which proprietary confidential business information status is requested pursuant to Section 366.093, F.S., and Rule 25-22.006, F.A.C., shall be treated by the Commission as confidential. The information shall be exempt from Section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366.093, F.S.  The Commission may determine that continued possession of the information is necessary for the Commission to conduct its business.</w:t>
      </w: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E2E49" w:rsidRPr="00AD5F83"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AD5F83">
        <w:t xml:space="preserve">Redacted versions of confidential filings may be served electronically, but in no instance may confidential information be electronically submitted. </w:t>
      </w:r>
      <w:r w:rsidRPr="007659C3">
        <w:t>If the redacted version is served electronically, the confidential information (which may be on a CD, DVD, or flash drive) shall be filed with the Commission Clerk via hand-delivery, U.S. Mail, or overnight mail on the day that the redacted version was served via e-mail.</w:t>
      </w: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w:t>
      </w:r>
      <w:r>
        <w:tab/>
      </w:r>
      <w:r>
        <w:rPr>
          <w:b/>
          <w:bCs/>
          <w:u w:val="single"/>
        </w:rPr>
        <w:t>Prehearing Procedures</w:t>
      </w: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E2E49" w:rsidRDefault="001357BC" w:rsidP="00B6611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tab/>
      </w:r>
      <w:r w:rsidR="00B66110">
        <w:t>A</w:t>
      </w:r>
      <w:r w:rsidR="00AE2E49">
        <w:t>.</w:t>
      </w:r>
      <w:r w:rsidR="00AE2E49">
        <w:tab/>
      </w:r>
      <w:r w:rsidR="00AE2E49">
        <w:rPr>
          <w:u w:val="single"/>
        </w:rPr>
        <w:t>Prehearing Statements</w:t>
      </w:r>
    </w:p>
    <w:p w:rsidR="001D65E8" w:rsidRDefault="001D65E8" w:rsidP="001D65E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E2E49" w:rsidRDefault="002030CA"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Every party </w:t>
      </w:r>
      <w:r w:rsidR="00AE2E49">
        <w:t>in this docket and the Commission staff shall file a Prehearing Statement pursuant to the schedule set forth in Section</w:t>
      </w:r>
      <w:r w:rsidR="001D65E8">
        <w:t xml:space="preserve"> </w:t>
      </w:r>
      <w:r w:rsidR="00B55D9A">
        <w:t>VIII</w:t>
      </w:r>
      <w:r w:rsidR="00AE2E49" w:rsidRPr="00746187">
        <w:t xml:space="preserve"> </w:t>
      </w:r>
      <w:r w:rsidR="00AE2E49">
        <w:t xml:space="preserve">of this Order. </w:t>
      </w:r>
      <w:r w:rsidR="00AE2E49" w:rsidRPr="0015392D">
        <w:t>Each</w:t>
      </w:r>
      <w:r w:rsidR="00AE2E49">
        <w:t xml:space="preserve"> Prehearing Statement shall </w:t>
      </w:r>
      <w:r w:rsidR="00AE2E49">
        <w:lastRenderedPageBreak/>
        <w:t xml:space="preserve">be filed with the Office of Commission Clerk </w:t>
      </w:r>
      <w:r>
        <w:t xml:space="preserve">and served on all other parties and staff </w:t>
      </w:r>
      <w:r w:rsidR="00AE2E49">
        <w:t xml:space="preserve">by 5:00 p.m. on the date due. </w:t>
      </w:r>
      <w:r>
        <w:t xml:space="preserve"> Every party shall contemporaneously provide a copy of its Prehearing Statement to all other parties and PSC staff in Microso</w:t>
      </w:r>
      <w:r w:rsidR="00E5590A">
        <w:t>ft</w:t>
      </w:r>
      <w:r>
        <w:t xml:space="preserve"> Word format.</w:t>
      </w:r>
    </w:p>
    <w:p w:rsidR="002030CA" w:rsidRDefault="002030CA"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Each party’s Prehearing Statement shall set forth the following information in the sequence listed below:</w:t>
      </w: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w:t>
      </w:r>
      <w:r>
        <w:tab/>
        <w:t>The name of all known witnesses whose testimony has been prefiled or who may be called by the party, along with subject matter of each such witness’ testimony and the corresponding issue numbers in the following format:</w:t>
      </w:r>
    </w:p>
    <w:p w:rsidR="00AE2E49" w:rsidRPr="00746187"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AE2E49" w:rsidRPr="00746187"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746187">
        <w:t>All Known Witnesses</w:t>
      </w:r>
      <w:r>
        <w:t>:</w:t>
      </w:r>
    </w:p>
    <w:p w:rsidR="00AE2E49" w:rsidRPr="00746187"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AE2E49" w:rsidTr="00A76D2B">
        <w:tc>
          <w:tcPr>
            <w:tcW w:w="3060" w:type="dxa"/>
            <w:shd w:val="clear" w:color="auto" w:fill="auto"/>
          </w:tcPr>
          <w:p w:rsidR="00AE2E49" w:rsidRPr="004306A8" w:rsidRDefault="00AE2E49" w:rsidP="00A76D2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Witness</w:t>
            </w:r>
          </w:p>
        </w:tc>
        <w:tc>
          <w:tcPr>
            <w:tcW w:w="2919" w:type="dxa"/>
            <w:shd w:val="clear" w:color="auto" w:fill="auto"/>
          </w:tcPr>
          <w:p w:rsidR="00AE2E49" w:rsidRPr="004306A8" w:rsidRDefault="00AE2E49" w:rsidP="00A76D2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Subject Matter</w:t>
            </w:r>
          </w:p>
        </w:tc>
        <w:tc>
          <w:tcPr>
            <w:tcW w:w="2571" w:type="dxa"/>
            <w:shd w:val="clear" w:color="auto" w:fill="auto"/>
          </w:tcPr>
          <w:p w:rsidR="00AE2E49" w:rsidRPr="004306A8" w:rsidRDefault="00AE2E49" w:rsidP="00A76D2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Issue</w:t>
            </w:r>
            <w:r w:rsidRPr="004306A8">
              <w:rPr>
                <w:b/>
              </w:rPr>
              <w:t xml:space="preserve"> #</w:t>
            </w:r>
          </w:p>
        </w:tc>
      </w:tr>
      <w:tr w:rsidR="00AE2E49" w:rsidTr="00A76D2B">
        <w:tc>
          <w:tcPr>
            <w:tcW w:w="3060" w:type="dxa"/>
            <w:shd w:val="clear" w:color="auto" w:fill="auto"/>
          </w:tcPr>
          <w:p w:rsidR="00AE2E49" w:rsidRPr="004306A8" w:rsidRDefault="00AE2E49" w:rsidP="00A76D2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2428E">
              <w:t xml:space="preserve">     </w:t>
            </w:r>
            <w:r>
              <w:t xml:space="preserve"> </w:t>
            </w:r>
            <w:r w:rsidRPr="00A2428E">
              <w:t xml:space="preserve"> </w:t>
            </w:r>
            <w:r w:rsidRPr="004306A8">
              <w:rPr>
                <w:b/>
              </w:rPr>
              <w:t xml:space="preserve"> Direct</w:t>
            </w:r>
          </w:p>
        </w:tc>
        <w:tc>
          <w:tcPr>
            <w:tcW w:w="2919" w:type="dxa"/>
            <w:shd w:val="clear" w:color="auto" w:fill="auto"/>
          </w:tcPr>
          <w:p w:rsidR="00AE2E49" w:rsidRPr="00746187" w:rsidRDefault="00AE2E49" w:rsidP="00A76D2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AE2E49" w:rsidRPr="00746187" w:rsidRDefault="00AE2E49" w:rsidP="00A76D2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AE2E49" w:rsidTr="00A76D2B">
        <w:tc>
          <w:tcPr>
            <w:tcW w:w="3060" w:type="dxa"/>
            <w:shd w:val="clear" w:color="auto" w:fill="auto"/>
          </w:tcPr>
          <w:p w:rsidR="00AE2E49" w:rsidRPr="00A2428E" w:rsidRDefault="00AE2E49" w:rsidP="00A76D2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John Smith</w:t>
            </w:r>
          </w:p>
        </w:tc>
        <w:tc>
          <w:tcPr>
            <w:tcW w:w="2919" w:type="dxa"/>
            <w:shd w:val="clear" w:color="auto" w:fill="auto"/>
          </w:tcPr>
          <w:p w:rsidR="00AE2E49" w:rsidRPr="00A2428E" w:rsidRDefault="00AE2E49" w:rsidP="00A76D2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 xml:space="preserve">Subject </w:t>
            </w:r>
            <w:r>
              <w:t xml:space="preserve">. . . </w:t>
            </w:r>
          </w:p>
        </w:tc>
        <w:tc>
          <w:tcPr>
            <w:tcW w:w="2571" w:type="dxa"/>
            <w:shd w:val="clear" w:color="auto" w:fill="auto"/>
          </w:tcPr>
          <w:p w:rsidR="00AE2E49" w:rsidRPr="00A2428E" w:rsidRDefault="00AE2E49" w:rsidP="00A76D2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1, 3</w:t>
            </w:r>
            <w:r>
              <w:t>–</w:t>
            </w:r>
            <w:r w:rsidRPr="00A2428E">
              <w:t>5</w:t>
            </w:r>
          </w:p>
        </w:tc>
      </w:tr>
    </w:tbl>
    <w:p w:rsidR="00AE2E49" w:rsidRPr="00746187"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(2)</w:t>
      </w:r>
      <w:r>
        <w:tab/>
        <w:t>A description of all prefiled exhibits and other exhibits that may be used by the party in presenting its direct case (including individual components of a composite exhibit) and the witness sponsoring each in the following format:</w:t>
      </w: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746187">
        <w:t>All Known Exhibits</w:t>
      </w:r>
      <w:r>
        <w:t>:</w:t>
      </w: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48"/>
        <w:gridCol w:w="1318"/>
        <w:gridCol w:w="2123"/>
        <w:gridCol w:w="1619"/>
      </w:tblGrid>
      <w:tr w:rsidR="00AE2E49" w:rsidRPr="00B95E83" w:rsidTr="00A76D2B">
        <w:tc>
          <w:tcPr>
            <w:tcW w:w="974" w:type="dxa"/>
            <w:shd w:val="clear" w:color="auto" w:fill="auto"/>
          </w:tcPr>
          <w:p w:rsidR="00AE2E49" w:rsidRPr="00B95E83" w:rsidRDefault="00AE2E49" w:rsidP="00A76D2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B95E83">
              <w:rPr>
                <w:b/>
              </w:rPr>
              <w:t>Witness</w:t>
            </w:r>
          </w:p>
        </w:tc>
        <w:tc>
          <w:tcPr>
            <w:tcW w:w="2086" w:type="dxa"/>
            <w:tcBorders>
              <w:bottom w:val="single" w:sz="4" w:space="0" w:color="auto"/>
            </w:tcBorders>
            <w:shd w:val="clear" w:color="auto" w:fill="auto"/>
          </w:tcPr>
          <w:p w:rsidR="00AE2E49" w:rsidRPr="00B95E83" w:rsidRDefault="00AE2E49" w:rsidP="00A76D2B">
            <w:pPr>
              <w:rPr>
                <w:b/>
              </w:rPr>
            </w:pPr>
            <w:r w:rsidRPr="00B95E83">
              <w:rPr>
                <w:b/>
              </w:rPr>
              <w:t>Proffered By</w:t>
            </w:r>
          </w:p>
        </w:tc>
        <w:tc>
          <w:tcPr>
            <w:tcW w:w="1505" w:type="dxa"/>
            <w:shd w:val="clear" w:color="auto" w:fill="auto"/>
          </w:tcPr>
          <w:p w:rsidR="00AE2E49" w:rsidRPr="00B95E83" w:rsidRDefault="00AE2E49" w:rsidP="00A76D2B">
            <w:pPr>
              <w:rPr>
                <w:b/>
              </w:rPr>
            </w:pPr>
            <w:r w:rsidRPr="00B95E83">
              <w:rPr>
                <w:b/>
              </w:rPr>
              <w:t>Exhibit No.</w:t>
            </w:r>
          </w:p>
        </w:tc>
        <w:tc>
          <w:tcPr>
            <w:tcW w:w="2123" w:type="dxa"/>
            <w:shd w:val="clear" w:color="auto" w:fill="auto"/>
          </w:tcPr>
          <w:p w:rsidR="00AE2E49" w:rsidRPr="00B95E83" w:rsidRDefault="00AE2E49" w:rsidP="00A76D2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B95E83">
              <w:rPr>
                <w:b/>
              </w:rPr>
              <w:t>Description</w:t>
            </w:r>
          </w:p>
        </w:tc>
        <w:tc>
          <w:tcPr>
            <w:tcW w:w="1862" w:type="dxa"/>
            <w:shd w:val="clear" w:color="auto" w:fill="auto"/>
          </w:tcPr>
          <w:p w:rsidR="00AE2E49" w:rsidRPr="00B95E83" w:rsidRDefault="00AE2E49" w:rsidP="00A76D2B">
            <w:pPr>
              <w:rPr>
                <w:b/>
              </w:rPr>
            </w:pPr>
            <w:r w:rsidRPr="00B95E83">
              <w:rPr>
                <w:b/>
              </w:rPr>
              <w:t>Issue  #</w:t>
            </w:r>
          </w:p>
        </w:tc>
      </w:tr>
      <w:tr w:rsidR="00AE2E49" w:rsidRPr="00B95E83" w:rsidTr="00A76D2B">
        <w:tc>
          <w:tcPr>
            <w:tcW w:w="974" w:type="dxa"/>
            <w:shd w:val="clear" w:color="auto" w:fill="auto"/>
          </w:tcPr>
          <w:p w:rsidR="00AE2E49" w:rsidRPr="00B95E83" w:rsidRDefault="00AE2E49" w:rsidP="00A76D2B">
            <w:pPr>
              <w:jc w:val="center"/>
              <w:rPr>
                <w:b/>
              </w:rPr>
            </w:pPr>
            <w:r w:rsidRPr="00B95E83">
              <w:rPr>
                <w:b/>
              </w:rPr>
              <w:t>Direct</w:t>
            </w:r>
          </w:p>
        </w:tc>
        <w:tc>
          <w:tcPr>
            <w:tcW w:w="2086" w:type="dxa"/>
            <w:tcBorders>
              <w:top w:val="single" w:sz="4" w:space="0" w:color="auto"/>
            </w:tcBorders>
            <w:shd w:val="clear" w:color="auto" w:fill="auto"/>
          </w:tcPr>
          <w:p w:rsidR="00AE2E49" w:rsidRPr="00B95E83" w:rsidRDefault="00AE2E49" w:rsidP="00A76D2B"/>
        </w:tc>
        <w:tc>
          <w:tcPr>
            <w:tcW w:w="1505" w:type="dxa"/>
            <w:shd w:val="clear" w:color="auto" w:fill="auto"/>
          </w:tcPr>
          <w:p w:rsidR="00AE2E49" w:rsidRPr="00B95E83" w:rsidRDefault="00AE2E49" w:rsidP="00A76D2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shd w:val="clear" w:color="auto" w:fill="auto"/>
          </w:tcPr>
          <w:p w:rsidR="00AE2E49" w:rsidRPr="00B95E83" w:rsidRDefault="00AE2E49" w:rsidP="00A76D2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862" w:type="dxa"/>
            <w:shd w:val="clear" w:color="auto" w:fill="auto"/>
          </w:tcPr>
          <w:p w:rsidR="00AE2E49" w:rsidRPr="00B95E83" w:rsidRDefault="00AE2E49" w:rsidP="00A76D2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AE2E49" w:rsidRPr="00B95E83" w:rsidTr="00A76D2B">
        <w:tc>
          <w:tcPr>
            <w:tcW w:w="974" w:type="dxa"/>
            <w:shd w:val="clear" w:color="auto" w:fill="auto"/>
          </w:tcPr>
          <w:p w:rsidR="00AE2E49" w:rsidRPr="00B95E83" w:rsidRDefault="00AE2E49" w:rsidP="00A76D2B">
            <w:r w:rsidRPr="00B95E83">
              <w:t>John Smith</w:t>
            </w:r>
          </w:p>
        </w:tc>
        <w:tc>
          <w:tcPr>
            <w:tcW w:w="2086" w:type="dxa"/>
            <w:shd w:val="clear" w:color="auto" w:fill="auto"/>
          </w:tcPr>
          <w:p w:rsidR="00AE2E49" w:rsidRPr="00B95E83" w:rsidRDefault="00AE2E49" w:rsidP="00A76D2B">
            <w:r w:rsidRPr="00B95E83">
              <w:t>Party/Utility Name</w:t>
            </w:r>
          </w:p>
        </w:tc>
        <w:tc>
          <w:tcPr>
            <w:tcW w:w="1505" w:type="dxa"/>
            <w:shd w:val="clear" w:color="auto" w:fill="auto"/>
          </w:tcPr>
          <w:p w:rsidR="00AE2E49" w:rsidRPr="00B95E83" w:rsidRDefault="00AE2E49" w:rsidP="00A76D2B">
            <w:r w:rsidRPr="00B95E83">
              <w:t>ABC-1</w:t>
            </w:r>
          </w:p>
        </w:tc>
        <w:tc>
          <w:tcPr>
            <w:tcW w:w="2123" w:type="dxa"/>
            <w:shd w:val="clear" w:color="auto" w:fill="auto"/>
          </w:tcPr>
          <w:p w:rsidR="00AE2E49" w:rsidRPr="00B95E83" w:rsidRDefault="00AE2E49" w:rsidP="00A76D2B">
            <w:r w:rsidRPr="00B95E83">
              <w:t>Title ......</w:t>
            </w:r>
          </w:p>
        </w:tc>
        <w:tc>
          <w:tcPr>
            <w:tcW w:w="1862" w:type="dxa"/>
            <w:shd w:val="clear" w:color="auto" w:fill="auto"/>
          </w:tcPr>
          <w:p w:rsidR="00AE2E49" w:rsidRPr="00B95E83" w:rsidRDefault="00AE2E49" w:rsidP="00A76D2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B95E83">
              <w:t>1, 3</w:t>
            </w:r>
            <w:r>
              <w:t>–</w:t>
            </w:r>
            <w:r w:rsidRPr="00B95E83">
              <w:t>5</w:t>
            </w:r>
          </w:p>
        </w:tc>
      </w:tr>
    </w:tbl>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t>(3)</w:t>
      </w:r>
      <w:r>
        <w:tab/>
        <w:t>A statement of the party’s basic position in the proceeding;</w:t>
      </w: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(4)</w:t>
      </w:r>
      <w:r>
        <w:tab/>
        <w:t xml:space="preserve">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on any particular issue or issues should refer to the requirements of </w:t>
      </w:r>
      <w:r w:rsidRPr="00B228F8">
        <w:t xml:space="preserve">Subsection </w:t>
      </w:r>
      <w:r>
        <w:t>C, below;</w:t>
      </w: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(5)</w:t>
      </w:r>
      <w:r>
        <w:tab/>
        <w:t>A statement of issues to which the parties have stipulated;</w:t>
      </w: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(6)</w:t>
      </w:r>
      <w:r>
        <w:tab/>
        <w:t>A statement of all pending motions or other matters the party seeks action upon;</w:t>
      </w: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(7)</w:t>
      </w:r>
      <w:r>
        <w:tab/>
        <w:t>A statement identifying the party’s pending requests or claims for confidentiality;</w:t>
      </w: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lastRenderedPageBreak/>
        <w:t>(8)</w:t>
      </w:r>
      <w:r>
        <w:tab/>
        <w:t>Any objections to a witness’ qualifications as an expert. The objection shall identify each witness the party wishes to voir dire as well as state with specificity the portions of that witness’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rsidR="00AE2E49" w:rsidRDefault="00AE2E49" w:rsidP="00AE2E49">
      <w:pPr>
        <w:spacing w:line="2" w:lineRule="exact"/>
        <w:jc w:val="both"/>
      </w:pP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(9)</w:t>
      </w:r>
      <w:r>
        <w:tab/>
        <w:t xml:space="preserve">A request for sequestration of witnesses, </w:t>
      </w:r>
      <w:r w:rsidRPr="003D49E3">
        <w:t xml:space="preserve">so any such request may be resolved by the </w:t>
      </w:r>
      <w:r>
        <w:t>P</w:t>
      </w:r>
      <w:r w:rsidRPr="003D49E3">
        <w:t xml:space="preserve">rehearing </w:t>
      </w:r>
      <w:r>
        <w:t>O</w:t>
      </w:r>
      <w:r w:rsidRPr="003D49E3">
        <w:t>fficer prior to the hearing</w:t>
      </w:r>
      <w:r>
        <w:t>. Failure to make such a request shall constitute a waiver of the right to request sequestration of witnesses absent a showing of good cause; and</w:t>
      </w: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(10)</w:t>
      </w:r>
      <w:r>
        <w:tab/>
        <w:t>A statement as to any requirement set forth in this Order that cannot be complied with, and the reasons therefore.</w:t>
      </w: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E2E49" w:rsidRPr="00746187"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F</w:t>
      </w:r>
      <w:r w:rsidRPr="00746187">
        <w:t>ailure of a party to timely file a Prehearing Statement shall be a waiver of any issue not raised by other parties or by the Commission. In addition, such failure shall preclude the party from presenting testimony in support of its position on each such issue.</w:t>
      </w:r>
    </w:p>
    <w:p w:rsidR="00AE2E49" w:rsidRPr="00746187" w:rsidRDefault="00AE2E49" w:rsidP="00AE2E49">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AE2E49" w:rsidRPr="00746187"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746187">
        <w:tab/>
      </w:r>
      <w:r w:rsidR="00B66110">
        <w:t>B</w:t>
      </w:r>
      <w:r w:rsidRPr="00746187">
        <w:t>.</w:t>
      </w:r>
      <w:r w:rsidRPr="00746187">
        <w:tab/>
      </w:r>
      <w:r w:rsidRPr="00746187">
        <w:rPr>
          <w:u w:val="single"/>
        </w:rPr>
        <w:t>Attendance at Prehearing Conference</w:t>
      </w:r>
    </w:p>
    <w:p w:rsidR="00AE2E49" w:rsidRPr="00746187"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46187">
        <w:tab/>
        <w:t xml:space="preserve">Pursuant to Rule 28-106.209, F.A.C., a Prehearing Conference will be held </w:t>
      </w:r>
      <w:r w:rsidR="002030CA">
        <w:t>May 19</w:t>
      </w:r>
      <w:r w:rsidRPr="00746187">
        <w:t>, 2025, at the Betty Easley Conference Center, 4075 Esplanade Way, Tallahassee, Florida, following the Internal Affairs meeting. Unless excused by the Prehearing Officer for good cause shown, each party (or designated representative) shall personally appear at the Prehearing</w:t>
      </w:r>
      <w:r>
        <w:t xml:space="preserve"> Conference. Failure of a party (or that party’s representative) to appear shall constitute waiver of that party’s issues and positions, and that party may be dismissed from the proceeding.</w:t>
      </w: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B66110">
        <w:t>C</w:t>
      </w:r>
      <w:r>
        <w:t>.</w:t>
      </w:r>
      <w:r>
        <w:tab/>
      </w:r>
      <w:r>
        <w:rPr>
          <w:u w:val="single"/>
        </w:rPr>
        <w:t>Waiver of Issues</w:t>
      </w: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E2E49" w:rsidRDefault="00AE2E49" w:rsidP="00AE2E49">
      <w:pPr>
        <w:spacing w:line="2" w:lineRule="exact"/>
        <w:jc w:val="both"/>
      </w:pPr>
    </w:p>
    <w:p w:rsidR="00AE2E49" w:rsidRDefault="00AE2E49" w:rsidP="00AE2E49">
      <w:pPr>
        <w:pStyle w:val="Level2"/>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the party was unable to identify the issue because of the complexity of the matter;</w:t>
      </w:r>
    </w:p>
    <w:p w:rsidR="00AE2E49" w:rsidRDefault="00AE2E49" w:rsidP="00AE2E49">
      <w:pPr>
        <w:pStyle w:val="Level2"/>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discovery or other prehearing procedures were not adequate to fully develop the issue;</w:t>
      </w:r>
    </w:p>
    <w:p w:rsidR="00AE2E49" w:rsidRDefault="00AE2E49" w:rsidP="00AE2E49">
      <w:pPr>
        <w:pStyle w:val="Level2"/>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Whether due diligence was exercised to obtain facts touching on the issue; </w:t>
      </w:r>
    </w:p>
    <w:p w:rsidR="00AE2E49" w:rsidRDefault="00AE2E49" w:rsidP="00AE2E49">
      <w:pPr>
        <w:pStyle w:val="Level2"/>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information obtained subsequent to the Prehearing Conference was not previously available to enable the party to identify the issue; and</w:t>
      </w:r>
    </w:p>
    <w:p w:rsidR="00AE2E49" w:rsidRDefault="00AE2E49" w:rsidP="00AE2E49">
      <w:pPr>
        <w:pStyle w:val="Level2"/>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introduction of the issue would not be to the prejudice or surprise of any party.</w:t>
      </w:r>
    </w:p>
    <w:p w:rsidR="00084623" w:rsidRDefault="00084623" w:rsidP="00084623">
      <w:pPr>
        <w:pStyle w:val="Leve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Specific reference shall be made to the information received and how it enabled the party to identify the issue.</w:t>
      </w: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A party who takes no position on an issue by the time of the Prehearing Conference, or by such later time as may be permitted by the Prehearing Officer, waives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B66110">
        <w:t>D</w:t>
      </w:r>
      <w:r>
        <w:t>.</w:t>
      </w:r>
      <w:r>
        <w:tab/>
      </w:r>
      <w:r>
        <w:rPr>
          <w:u w:val="single"/>
        </w:rPr>
        <w:t>Motions to Strike Prefiled Testimony and Exhibits</w:t>
      </w:r>
    </w:p>
    <w:p w:rsidR="00AE2E49" w:rsidRDefault="00AE2E49" w:rsidP="00AE2E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E2E49" w:rsidRDefault="00AE2E49" w:rsidP="00AE2E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Motions to strike any portion of the prefiled testimony and related portions of exhibits of any witness shall be made in writing no later than seven days prior to the Prehearing Conference, and identify with specificity the page and line numbers of the information to be stricken. Motions to strike any portion of prefiled testimony and related portions of exhibits made for the first time at hearing shall be considered untimely, absent good cause shown.</w:t>
      </w:r>
    </w:p>
    <w:p w:rsidR="00AE2E49" w:rsidRDefault="00AE2E49" w:rsidP="00AE2E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E2E49" w:rsidRDefault="00AE2E49" w:rsidP="00AE2E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B66110">
        <w:t>E</w:t>
      </w:r>
      <w:r>
        <w:t>.</w:t>
      </w:r>
      <w:r>
        <w:tab/>
      </w:r>
      <w:r>
        <w:rPr>
          <w:u w:val="single"/>
        </w:rPr>
        <w:t>Demonstrative Exhibits</w:t>
      </w:r>
    </w:p>
    <w:p w:rsidR="00AE2E49" w:rsidRDefault="00AE2E49" w:rsidP="00AE2E4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E2E49" w:rsidRDefault="00AE2E49" w:rsidP="00AE2E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a party wishes to use a demonstrative exhibit or other demonstrative tools at hearing, such materials must be identified by the time of the Prehearing Conference.</w:t>
      </w:r>
    </w:p>
    <w:p w:rsidR="00AE2E49" w:rsidRDefault="00AE2E49" w:rsidP="00AE2E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E2E49" w:rsidRPr="00CD76B9" w:rsidRDefault="00AE2E49" w:rsidP="00AE2E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B66110">
        <w:t>F</w:t>
      </w:r>
      <w:r w:rsidRPr="00CD76B9">
        <w:t>.</w:t>
      </w:r>
      <w:r w:rsidRPr="00CD76B9">
        <w:tab/>
      </w:r>
      <w:r w:rsidRPr="00CD76B9">
        <w:rPr>
          <w:u w:val="single"/>
        </w:rPr>
        <w:t>Provision of Exhibits</w:t>
      </w:r>
    </w:p>
    <w:p w:rsidR="00AE2E49" w:rsidRPr="00CD76B9" w:rsidRDefault="00AE2E49" w:rsidP="00AE2E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51146" w:rsidRDefault="00AE2E49" w:rsidP="00AE2E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D76B9">
        <w:tab/>
        <w:t xml:space="preserve">By </w:t>
      </w:r>
      <w:r w:rsidR="00851146">
        <w:t>May 2</w:t>
      </w:r>
      <w:r w:rsidR="00084623">
        <w:t>2</w:t>
      </w:r>
      <w:r w:rsidRPr="00D01912">
        <w:t>, 2025</w:t>
      </w:r>
      <w:r>
        <w:t xml:space="preserve">, </w:t>
      </w:r>
      <w:r w:rsidRPr="009F2981">
        <w:t>each party must provide an electronic copy of all exhibits that the party plans to offer into evidence or use for demonstrative purposes during the hearing, except for exhibits that have already been prefiled with witness testimony in the docket file</w:t>
      </w:r>
      <w:r w:rsidR="00851146">
        <w:t xml:space="preserve">, along with a list of these exhibits, to the Commission Office of General Counsel on either USB flash drives or CDs, or emailed to </w:t>
      </w:r>
      <w:hyperlink r:id="rId9" w:history="1">
        <w:r w:rsidR="00851146" w:rsidRPr="00815EB9">
          <w:rPr>
            <w:rStyle w:val="Hyperlink"/>
          </w:rPr>
          <w:t>discovery-gcl@psc.state.fl.us</w:t>
        </w:r>
      </w:hyperlink>
      <w:r w:rsidR="00851146">
        <w:t>.  A copy of all exhibits and the accompanying list shall also be served electronically or by regular mail, overnight mail, or hand delivery to all other parties no later than the date provided to the Commis</w:t>
      </w:r>
      <w:r w:rsidR="00E5590A">
        <w:t>s</w:t>
      </w:r>
      <w:r w:rsidR="00851146">
        <w:t>ion’s Office of the General Counsel.  Absent a showing of good cause, the failure of a p</w:t>
      </w:r>
      <w:r w:rsidR="00E5590A">
        <w:t>a</w:t>
      </w:r>
      <w:r w:rsidR="00851146">
        <w:t>rty to timely provide exhibits in compliance with this order may bar admission of such exhibits.</w:t>
      </w:r>
      <w:r w:rsidRPr="009F2981">
        <w:t xml:space="preserve"> </w:t>
      </w:r>
    </w:p>
    <w:p w:rsidR="00851146" w:rsidRDefault="00851146" w:rsidP="00AE2E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E2E49" w:rsidRDefault="00AE2E49" w:rsidP="00AE2E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D76B9">
        <w:lastRenderedPageBreak/>
        <w:tab/>
      </w:r>
      <w:r w:rsidRPr="005E3C88">
        <w:t>Each exhibit must be saved as a distinct and separate electronic file; multiple exhibits combined in a single electronic file are not acceptable. Parties are not required to create a separate Adobe PDF file or exhibit for each Interrogatory response. Several responses and attachments can be combined into one Adobe PDF document and submitted as one composite exhibit. If a party submits an attachment separately, the attachment must be numbered as a separate exhibit.</w:t>
      </w:r>
    </w:p>
    <w:p w:rsidR="00AE2E49" w:rsidRDefault="00AE2E49" w:rsidP="00AE2E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E2E49" w:rsidRPr="00CD76B9" w:rsidRDefault="00AE2E49" w:rsidP="00AE2E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D76B9">
        <w:t>No cover pages are required; however, as with all exhibits, a top margin of not less than one inch is required for stamping purposes. Each exhibit shall be</w:t>
      </w:r>
      <w:r>
        <w:t xml:space="preserve"> named with the party’s acronym/initial</w:t>
      </w:r>
      <w:r w:rsidR="00E5590A">
        <w:t xml:space="preserve">s </w:t>
      </w:r>
      <w:r w:rsidRPr="00CD76B9">
        <w:t>and sequential numbering as follows:</w:t>
      </w:r>
    </w:p>
    <w:p w:rsidR="00AE2E49" w:rsidRPr="00CD76B9" w:rsidRDefault="00AE2E49" w:rsidP="00AE2E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E2E49" w:rsidRPr="00CD76B9" w:rsidRDefault="00AE2E49" w:rsidP="00AE2E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D76B9">
        <w:tab/>
      </w:r>
      <w:r w:rsidRPr="00CD76B9">
        <w:tab/>
        <w:t>FPL-1 – short document title, FPL-2 – short document title, etc.</w:t>
      </w:r>
    </w:p>
    <w:p w:rsidR="00AE2E49" w:rsidRPr="00CD76B9" w:rsidRDefault="00AE2E49" w:rsidP="00AE2E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D76B9">
        <w:tab/>
      </w:r>
      <w:r w:rsidRPr="00CD76B9">
        <w:tab/>
        <w:t>OPC-1 – short document title, OPC-2 – short document title, etc.</w:t>
      </w:r>
    </w:p>
    <w:p w:rsidR="00AE2E49" w:rsidRPr="00CD76B9" w:rsidRDefault="00AE2E49" w:rsidP="00AE2E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E2E49" w:rsidRPr="00CD76B9" w:rsidRDefault="00AE2E49" w:rsidP="00AE2E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D76B9">
        <w:tab/>
        <w:t xml:space="preserve">Parties may use exhibits in their native Excel format for demonstrative purposes; however, any exhibits created in Excel that a party seeks to admit into the record must be converted to Adobe </w:t>
      </w:r>
      <w:r>
        <w:t>PDF</w:t>
      </w:r>
      <w:r w:rsidRPr="00CD76B9">
        <w:t xml:space="preserve"> and provided to the Commission as a separate electronic file. Any attachment to a discovery response that a party wishes to offer as an exhibit must be provided as a separate electronic file to be marked as a separate exhibit. Cumulative or irrelevant attachments are not appropriate exhibits.</w:t>
      </w:r>
    </w:p>
    <w:p w:rsidR="00AE2E49" w:rsidRPr="00351256" w:rsidRDefault="00AE2E49" w:rsidP="00AE2E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highlight w:val="cyan"/>
        </w:rPr>
      </w:pPr>
    </w:p>
    <w:p w:rsidR="00AE2E49" w:rsidRDefault="00AE2E49" w:rsidP="00AE2E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D76B9">
        <w:tab/>
        <w:t xml:space="preserve">Confidential information will be handled as described below in </w:t>
      </w:r>
      <w:r w:rsidRPr="00AB5ACD">
        <w:t>Section</w:t>
      </w:r>
      <w:r w:rsidR="00E5590A">
        <w:t xml:space="preserve"> V</w:t>
      </w:r>
      <w:r w:rsidR="00B66110">
        <w:t>I</w:t>
      </w:r>
      <w:r w:rsidR="00E5590A">
        <w:t>.C</w:t>
      </w:r>
      <w:r w:rsidRPr="00CD76B9">
        <w:t>.</w:t>
      </w:r>
      <w:r w:rsidR="00E5590A">
        <w:t xml:space="preserve"> </w:t>
      </w:r>
      <w:r w:rsidRPr="00CD76B9">
        <w:t xml:space="preserve"> However, parties must also provide an electronic, redacted, non-confidential version of each confidential exhibit they intend to use at the hearing.</w:t>
      </w:r>
    </w:p>
    <w:p w:rsidR="00AE2E49" w:rsidRDefault="00AE2E49" w:rsidP="00AE2E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E2E49" w:rsidRPr="00CD76B9" w:rsidRDefault="00AE2E49" w:rsidP="00AE2E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790ACE">
        <w:t>The parties are encouraged to stipulate to the introduction of as many exhibits as possible to minimize the time spent at the final hearing laying a foundation for exhibits. Issues of authenticity of documents must be resolved between the parties to the greatest extent practicable before the hearing.</w:t>
      </w:r>
    </w:p>
    <w:p w:rsidR="00AE2E49" w:rsidRDefault="00AE2E49" w:rsidP="00AE2E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r>
      <w:r w:rsidR="00B66110">
        <w:t>G</w:t>
      </w:r>
      <w:r>
        <w:t>.</w:t>
      </w:r>
      <w:r>
        <w:tab/>
      </w:r>
      <w:r>
        <w:rPr>
          <w:u w:val="single"/>
        </w:rPr>
        <w:t>Official Recognition</w:t>
      </w: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E2E49" w:rsidRPr="00790ACE" w:rsidRDefault="00AE2E49" w:rsidP="00AE2E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790ACE">
        <w:t>Official recognition is hereby taken of decisional, constitutional, and public statutory law and resolutions of the Florida Legislature; special, local, and private acts and resolutions of the Florida Legislature; rules promulgated by Florida governmental agencies which are published in the Florida Administrative Code; final</w:t>
      </w:r>
      <w:r>
        <w:t xml:space="preserve"> orders, including recommended </w:t>
      </w:r>
      <w:r w:rsidRPr="00790ACE">
        <w:t>and proposed agency action (PAA) orders ruled upon therein, issued by Florida governmental entities; judgments and records of Florida courts; and duly enacted ordinances and resolutions of Florida municipalities and counties, without the necessity of a motion requesting the Commission to take official recognition.</w:t>
      </w:r>
    </w:p>
    <w:p w:rsidR="00AE2E49" w:rsidRPr="00790ACE" w:rsidRDefault="00AE2E49" w:rsidP="00AE2E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E2E49" w:rsidRDefault="00AE2E49" w:rsidP="00AE2E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90ACE">
        <w:tab/>
        <w:t>Parties seeking official recognition of any other</w:t>
      </w:r>
      <w:r>
        <w:t xml:space="preserve"> materials pursuant to Section 120.569(2)(i), F.S., shall notify all other parties and Commission staff in writing no later than </w:t>
      </w:r>
      <w:r w:rsidR="00B55D9A">
        <w:t>7 days</w:t>
      </w:r>
      <w:r>
        <w:t xml:space="preserve"> prior to the first scheduled hearing date. Such notification shall identify all materials for </w:t>
      </w:r>
      <w:r>
        <w:lastRenderedPageBreak/>
        <w:t>which the party seeks official recognition, and such materials shall be provided along with the notification.</w:t>
      </w:r>
    </w:p>
    <w:p w:rsidR="00EF7391" w:rsidRDefault="00AE2E49" w:rsidP="00AE2E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AE2E49" w:rsidRPr="00205CA9" w:rsidRDefault="00B66110" w:rsidP="00AE2E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H</w:t>
      </w:r>
      <w:r w:rsidR="00AE2E49" w:rsidRPr="00364D32">
        <w:t>.</w:t>
      </w:r>
      <w:r w:rsidR="00AE2E49" w:rsidRPr="00364D32">
        <w:tab/>
      </w:r>
      <w:r w:rsidR="00AE2E49" w:rsidRPr="00364D32">
        <w:rPr>
          <w:u w:val="single"/>
        </w:rPr>
        <w:t>Use of Depositions at Hearing</w:t>
      </w: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E2E49" w:rsidRDefault="00AE2E49" w:rsidP="00AE2E49">
      <w:pPr>
        <w:jc w:val="both"/>
      </w:pPr>
      <w:r>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 </w:t>
      </w:r>
      <w:r w:rsidR="00B55D9A">
        <w:t>VIII</w:t>
      </w:r>
      <w:r>
        <w:t xml:space="preserve"> of this Order. The Notice shall include the following information for each deposition:</w:t>
      </w:r>
    </w:p>
    <w:p w:rsidR="00AE2E49" w:rsidRDefault="00AE2E49" w:rsidP="00AE2E49">
      <w:pPr>
        <w:pStyle w:val="Level1"/>
        <w:ind w:left="1080"/>
        <w:jc w:val="both"/>
      </w:pPr>
    </w:p>
    <w:p w:rsidR="00AE2E49" w:rsidRDefault="00AE2E49" w:rsidP="00AE2E49">
      <w:pPr>
        <w:pStyle w:val="Level1"/>
        <w:numPr>
          <w:ilvl w:val="0"/>
          <w:numId w:val="6"/>
        </w:numPr>
        <w:autoSpaceDE/>
        <w:autoSpaceDN/>
        <w:adjustRightInd/>
        <w:contextualSpacing/>
        <w:jc w:val="both"/>
      </w:pPr>
      <w:r>
        <w:t>Name of witness deposed;</w:t>
      </w:r>
    </w:p>
    <w:p w:rsidR="00AE2E49" w:rsidRDefault="00AE2E49" w:rsidP="00AE2E49">
      <w:pPr>
        <w:pStyle w:val="Level1"/>
        <w:numPr>
          <w:ilvl w:val="0"/>
          <w:numId w:val="6"/>
        </w:numPr>
        <w:autoSpaceDE/>
        <w:autoSpaceDN/>
        <w:adjustRightInd/>
        <w:contextualSpacing/>
        <w:jc w:val="both"/>
      </w:pPr>
      <w:r>
        <w:t>Date deposition was taken; and</w:t>
      </w:r>
    </w:p>
    <w:p w:rsidR="00AE2E49" w:rsidRDefault="00AE2E49" w:rsidP="00AE2E49">
      <w:pPr>
        <w:pStyle w:val="Level1"/>
        <w:numPr>
          <w:ilvl w:val="0"/>
          <w:numId w:val="6"/>
        </w:numPr>
        <w:autoSpaceDE/>
        <w:autoSpaceDN/>
        <w:adjustRightInd/>
        <w:contextualSpacing/>
        <w:jc w:val="both"/>
      </w:pPr>
      <w:r>
        <w:t xml:space="preserve">Page and line numbers of each deposition the party seeks to introduce, </w:t>
      </w:r>
      <w:r w:rsidRPr="00CA0745">
        <w:t>when available.</w:t>
      </w:r>
    </w:p>
    <w:p w:rsidR="00AE2E49" w:rsidRDefault="00AE2E49" w:rsidP="00AE2E49"/>
    <w:p w:rsidR="00AE2E49" w:rsidRDefault="00AE2E49" w:rsidP="00AE2E49">
      <w:pPr>
        <w:ind w:firstLine="720"/>
        <w:jc w:val="both"/>
      </w:pPr>
      <w:r>
        <w:t>Objection(s) to the entry into the record of a deposition or portion thereof at hearing for purposes other than impeachment must be made in writing within three days of filing a Notice of Intent to use Deposition for resolution by the Prehearing Officer.</w:t>
      </w:r>
    </w:p>
    <w:p w:rsidR="00AE2E49" w:rsidRPr="00F818EA" w:rsidRDefault="00AE2E49" w:rsidP="00AE2E49">
      <w:pPr>
        <w:jc w:val="both"/>
      </w:pPr>
    </w:p>
    <w:p w:rsidR="00AE2E49" w:rsidRDefault="00AE2E49" w:rsidP="00AE2E49">
      <w:pPr>
        <w:ind w:firstLine="720"/>
        <w:jc w:val="both"/>
      </w:pPr>
      <w:r w:rsidRPr="00790ACE">
        <w:rPr>
          <w:rFonts w:ascii="TimesNewRomanPSMT" w:hAnsi="TimesNewRomanPSMT" w:cs="TimesNewRomanPSMT"/>
        </w:rPr>
        <w:t>Parties do not need to exchange deposition transcripts that will</w:t>
      </w:r>
      <w:r>
        <w:rPr>
          <w:rFonts w:ascii="TimesNewRomanPSMT" w:hAnsi="TimesNewRomanPSMT" w:cs="TimesNewRomanPSMT"/>
        </w:rPr>
        <w:t xml:space="preserve"> </w:t>
      </w:r>
      <w:r w:rsidR="00B55D9A">
        <w:rPr>
          <w:rFonts w:ascii="TimesNewRomanPSMT" w:hAnsi="TimesNewRomanPSMT" w:cs="TimesNewRomanPSMT"/>
        </w:rPr>
        <w:t xml:space="preserve">only </w:t>
      </w:r>
      <w:r w:rsidRPr="00790ACE">
        <w:rPr>
          <w:rFonts w:ascii="TimesNewRomanPSMT" w:hAnsi="TimesNewRomanPSMT" w:cs="TimesNewRomanPSMT"/>
        </w:rPr>
        <w:t xml:space="preserve">be </w:t>
      </w:r>
      <w:r w:rsidRPr="001E7E38">
        <w:rPr>
          <w:rFonts w:ascii="TimesNewRomanPS-ItalicMT" w:hAnsi="TimesNewRomanPS-ItalicMT" w:cs="TimesNewRomanPS-ItalicMT"/>
          <w:iCs/>
        </w:rPr>
        <w:t>used for impeachment purposes</w:t>
      </w:r>
      <w:r w:rsidR="00007042">
        <w:rPr>
          <w:rFonts w:ascii="TimesNewRomanPS-ItalicMT" w:hAnsi="TimesNewRomanPS-ItalicMT" w:cs="TimesNewRomanPS-ItalicMT"/>
          <w:iCs/>
        </w:rPr>
        <w:t>.</w:t>
      </w: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highlight w:val="yellow"/>
        </w:rPr>
      </w:pP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w:t>
      </w:r>
      <w:r>
        <w:rPr>
          <w:b/>
          <w:bCs/>
        </w:rPr>
        <w:tab/>
      </w:r>
      <w:r>
        <w:rPr>
          <w:b/>
          <w:bCs/>
          <w:u w:val="single"/>
        </w:rPr>
        <w:t>Hearing Procedures</w:t>
      </w: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Attendance at Hearing</w:t>
      </w: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Likewise, all witnesses are expected to be present at the hearing unless excused by the Presiding Officer upon the Commission staff attorney’s confirmation prior to the hearing date of the following: </w:t>
      </w: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E2E49" w:rsidRDefault="00AE2E49" w:rsidP="00AE2E49">
      <w:pPr>
        <w:spacing w:line="2" w:lineRule="exact"/>
        <w:jc w:val="both"/>
      </w:pPr>
    </w:p>
    <w:p w:rsidR="00AE2E49" w:rsidRDefault="00AE2E49" w:rsidP="00AE2E49">
      <w:pPr>
        <w:pStyle w:val="Level2"/>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parties agree that the witness will not be needed for cross examination; and</w:t>
      </w:r>
    </w:p>
    <w:p w:rsidR="00AE2E49" w:rsidRDefault="00AE2E49" w:rsidP="00AE2E49">
      <w:pPr>
        <w:pStyle w:val="Level2"/>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Commissioners assigned to the panel do not have questions for the witness.</w:t>
      </w: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E2E49" w:rsidRDefault="00AE2E49" w:rsidP="00AE2E49">
      <w:pPr>
        <w:pStyle w:val="OrderBody"/>
      </w:pPr>
      <w:r>
        <w:tab/>
        <w:t>In the event a witness is excused in this manner, his or her testimony may be entered into the record as though read following the Commission’s approval of the proposed stipulation of that witness’ testimony.</w:t>
      </w:r>
    </w:p>
    <w:p w:rsidR="00AE2E49" w:rsidRDefault="00AE2E49" w:rsidP="00AE2E49">
      <w:pPr>
        <w:pStyle w:val="OrderBody"/>
      </w:pPr>
    </w:p>
    <w:p w:rsidR="00084623"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AE2E49" w:rsidRDefault="00084623" w:rsidP="00084623">
      <w:r>
        <w:br w:type="page"/>
      </w:r>
      <w:r w:rsidR="00AE2E49">
        <w:lastRenderedPageBreak/>
        <w:t>B.</w:t>
      </w:r>
      <w:r w:rsidR="00AE2E49">
        <w:tab/>
      </w:r>
      <w:r w:rsidR="00AE2E49">
        <w:rPr>
          <w:u w:val="single"/>
        </w:rPr>
        <w:t>Cross-Examination</w:t>
      </w: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327CC7">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 direct testimony is adverse to its interests. Parties may use the exhibits identified by Commission staff on the Comprehensive Exhibit List for cross-examination purposes without listing them on the party’s exhibit list or exchanging the exhibit with the other parties.</w:t>
      </w: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E2E49" w:rsidRPr="00F818EA" w:rsidRDefault="00AE2E49" w:rsidP="00AE2E49">
      <w:pPr>
        <w:ind w:firstLine="720"/>
        <w:jc w:val="both"/>
        <w:rPr>
          <w:sz w:val="22"/>
        </w:rPr>
      </w:pPr>
      <w:r>
        <w:t xml:space="preserve">Each party shall be required to provide by </w:t>
      </w:r>
      <w:r w:rsidR="005F34A2">
        <w:t>May 2</w:t>
      </w:r>
      <w:r w:rsidR="00B55D9A">
        <w:t>2</w:t>
      </w:r>
      <w:r>
        <w:t xml:space="preserve">, 2025, all exhibits (whether for substantive, corroborative, impeachment, or rebuttal purposes) </w:t>
      </w:r>
      <w:r w:rsidRPr="00C620BA">
        <w:t>reasonably expected or intended to be offered at the hearing.</w:t>
      </w:r>
    </w:p>
    <w:p w:rsidR="00AE2E49" w:rsidRPr="00C620BA"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Use of Confidential Information at Hearing</w:t>
      </w: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It is the policy of the Commission that all Commission hearings be open to the public at all times. The Commission also recognizes its obligation pursuant to Section 366.093, F.S., to protect proprietary confidential business information from disclosure outside the proceeding.  Therefore, any party wishing to use at the hearing any proprietary confidential business information, as that term is defined in Section 366.093(3), F.S., shall adhere to the following:</w:t>
      </w: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E2E49" w:rsidRDefault="00AE2E49" w:rsidP="00AE2E49">
      <w:pPr>
        <w:spacing w:line="2" w:lineRule="exact"/>
        <w:jc w:val="both"/>
      </w:pPr>
    </w:p>
    <w:p w:rsidR="00AE2E49" w:rsidRDefault="00AE2E49" w:rsidP="00AE2E49">
      <w:pPr>
        <w:pStyle w:val="Level2"/>
        <w:numPr>
          <w:ilvl w:val="1"/>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E2E49" w:rsidRDefault="00AE2E49" w:rsidP="00AE2E49">
      <w:pPr>
        <w:pStyle w:val="Level2"/>
        <w:numPr>
          <w:ilvl w:val="1"/>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t>
      </w:r>
      <w:r>
        <w:lastRenderedPageBreak/>
        <w:t>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084623" w:rsidRDefault="00084623" w:rsidP="00084623">
      <w:pPr>
        <w:rPr>
          <w:b/>
          <w:bCs/>
        </w:rPr>
      </w:pPr>
    </w:p>
    <w:p w:rsidR="00AE2E49" w:rsidRDefault="00B66110" w:rsidP="00084623">
      <w:r>
        <w:rPr>
          <w:b/>
          <w:bCs/>
        </w:rPr>
        <w:t>VII</w:t>
      </w:r>
      <w:r w:rsidR="00AE2E49">
        <w:rPr>
          <w:b/>
          <w:bCs/>
        </w:rPr>
        <w:t>.</w:t>
      </w:r>
      <w:r w:rsidR="00AE2E49">
        <w:rPr>
          <w:b/>
          <w:bCs/>
        </w:rPr>
        <w:tab/>
      </w:r>
      <w:r w:rsidR="00AE2E49">
        <w:rPr>
          <w:b/>
          <w:bCs/>
          <w:u w:val="single"/>
        </w:rPr>
        <w:t>Post-Hearing Procedures</w:t>
      </w: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If the Commission (or assigned panel) does not render a bench decision at the hearing, it may allow each party to file a post-hearing statement of issues and positions pursuant to the schedule set forth in Section </w:t>
      </w:r>
      <w:r w:rsidR="007E4F5F">
        <w:t>X</w:t>
      </w:r>
      <w:r>
        <w:t xml:space="preserve"> of this Order. In such event, a summary of each position of no more than 75 words, set of</w:t>
      </w:r>
      <w:r w:rsidR="007E4F5F">
        <w:t>f</w:t>
      </w:r>
      <w:r>
        <w:t xml:space="preserve"> with asterisks, shall be included in that statement. If a party’s position has not changed since the issuance of the Prehearing Order, the post-hearing statement may simply restate the prehearing position. However, the position must be reduced to no more than 75 words. If a post-hearing statement is required and a party fails to file in conformance with Rule 28-106.215, F.A.C. that party shall have waived all issues and may be dismissed from the proceeding.</w:t>
      </w:r>
    </w:p>
    <w:p w:rsidR="00AE2E49"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E2E49" w:rsidRPr="00890E6C"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Further, pursuant to Rule 28-106.215, F.A.C., a party’s proposed findings of fact and conclusions of law, if any, statement of issues and positions, and brief, shall together total no more than</w:t>
      </w:r>
      <w:r w:rsidRPr="00084623">
        <w:t xml:space="preserve"> 40 pages</w:t>
      </w:r>
      <w:r>
        <w:t xml:space="preserve"> and shall be filed at the same time, unless modified by the Presiding Officer. </w:t>
      </w:r>
    </w:p>
    <w:p w:rsidR="00AE2E49" w:rsidRPr="00A71CC4" w:rsidRDefault="00AE2E49" w:rsidP="00AE2E49">
      <w:pPr>
        <w:numPr>
          <w:ilvl w:val="12"/>
          <w:numId w:val="0"/>
        </w:numPr>
        <w:jc w:val="both"/>
        <w:rPr>
          <w:highlight w:val="yellow"/>
        </w:rPr>
      </w:pPr>
    </w:p>
    <w:p w:rsidR="00AE2E49" w:rsidRPr="00332004" w:rsidRDefault="00B66110" w:rsidP="00AE2E49">
      <w:pPr>
        <w:numPr>
          <w:ilvl w:val="12"/>
          <w:numId w:val="0"/>
        </w:numPr>
        <w:jc w:val="both"/>
      </w:pPr>
      <w:r>
        <w:rPr>
          <w:b/>
          <w:bCs/>
        </w:rPr>
        <w:t>VIII</w:t>
      </w:r>
      <w:r w:rsidR="00AE2E49" w:rsidRPr="00332004">
        <w:rPr>
          <w:b/>
          <w:bCs/>
        </w:rPr>
        <w:t>.</w:t>
      </w:r>
      <w:r w:rsidR="00AE2E49" w:rsidRPr="00332004">
        <w:rPr>
          <w:b/>
          <w:bCs/>
        </w:rPr>
        <w:tab/>
      </w:r>
      <w:r w:rsidR="00AE2E49" w:rsidRPr="00332004">
        <w:rPr>
          <w:b/>
          <w:bCs/>
          <w:u w:val="single"/>
        </w:rPr>
        <w:t>Controlling Dates</w:t>
      </w:r>
    </w:p>
    <w:p w:rsidR="00AE2E49" w:rsidRPr="00332004" w:rsidRDefault="00AE2E49" w:rsidP="00AE2E49">
      <w:pPr>
        <w:numPr>
          <w:ilvl w:val="12"/>
          <w:numId w:val="0"/>
        </w:numPr>
        <w:jc w:val="both"/>
      </w:pPr>
    </w:p>
    <w:p w:rsidR="00AE2E49" w:rsidRPr="00332004" w:rsidRDefault="00AE2E49" w:rsidP="00AE2E49">
      <w:pPr>
        <w:numPr>
          <w:ilvl w:val="12"/>
          <w:numId w:val="0"/>
        </w:numPr>
        <w:jc w:val="both"/>
      </w:pPr>
      <w:r w:rsidRPr="00332004">
        <w:tab/>
        <w:t>The following dates have been established to govern the key activities of this case:</w:t>
      </w:r>
    </w:p>
    <w:p w:rsidR="00AE2E49" w:rsidRPr="00332004" w:rsidRDefault="00AE2E49" w:rsidP="00AE2E4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9360" w:type="dxa"/>
        <w:tblInd w:w="120" w:type="dxa"/>
        <w:tblLayout w:type="fixed"/>
        <w:tblCellMar>
          <w:left w:w="120" w:type="dxa"/>
          <w:right w:w="120" w:type="dxa"/>
        </w:tblCellMar>
        <w:tblLook w:val="04A0" w:firstRow="1" w:lastRow="0" w:firstColumn="1" w:lastColumn="0" w:noHBand="0" w:noVBand="1"/>
      </w:tblPr>
      <w:tblGrid>
        <w:gridCol w:w="810"/>
        <w:gridCol w:w="5040"/>
        <w:gridCol w:w="3510"/>
      </w:tblGrid>
      <w:tr w:rsidR="00AE2E49" w:rsidRPr="006A7E11" w:rsidTr="00A76D2B">
        <w:trPr>
          <w:cantSplit/>
        </w:trPr>
        <w:tc>
          <w:tcPr>
            <w:tcW w:w="810" w:type="dxa"/>
            <w:shd w:val="clear" w:color="auto" w:fill="auto"/>
            <w:hideMark/>
          </w:tcPr>
          <w:p w:rsidR="00AE2E49" w:rsidRPr="006A7E11" w:rsidRDefault="00AE2E49" w:rsidP="00A76D2B">
            <w:pPr>
              <w:numPr>
                <w:ilvl w:val="12"/>
                <w:numId w:val="0"/>
              </w:numPr>
              <w:tabs>
                <w:tab w:val="left" w:pos="0"/>
              </w:tabs>
              <w:spacing w:after="57"/>
              <w:jc w:val="both"/>
            </w:pPr>
            <w:r w:rsidRPr="006A7E11">
              <w:t>(1)</w:t>
            </w:r>
          </w:p>
        </w:tc>
        <w:tc>
          <w:tcPr>
            <w:tcW w:w="5040" w:type="dxa"/>
            <w:shd w:val="clear" w:color="auto" w:fill="auto"/>
          </w:tcPr>
          <w:p w:rsidR="00AE2E49" w:rsidRPr="006A7E11" w:rsidRDefault="00007042" w:rsidP="00A76D2B">
            <w:r>
              <w:t>Utility’s testimony and exhibits</w:t>
            </w:r>
          </w:p>
        </w:tc>
        <w:tc>
          <w:tcPr>
            <w:tcW w:w="3510" w:type="dxa"/>
            <w:shd w:val="clear" w:color="auto" w:fill="auto"/>
          </w:tcPr>
          <w:p w:rsidR="00AE2E49" w:rsidRPr="006A7E11" w:rsidRDefault="00007042" w:rsidP="00A76D2B">
            <w:r>
              <w:t>September 23, 2024</w:t>
            </w:r>
          </w:p>
        </w:tc>
      </w:tr>
      <w:tr w:rsidR="00AE2E49" w:rsidRPr="006A7E11" w:rsidTr="00007042">
        <w:trPr>
          <w:cantSplit/>
        </w:trPr>
        <w:tc>
          <w:tcPr>
            <w:tcW w:w="810" w:type="dxa"/>
            <w:hideMark/>
          </w:tcPr>
          <w:p w:rsidR="00AE2E49" w:rsidRPr="006A7E11" w:rsidRDefault="00AE2E49" w:rsidP="00A76D2B">
            <w:pPr>
              <w:numPr>
                <w:ilvl w:val="12"/>
                <w:numId w:val="0"/>
              </w:numPr>
              <w:tabs>
                <w:tab w:val="left" w:pos="0"/>
              </w:tabs>
              <w:spacing w:after="57"/>
              <w:jc w:val="both"/>
            </w:pPr>
            <w:r w:rsidRPr="006A7E11">
              <w:t>(2)</w:t>
            </w:r>
          </w:p>
        </w:tc>
        <w:tc>
          <w:tcPr>
            <w:tcW w:w="5040" w:type="dxa"/>
          </w:tcPr>
          <w:p w:rsidR="00AE2E49" w:rsidRPr="00B26EEC" w:rsidRDefault="00007042" w:rsidP="00A76D2B">
            <w:r w:rsidRPr="00B26EEC">
              <w:t>Intervenor’s testimony and exhibits</w:t>
            </w:r>
          </w:p>
        </w:tc>
        <w:tc>
          <w:tcPr>
            <w:tcW w:w="3510" w:type="dxa"/>
          </w:tcPr>
          <w:p w:rsidR="00AE2E49" w:rsidRPr="006A7E11" w:rsidRDefault="00B26EEC" w:rsidP="00A76D2B">
            <w:r>
              <w:t>March 31, 2025</w:t>
            </w:r>
          </w:p>
        </w:tc>
      </w:tr>
      <w:tr w:rsidR="00AE2E49" w:rsidRPr="006A7E11" w:rsidTr="00A76D2B">
        <w:trPr>
          <w:cantSplit/>
        </w:trPr>
        <w:tc>
          <w:tcPr>
            <w:tcW w:w="810" w:type="dxa"/>
            <w:shd w:val="clear" w:color="auto" w:fill="auto"/>
            <w:hideMark/>
          </w:tcPr>
          <w:p w:rsidR="00AE2E49" w:rsidRPr="006A7E11" w:rsidRDefault="00AE2E49" w:rsidP="00A76D2B">
            <w:pPr>
              <w:numPr>
                <w:ilvl w:val="12"/>
                <w:numId w:val="0"/>
              </w:numPr>
              <w:tabs>
                <w:tab w:val="left" w:pos="0"/>
              </w:tabs>
              <w:spacing w:after="57"/>
              <w:jc w:val="both"/>
            </w:pPr>
            <w:r w:rsidRPr="006A7E11">
              <w:t>(3)</w:t>
            </w:r>
          </w:p>
        </w:tc>
        <w:tc>
          <w:tcPr>
            <w:tcW w:w="5040" w:type="dxa"/>
            <w:shd w:val="clear" w:color="auto" w:fill="auto"/>
          </w:tcPr>
          <w:p w:rsidR="00AE2E49" w:rsidRPr="006A7E11" w:rsidRDefault="00B26EEC" w:rsidP="00A76D2B">
            <w:r>
              <w:t>Staff’s testimony and exhibits</w:t>
            </w:r>
          </w:p>
        </w:tc>
        <w:tc>
          <w:tcPr>
            <w:tcW w:w="3510" w:type="dxa"/>
            <w:shd w:val="clear" w:color="auto" w:fill="auto"/>
          </w:tcPr>
          <w:p w:rsidR="00AE2E49" w:rsidRPr="006A7E11" w:rsidRDefault="00B26EEC" w:rsidP="00A76D2B">
            <w:r>
              <w:t>April 14, 2025</w:t>
            </w:r>
          </w:p>
        </w:tc>
      </w:tr>
      <w:tr w:rsidR="00AE2E49" w:rsidRPr="006A7E11" w:rsidTr="00007042">
        <w:trPr>
          <w:cantSplit/>
        </w:trPr>
        <w:tc>
          <w:tcPr>
            <w:tcW w:w="810" w:type="dxa"/>
            <w:hideMark/>
          </w:tcPr>
          <w:p w:rsidR="00AE2E49" w:rsidRPr="006A7E11" w:rsidRDefault="00AE2E49" w:rsidP="00A76D2B">
            <w:pPr>
              <w:numPr>
                <w:ilvl w:val="12"/>
                <w:numId w:val="0"/>
              </w:numPr>
              <w:tabs>
                <w:tab w:val="left" w:pos="0"/>
              </w:tabs>
              <w:spacing w:after="57"/>
              <w:jc w:val="both"/>
            </w:pPr>
            <w:r w:rsidRPr="006A7E11">
              <w:t>(4)</w:t>
            </w:r>
          </w:p>
        </w:tc>
        <w:tc>
          <w:tcPr>
            <w:tcW w:w="5040" w:type="dxa"/>
          </w:tcPr>
          <w:p w:rsidR="00AE2E49" w:rsidRPr="006A7E11" w:rsidRDefault="00B26EEC" w:rsidP="00B26EEC">
            <w:pPr>
              <w:rPr>
                <w:sz w:val="22"/>
                <w:szCs w:val="22"/>
              </w:rPr>
            </w:pPr>
            <w:r>
              <w:rPr>
                <w:sz w:val="22"/>
                <w:szCs w:val="22"/>
              </w:rPr>
              <w:t>Rebuttal testimony and exhibits</w:t>
            </w:r>
          </w:p>
        </w:tc>
        <w:tc>
          <w:tcPr>
            <w:tcW w:w="3510" w:type="dxa"/>
          </w:tcPr>
          <w:p w:rsidR="00AE2E49" w:rsidRPr="006A7E11" w:rsidRDefault="00B26EEC" w:rsidP="00A76D2B">
            <w:r>
              <w:t>April 28, 2025</w:t>
            </w:r>
          </w:p>
        </w:tc>
      </w:tr>
      <w:tr w:rsidR="00AE2E49" w:rsidRPr="006A7E11" w:rsidTr="00007042">
        <w:trPr>
          <w:cantSplit/>
        </w:trPr>
        <w:tc>
          <w:tcPr>
            <w:tcW w:w="810" w:type="dxa"/>
            <w:hideMark/>
          </w:tcPr>
          <w:p w:rsidR="00AE2E49" w:rsidRPr="006A7E11" w:rsidRDefault="00AE2E49" w:rsidP="00B26EEC">
            <w:pPr>
              <w:numPr>
                <w:ilvl w:val="12"/>
                <w:numId w:val="0"/>
              </w:numPr>
              <w:tabs>
                <w:tab w:val="left" w:pos="0"/>
              </w:tabs>
              <w:spacing w:after="57"/>
              <w:jc w:val="both"/>
            </w:pPr>
            <w:r w:rsidRPr="006A7E11">
              <w:t>(</w:t>
            </w:r>
            <w:r w:rsidR="00B26EEC">
              <w:t>5</w:t>
            </w:r>
            <w:r w:rsidRPr="006A7E11">
              <w:t>)</w:t>
            </w:r>
          </w:p>
        </w:tc>
        <w:tc>
          <w:tcPr>
            <w:tcW w:w="5040" w:type="dxa"/>
          </w:tcPr>
          <w:p w:rsidR="00AE2E49" w:rsidRPr="006A7E11" w:rsidRDefault="00B26EEC" w:rsidP="00B26EEC">
            <w:r>
              <w:t>Prehearing Statements</w:t>
            </w:r>
          </w:p>
        </w:tc>
        <w:tc>
          <w:tcPr>
            <w:tcW w:w="3510" w:type="dxa"/>
          </w:tcPr>
          <w:p w:rsidR="00AE2E49" w:rsidRPr="006A7E11" w:rsidRDefault="00B26EEC" w:rsidP="00A76D2B">
            <w:r>
              <w:t>May 12, 2025</w:t>
            </w:r>
          </w:p>
        </w:tc>
      </w:tr>
      <w:tr w:rsidR="00B26EEC" w:rsidRPr="006A7E11" w:rsidTr="00A76D2B">
        <w:trPr>
          <w:cantSplit/>
        </w:trPr>
        <w:tc>
          <w:tcPr>
            <w:tcW w:w="810" w:type="dxa"/>
          </w:tcPr>
          <w:p w:rsidR="00B26EEC" w:rsidRPr="006A7E11" w:rsidRDefault="00B26EEC" w:rsidP="00B26EEC">
            <w:pPr>
              <w:numPr>
                <w:ilvl w:val="12"/>
                <w:numId w:val="0"/>
              </w:numPr>
              <w:tabs>
                <w:tab w:val="left" w:pos="0"/>
              </w:tabs>
              <w:spacing w:after="57"/>
              <w:jc w:val="both"/>
            </w:pPr>
            <w:r>
              <w:t>(6)</w:t>
            </w:r>
          </w:p>
        </w:tc>
        <w:tc>
          <w:tcPr>
            <w:tcW w:w="5040" w:type="dxa"/>
          </w:tcPr>
          <w:p w:rsidR="00B26EEC" w:rsidRDefault="00B26EEC" w:rsidP="00A76D2B">
            <w:r>
              <w:t>Last day to conduct discovery</w:t>
            </w:r>
          </w:p>
        </w:tc>
        <w:tc>
          <w:tcPr>
            <w:tcW w:w="3510" w:type="dxa"/>
          </w:tcPr>
          <w:p w:rsidR="00B26EEC" w:rsidRDefault="00B26EEC" w:rsidP="00A76D2B">
            <w:r>
              <w:t>May 19, 2025</w:t>
            </w:r>
          </w:p>
        </w:tc>
      </w:tr>
      <w:tr w:rsidR="00AE2E49" w:rsidRPr="006A7E11" w:rsidTr="00A76D2B">
        <w:trPr>
          <w:cantSplit/>
        </w:trPr>
        <w:tc>
          <w:tcPr>
            <w:tcW w:w="810" w:type="dxa"/>
          </w:tcPr>
          <w:p w:rsidR="00AE2E49" w:rsidRPr="006A7E11" w:rsidRDefault="00AE2E49" w:rsidP="00B26EEC">
            <w:pPr>
              <w:numPr>
                <w:ilvl w:val="12"/>
                <w:numId w:val="0"/>
              </w:numPr>
              <w:tabs>
                <w:tab w:val="left" w:pos="0"/>
              </w:tabs>
              <w:spacing w:after="57"/>
              <w:jc w:val="both"/>
            </w:pPr>
            <w:r w:rsidRPr="006A7E11">
              <w:t>(</w:t>
            </w:r>
            <w:r w:rsidR="00B26EEC">
              <w:t>7</w:t>
            </w:r>
            <w:r w:rsidRPr="006A7E11">
              <w:t>)</w:t>
            </w:r>
          </w:p>
        </w:tc>
        <w:tc>
          <w:tcPr>
            <w:tcW w:w="5040" w:type="dxa"/>
          </w:tcPr>
          <w:p w:rsidR="00AE2E49" w:rsidRPr="006A7E11" w:rsidRDefault="00B26EEC" w:rsidP="00A76D2B">
            <w:r>
              <w:t>Prehearing</w:t>
            </w:r>
          </w:p>
        </w:tc>
        <w:tc>
          <w:tcPr>
            <w:tcW w:w="3510" w:type="dxa"/>
          </w:tcPr>
          <w:p w:rsidR="00AE2E49" w:rsidRPr="006A7E11" w:rsidRDefault="00B26EEC" w:rsidP="00A76D2B">
            <w:r>
              <w:t>May 19, 2025</w:t>
            </w:r>
          </w:p>
        </w:tc>
      </w:tr>
      <w:tr w:rsidR="005F34A2" w:rsidRPr="006A7E11" w:rsidTr="00A76D2B">
        <w:trPr>
          <w:cantSplit/>
        </w:trPr>
        <w:tc>
          <w:tcPr>
            <w:tcW w:w="810" w:type="dxa"/>
          </w:tcPr>
          <w:p w:rsidR="005F34A2" w:rsidRPr="006A7E11" w:rsidRDefault="005F34A2" w:rsidP="00B26EEC">
            <w:pPr>
              <w:numPr>
                <w:ilvl w:val="12"/>
                <w:numId w:val="0"/>
              </w:numPr>
              <w:tabs>
                <w:tab w:val="left" w:pos="0"/>
              </w:tabs>
              <w:spacing w:after="57"/>
              <w:jc w:val="both"/>
            </w:pPr>
            <w:r>
              <w:t>(8)</w:t>
            </w:r>
          </w:p>
        </w:tc>
        <w:tc>
          <w:tcPr>
            <w:tcW w:w="5040" w:type="dxa"/>
          </w:tcPr>
          <w:p w:rsidR="005F34A2" w:rsidRDefault="005F34A2" w:rsidP="00B26EEC">
            <w:r>
              <w:t>Provision of exhibits</w:t>
            </w:r>
          </w:p>
        </w:tc>
        <w:tc>
          <w:tcPr>
            <w:tcW w:w="3510" w:type="dxa"/>
          </w:tcPr>
          <w:p w:rsidR="005F34A2" w:rsidRDefault="005F34A2" w:rsidP="00084623">
            <w:r>
              <w:t>May 2</w:t>
            </w:r>
            <w:r w:rsidR="00084623">
              <w:t>2</w:t>
            </w:r>
            <w:r>
              <w:t>, 2025</w:t>
            </w:r>
          </w:p>
        </w:tc>
      </w:tr>
      <w:tr w:rsidR="00B26EEC" w:rsidRPr="006A7E11" w:rsidTr="00A76D2B">
        <w:trPr>
          <w:cantSplit/>
        </w:trPr>
        <w:tc>
          <w:tcPr>
            <w:tcW w:w="810" w:type="dxa"/>
            <w:hideMark/>
          </w:tcPr>
          <w:p w:rsidR="00B26EEC" w:rsidRPr="006A7E11" w:rsidRDefault="00B26EEC" w:rsidP="00B26EEC">
            <w:pPr>
              <w:numPr>
                <w:ilvl w:val="12"/>
                <w:numId w:val="0"/>
              </w:numPr>
              <w:tabs>
                <w:tab w:val="left" w:pos="0"/>
              </w:tabs>
              <w:spacing w:after="57"/>
              <w:jc w:val="both"/>
            </w:pPr>
            <w:r w:rsidRPr="006A7E11">
              <w:t>(</w:t>
            </w:r>
            <w:r>
              <w:t>8</w:t>
            </w:r>
            <w:r w:rsidRPr="006A7E11">
              <w:t>)</w:t>
            </w:r>
          </w:p>
        </w:tc>
        <w:tc>
          <w:tcPr>
            <w:tcW w:w="5040" w:type="dxa"/>
          </w:tcPr>
          <w:p w:rsidR="00B26EEC" w:rsidRPr="006A7E11" w:rsidRDefault="00B26EEC" w:rsidP="00B26EEC">
            <w:r>
              <w:t>Hearing</w:t>
            </w:r>
          </w:p>
        </w:tc>
        <w:tc>
          <w:tcPr>
            <w:tcW w:w="3510" w:type="dxa"/>
          </w:tcPr>
          <w:p w:rsidR="00B26EEC" w:rsidRPr="006A7E11" w:rsidRDefault="00B26EEC" w:rsidP="00B26EEC">
            <w:r>
              <w:t>June 3-4, 2025</w:t>
            </w:r>
          </w:p>
        </w:tc>
      </w:tr>
      <w:tr w:rsidR="00B26EEC" w:rsidRPr="006A7E11" w:rsidTr="00A76D2B">
        <w:trPr>
          <w:cantSplit/>
        </w:trPr>
        <w:tc>
          <w:tcPr>
            <w:tcW w:w="810" w:type="dxa"/>
            <w:hideMark/>
          </w:tcPr>
          <w:p w:rsidR="00B26EEC" w:rsidRPr="006A7E11" w:rsidRDefault="00B26EEC" w:rsidP="00B26EEC">
            <w:pPr>
              <w:numPr>
                <w:ilvl w:val="12"/>
                <w:numId w:val="0"/>
              </w:numPr>
              <w:tabs>
                <w:tab w:val="left" w:pos="0"/>
              </w:tabs>
              <w:spacing w:after="57"/>
              <w:jc w:val="both"/>
            </w:pPr>
            <w:r w:rsidRPr="006A7E11">
              <w:t>(</w:t>
            </w:r>
            <w:r>
              <w:t>9</w:t>
            </w:r>
            <w:r w:rsidRPr="006A7E11">
              <w:t>)</w:t>
            </w:r>
          </w:p>
        </w:tc>
        <w:tc>
          <w:tcPr>
            <w:tcW w:w="5040" w:type="dxa"/>
          </w:tcPr>
          <w:p w:rsidR="00B26EEC" w:rsidRDefault="00B26EEC" w:rsidP="00B26EEC">
            <w:r>
              <w:t xml:space="preserve">Post-Hearing Statement of Issues and </w:t>
            </w:r>
          </w:p>
          <w:p w:rsidR="00B26EEC" w:rsidRPr="006A7E11" w:rsidRDefault="00B26EEC" w:rsidP="005F34A2">
            <w:r>
              <w:t>Briefs</w:t>
            </w:r>
            <w:r w:rsidR="005F34A2">
              <w:t xml:space="preserve"> </w:t>
            </w:r>
          </w:p>
        </w:tc>
        <w:tc>
          <w:tcPr>
            <w:tcW w:w="3510" w:type="dxa"/>
          </w:tcPr>
          <w:p w:rsidR="00B26EEC" w:rsidRPr="006A7E11" w:rsidRDefault="00B26EEC" w:rsidP="00B26EEC">
            <w:r>
              <w:t>June 18, 2025</w:t>
            </w:r>
          </w:p>
        </w:tc>
      </w:tr>
    </w:tbl>
    <w:p w:rsidR="00AE2E49" w:rsidRPr="00A71CC4" w:rsidRDefault="00AE2E49" w:rsidP="00AE2E49">
      <w:pPr>
        <w:numPr>
          <w:ilvl w:val="12"/>
          <w:numId w:val="0"/>
        </w:numPr>
        <w:jc w:val="both"/>
        <w:rPr>
          <w:highlight w:val="yellow"/>
        </w:rPr>
      </w:pPr>
    </w:p>
    <w:p w:rsidR="00AE2E49" w:rsidRPr="00F02257" w:rsidRDefault="00AE2E49" w:rsidP="00AE2E49">
      <w:pPr>
        <w:numPr>
          <w:ilvl w:val="12"/>
          <w:numId w:val="0"/>
        </w:numPr>
        <w:jc w:val="both"/>
      </w:pPr>
      <w:r w:rsidRPr="00F02257">
        <w:tab/>
        <w:t xml:space="preserve">In addition, all parties should be on notice that the Prehearing Officer may exercise the discretion to schedule additional Prehearing Conferences or meetings of the </w:t>
      </w:r>
      <w:r>
        <w:t xml:space="preserve">parties as deemed appropriate. </w:t>
      </w:r>
      <w:r w:rsidRPr="00F02257">
        <w:t xml:space="preserve">Such meetings will be properly noticed to afford the parties an opportunity to attend. </w:t>
      </w:r>
    </w:p>
    <w:p w:rsidR="00AE2E49" w:rsidRPr="00A71CC4" w:rsidRDefault="00AE2E49" w:rsidP="00AE2E49">
      <w:pPr>
        <w:numPr>
          <w:ilvl w:val="12"/>
          <w:numId w:val="0"/>
        </w:numPr>
        <w:jc w:val="both"/>
        <w:rPr>
          <w:highlight w:val="yellow"/>
        </w:rPr>
      </w:pPr>
    </w:p>
    <w:p w:rsidR="00AE2E49" w:rsidRDefault="00AE2E49" w:rsidP="00AE2E49">
      <w:pPr>
        <w:pStyle w:val="OrderBody"/>
      </w:pPr>
      <w:r w:rsidRPr="00FE366F">
        <w:tab/>
        <w:t>Based upon the foregoing, it is</w:t>
      </w:r>
    </w:p>
    <w:p w:rsidR="00AE2E49" w:rsidRDefault="00AE2E49" w:rsidP="00AE2E49">
      <w:pPr>
        <w:pStyle w:val="OrderBody"/>
      </w:pPr>
    </w:p>
    <w:p w:rsidR="00AE2E49" w:rsidRDefault="00AE2E49" w:rsidP="00AE2E49">
      <w:pPr>
        <w:pStyle w:val="OrderBody"/>
      </w:pPr>
      <w:r w:rsidRPr="00FE366F">
        <w:lastRenderedPageBreak/>
        <w:tab/>
        <w:t>ORDERED by Commissioner Gabriella Passidomo Smith, as Prehearing Officer, that the provisions of this Order shall govern this proceeding unless modified by the Commission.</w:t>
      </w:r>
    </w:p>
    <w:p w:rsidR="008B4286" w:rsidRDefault="008B4286" w:rsidP="008B4286">
      <w:pPr>
        <w:pStyle w:val="CenterUnderline"/>
        <w:keepNext/>
        <w:keepLines/>
        <w:jc w:val="both"/>
        <w:rPr>
          <w:u w:val="none"/>
        </w:rPr>
      </w:pPr>
    </w:p>
    <w:p w:rsidR="008B4286" w:rsidRDefault="008B4286" w:rsidP="008B4286">
      <w:pPr>
        <w:pStyle w:val="CenterUnderline"/>
        <w:keepNext/>
        <w:keepLines/>
        <w:jc w:val="both"/>
        <w:rPr>
          <w:u w:val="none"/>
        </w:rPr>
      </w:pPr>
      <w:r>
        <w:rPr>
          <w:u w:val="none"/>
        </w:rPr>
        <w:tab/>
        <w:t xml:space="preserve">By ORDER of Commissioner Gabriella Passidomo Smith, as Prehearing Officer, this </w:t>
      </w:r>
      <w:bookmarkStart w:id="6" w:name="replaceDate"/>
      <w:bookmarkEnd w:id="6"/>
      <w:r w:rsidR="00881965">
        <w:t>5th</w:t>
      </w:r>
      <w:r w:rsidR="00881965">
        <w:rPr>
          <w:u w:val="none"/>
        </w:rPr>
        <w:t xml:space="preserve"> day of </w:t>
      </w:r>
      <w:r w:rsidR="00881965">
        <w:t>March</w:t>
      </w:r>
      <w:r w:rsidR="00881965">
        <w:rPr>
          <w:u w:val="none"/>
        </w:rPr>
        <w:t xml:space="preserve">, </w:t>
      </w:r>
      <w:r w:rsidR="00881965">
        <w:t>2025</w:t>
      </w:r>
      <w:r w:rsidR="00881965">
        <w:rPr>
          <w:u w:val="none"/>
        </w:rPr>
        <w:t>.</w:t>
      </w:r>
    </w:p>
    <w:p w:rsidR="00881965" w:rsidRPr="00881965" w:rsidRDefault="00881965" w:rsidP="008B4286">
      <w:pPr>
        <w:pStyle w:val="CenterUnderline"/>
        <w:keepNext/>
        <w:keepLines/>
        <w:jc w:val="both"/>
        <w:rPr>
          <w:u w:val="none"/>
        </w:rPr>
      </w:pPr>
    </w:p>
    <w:p w:rsidR="008B4286" w:rsidRDefault="008B4286" w:rsidP="008B4286">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8B4286" w:rsidTr="008B4286">
        <w:tc>
          <w:tcPr>
            <w:tcW w:w="720" w:type="dxa"/>
            <w:shd w:val="clear" w:color="auto" w:fill="auto"/>
          </w:tcPr>
          <w:p w:rsidR="008B4286" w:rsidRDefault="008B4286" w:rsidP="008B4286">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8B4286" w:rsidRDefault="00097FB7" w:rsidP="008B4286">
            <w:pPr>
              <w:pStyle w:val="CenterUnderline"/>
              <w:keepNext/>
              <w:keepLines/>
              <w:jc w:val="both"/>
              <w:rPr>
                <w:u w:val="none"/>
              </w:rPr>
            </w:pPr>
            <w:r>
              <w:rPr>
                <w:u w:val="none"/>
              </w:rPr>
              <w:t>/s/ Gabriella Passidomo Smith</w:t>
            </w:r>
            <w:bookmarkStart w:id="8" w:name="_GoBack"/>
            <w:bookmarkEnd w:id="8"/>
          </w:p>
        </w:tc>
      </w:tr>
      <w:bookmarkEnd w:id="7"/>
      <w:tr w:rsidR="008B4286" w:rsidTr="008B4286">
        <w:tc>
          <w:tcPr>
            <w:tcW w:w="720" w:type="dxa"/>
            <w:shd w:val="clear" w:color="auto" w:fill="auto"/>
          </w:tcPr>
          <w:p w:rsidR="008B4286" w:rsidRDefault="008B4286" w:rsidP="008B4286">
            <w:pPr>
              <w:pStyle w:val="CenterUnderline"/>
              <w:keepNext/>
              <w:keepLines/>
              <w:jc w:val="both"/>
              <w:rPr>
                <w:u w:val="none"/>
              </w:rPr>
            </w:pPr>
          </w:p>
        </w:tc>
        <w:tc>
          <w:tcPr>
            <w:tcW w:w="4320" w:type="dxa"/>
            <w:tcBorders>
              <w:top w:val="single" w:sz="4" w:space="0" w:color="auto"/>
            </w:tcBorders>
            <w:shd w:val="clear" w:color="auto" w:fill="auto"/>
          </w:tcPr>
          <w:p w:rsidR="008B4286" w:rsidRDefault="008B4286" w:rsidP="008B4286">
            <w:pPr>
              <w:pStyle w:val="CenterUnderline"/>
              <w:keepNext/>
              <w:keepLines/>
              <w:jc w:val="both"/>
              <w:rPr>
                <w:u w:val="none"/>
              </w:rPr>
            </w:pPr>
            <w:r>
              <w:rPr>
                <w:u w:val="none"/>
              </w:rPr>
              <w:t>Gabriella Passidomo Smith</w:t>
            </w:r>
          </w:p>
          <w:p w:rsidR="008B4286" w:rsidRDefault="008B4286" w:rsidP="008B4286">
            <w:pPr>
              <w:pStyle w:val="CenterUnderline"/>
              <w:keepNext/>
              <w:keepLines/>
              <w:jc w:val="both"/>
              <w:rPr>
                <w:u w:val="none"/>
              </w:rPr>
            </w:pPr>
            <w:r>
              <w:rPr>
                <w:u w:val="none"/>
              </w:rPr>
              <w:t>Commissioner and Prehearing Officer</w:t>
            </w:r>
          </w:p>
        </w:tc>
      </w:tr>
    </w:tbl>
    <w:p w:rsidR="008B4286" w:rsidRDefault="008B4286" w:rsidP="008B4286">
      <w:pPr>
        <w:pStyle w:val="OrderSigInfo"/>
        <w:keepNext/>
        <w:keepLines/>
      </w:pPr>
      <w:r>
        <w:t>Florida Public Service Commission</w:t>
      </w:r>
    </w:p>
    <w:p w:rsidR="008B4286" w:rsidRDefault="008B4286" w:rsidP="008B4286">
      <w:pPr>
        <w:pStyle w:val="OrderSigInfo"/>
        <w:keepNext/>
        <w:keepLines/>
      </w:pPr>
      <w:r>
        <w:t>2540 Shumard Oak Boulevard</w:t>
      </w:r>
    </w:p>
    <w:p w:rsidR="008B4286" w:rsidRDefault="008B4286" w:rsidP="008B4286">
      <w:pPr>
        <w:pStyle w:val="OrderSigInfo"/>
        <w:keepNext/>
        <w:keepLines/>
      </w:pPr>
      <w:r>
        <w:t>Tallahassee, Florida 32399</w:t>
      </w:r>
    </w:p>
    <w:p w:rsidR="008B4286" w:rsidRDefault="008B4286" w:rsidP="008B4286">
      <w:pPr>
        <w:pStyle w:val="OrderSigInfo"/>
        <w:keepNext/>
        <w:keepLines/>
      </w:pPr>
      <w:r>
        <w:t>(850) 413</w:t>
      </w:r>
      <w:r>
        <w:noBreakHyphen/>
        <w:t>6770</w:t>
      </w:r>
    </w:p>
    <w:p w:rsidR="008B4286" w:rsidRDefault="008B4286" w:rsidP="008B4286">
      <w:pPr>
        <w:pStyle w:val="OrderSigInfo"/>
        <w:keepNext/>
        <w:keepLines/>
      </w:pPr>
      <w:r>
        <w:t>www.floridapsc.com</w:t>
      </w:r>
    </w:p>
    <w:p w:rsidR="008B4286" w:rsidRDefault="008B4286" w:rsidP="008B4286">
      <w:pPr>
        <w:pStyle w:val="OrderSigInfo"/>
        <w:keepNext/>
        <w:keepLines/>
      </w:pPr>
    </w:p>
    <w:p w:rsidR="008B4286" w:rsidRDefault="008B4286" w:rsidP="008B4286">
      <w:pPr>
        <w:pStyle w:val="OrderSigInfo"/>
        <w:keepNext/>
        <w:keepLines/>
      </w:pPr>
      <w:r>
        <w:t>Copies furnished:  A copy of this document is provided to the parties of record at the time of issuance and, if applicable, interested persons.</w:t>
      </w:r>
    </w:p>
    <w:p w:rsidR="008B4286" w:rsidRDefault="008B4286" w:rsidP="008B4286">
      <w:pPr>
        <w:pStyle w:val="OrderBody"/>
        <w:keepNext/>
        <w:keepLines/>
      </w:pPr>
    </w:p>
    <w:p w:rsidR="008B4286" w:rsidRDefault="008B4286" w:rsidP="008B4286">
      <w:pPr>
        <w:pStyle w:val="CenterUnderline"/>
        <w:keepNext/>
        <w:keepLines/>
        <w:jc w:val="both"/>
        <w:rPr>
          <w:u w:val="none"/>
        </w:rPr>
      </w:pPr>
      <w:r>
        <w:rPr>
          <w:u w:val="none"/>
        </w:rPr>
        <w:t>SBr</w:t>
      </w:r>
    </w:p>
    <w:p w:rsidR="008B4286" w:rsidRDefault="008B4286" w:rsidP="008B4286">
      <w:pPr>
        <w:pStyle w:val="CenterUnderline"/>
        <w:keepNext/>
        <w:keepLines/>
        <w:jc w:val="both"/>
        <w:rPr>
          <w:u w:val="none"/>
        </w:rPr>
      </w:pPr>
    </w:p>
    <w:p w:rsidR="008B4286" w:rsidRDefault="008B4286" w:rsidP="008B4286">
      <w:pPr>
        <w:pStyle w:val="CenterUnderline"/>
      </w:pPr>
      <w:r>
        <w:t>NOTICE OF FURTHER PROCEEDINGS OR JUDICIAL REVIEW</w:t>
      </w:r>
    </w:p>
    <w:p w:rsidR="008B4286" w:rsidRDefault="008B4286" w:rsidP="008B4286">
      <w:pPr>
        <w:pStyle w:val="CenterUnderline"/>
      </w:pPr>
    </w:p>
    <w:p w:rsidR="008B4286" w:rsidRDefault="008B4286" w:rsidP="008B428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B4286" w:rsidRDefault="008B4286" w:rsidP="008B4286">
      <w:pPr>
        <w:pStyle w:val="OrderBody"/>
      </w:pPr>
    </w:p>
    <w:p w:rsidR="008B4286" w:rsidRDefault="008B4286" w:rsidP="008B4286">
      <w:pPr>
        <w:pStyle w:val="OrderBody"/>
      </w:pPr>
      <w:r>
        <w:tab/>
        <w:t>Mediation may be available on a case-by-case basis.  If mediation is conducted, it does not affect a substantially interested person's right to a hearing.</w:t>
      </w:r>
    </w:p>
    <w:p w:rsidR="008B4286" w:rsidRDefault="008B4286" w:rsidP="008B4286">
      <w:pPr>
        <w:pStyle w:val="OrderBody"/>
      </w:pPr>
    </w:p>
    <w:p w:rsidR="008B4286" w:rsidRDefault="008B4286" w:rsidP="008B428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8B4286">
      <w:head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593" w:rsidRDefault="00067593">
      <w:r>
        <w:separator/>
      </w:r>
    </w:p>
  </w:endnote>
  <w:endnote w:type="continuationSeparator" w:id="0">
    <w:p w:rsidR="00067593" w:rsidRDefault="00067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593" w:rsidRDefault="00067593">
      <w:r>
        <w:separator/>
      </w:r>
    </w:p>
  </w:footnote>
  <w:footnote w:type="continuationSeparator" w:id="0">
    <w:p w:rsidR="00067593" w:rsidRDefault="00067593">
      <w:r>
        <w:continuationSeparator/>
      </w:r>
    </w:p>
  </w:footnote>
  <w:footnote w:id="1">
    <w:p w:rsidR="007340D1" w:rsidRDefault="007340D1">
      <w:pPr>
        <w:pStyle w:val="FootnoteText"/>
      </w:pPr>
      <w:r>
        <w:rPr>
          <w:rStyle w:val="FootnoteReference"/>
        </w:rPr>
        <w:footnoteRef/>
      </w:r>
      <w:r>
        <w:t xml:space="preserve"> Order No. PSC-2023-0085-PCO-EI, issued February 15, 2023; Order No. PSC-2024-0050-PCO-EI, issued February 27, 2024.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67 ">
      <w:r w:rsidR="00881965">
        <w:t>PSC-2025-0067-PCO-EI</w:t>
      </w:r>
    </w:fldSimple>
  </w:p>
  <w:p w:rsidR="00FA6EFD" w:rsidRDefault="00067593">
    <w:pPr>
      <w:pStyle w:val="OrderHeader"/>
    </w:pPr>
    <w:bookmarkStart w:id="9" w:name="HeaderDocketNo"/>
    <w:bookmarkEnd w:id="9"/>
    <w:r>
      <w:t>DOCKET NOS. 20230116-EI, 20230020-EI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97FB7">
      <w:rPr>
        <w:rStyle w:val="PageNumber"/>
        <w:noProof/>
      </w:rPr>
      <w:t>13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4"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5"/>
  </w:num>
  <w:num w:numId="4">
    <w:abstractNumId w:val="2"/>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116-EI, 20230020-EI"/>
  </w:docVars>
  <w:rsids>
    <w:rsidRoot w:val="00067593"/>
    <w:rsid w:val="000022B8"/>
    <w:rsid w:val="00003883"/>
    <w:rsid w:val="00007042"/>
    <w:rsid w:val="00011251"/>
    <w:rsid w:val="00025C2A"/>
    <w:rsid w:val="00025C9D"/>
    <w:rsid w:val="0003433F"/>
    <w:rsid w:val="00035A8C"/>
    <w:rsid w:val="00036BDD"/>
    <w:rsid w:val="00041FFD"/>
    <w:rsid w:val="00042C99"/>
    <w:rsid w:val="00053AB9"/>
    <w:rsid w:val="00056229"/>
    <w:rsid w:val="00057AF1"/>
    <w:rsid w:val="00065FC2"/>
    <w:rsid w:val="00067593"/>
    <w:rsid w:val="00067685"/>
    <w:rsid w:val="00067B07"/>
    <w:rsid w:val="000730D7"/>
    <w:rsid w:val="00076E6B"/>
    <w:rsid w:val="00081AE4"/>
    <w:rsid w:val="0008247D"/>
    <w:rsid w:val="00084623"/>
    <w:rsid w:val="00090AFC"/>
    <w:rsid w:val="00096507"/>
    <w:rsid w:val="00097FB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5B36"/>
    <w:rsid w:val="00116AD3"/>
    <w:rsid w:val="00121957"/>
    <w:rsid w:val="0012387E"/>
    <w:rsid w:val="001259EC"/>
    <w:rsid w:val="00126593"/>
    <w:rsid w:val="00134177"/>
    <w:rsid w:val="001357BC"/>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5899"/>
    <w:rsid w:val="001C6097"/>
    <w:rsid w:val="001C7126"/>
    <w:rsid w:val="001D008A"/>
    <w:rsid w:val="001D65E8"/>
    <w:rsid w:val="001E0152"/>
    <w:rsid w:val="001E0FF5"/>
    <w:rsid w:val="001E20EA"/>
    <w:rsid w:val="001F0095"/>
    <w:rsid w:val="001F36B0"/>
    <w:rsid w:val="001F4CA3"/>
    <w:rsid w:val="001F59E0"/>
    <w:rsid w:val="002002ED"/>
    <w:rsid w:val="002030CA"/>
    <w:rsid w:val="0020336E"/>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391F"/>
    <w:rsid w:val="003270C4"/>
    <w:rsid w:val="00331ED0"/>
    <w:rsid w:val="00332B0A"/>
    <w:rsid w:val="00333A41"/>
    <w:rsid w:val="00341036"/>
    <w:rsid w:val="00345434"/>
    <w:rsid w:val="00351C22"/>
    <w:rsid w:val="0035495B"/>
    <w:rsid w:val="00355A93"/>
    <w:rsid w:val="00360F30"/>
    <w:rsid w:val="00361522"/>
    <w:rsid w:val="0037159C"/>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4E94"/>
    <w:rsid w:val="003E711F"/>
    <w:rsid w:val="003F12A6"/>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21A7"/>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34A2"/>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4793D"/>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153B"/>
    <w:rsid w:val="006E21C4"/>
    <w:rsid w:val="006E42BE"/>
    <w:rsid w:val="006E5D4D"/>
    <w:rsid w:val="006E6D16"/>
    <w:rsid w:val="006F205B"/>
    <w:rsid w:val="00703F2A"/>
    <w:rsid w:val="00704C5D"/>
    <w:rsid w:val="007072BC"/>
    <w:rsid w:val="00715275"/>
    <w:rsid w:val="00720D53"/>
    <w:rsid w:val="00721B44"/>
    <w:rsid w:val="007232A2"/>
    <w:rsid w:val="00726366"/>
    <w:rsid w:val="00731AB6"/>
    <w:rsid w:val="00733B6B"/>
    <w:rsid w:val="007340D1"/>
    <w:rsid w:val="00740808"/>
    <w:rsid w:val="00740A1B"/>
    <w:rsid w:val="007467C4"/>
    <w:rsid w:val="00755702"/>
    <w:rsid w:val="0076170F"/>
    <w:rsid w:val="0076669C"/>
    <w:rsid w:val="00766E46"/>
    <w:rsid w:val="00772CCB"/>
    <w:rsid w:val="00774B78"/>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5666"/>
    <w:rsid w:val="007C7134"/>
    <w:rsid w:val="007C7ECF"/>
    <w:rsid w:val="007D3D20"/>
    <w:rsid w:val="007D44F9"/>
    <w:rsid w:val="007D742E"/>
    <w:rsid w:val="007E3AFD"/>
    <w:rsid w:val="007E4F5F"/>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51146"/>
    <w:rsid w:val="00863A66"/>
    <w:rsid w:val="008703D7"/>
    <w:rsid w:val="00874429"/>
    <w:rsid w:val="00875D22"/>
    <w:rsid w:val="00881965"/>
    <w:rsid w:val="00882906"/>
    <w:rsid w:val="00883D9A"/>
    <w:rsid w:val="008919EF"/>
    <w:rsid w:val="00892B20"/>
    <w:rsid w:val="008931BC"/>
    <w:rsid w:val="0089695B"/>
    <w:rsid w:val="00897740"/>
    <w:rsid w:val="008A12EC"/>
    <w:rsid w:val="008B14BE"/>
    <w:rsid w:val="008B19A6"/>
    <w:rsid w:val="008B4286"/>
    <w:rsid w:val="008B4EFB"/>
    <w:rsid w:val="008B7615"/>
    <w:rsid w:val="008C21C8"/>
    <w:rsid w:val="008C6375"/>
    <w:rsid w:val="008C6A5B"/>
    <w:rsid w:val="008D441D"/>
    <w:rsid w:val="008D498D"/>
    <w:rsid w:val="008D6D36"/>
    <w:rsid w:val="008E0693"/>
    <w:rsid w:val="008E26A5"/>
    <w:rsid w:val="008E3060"/>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2860"/>
    <w:rsid w:val="009A6B17"/>
    <w:rsid w:val="009B052E"/>
    <w:rsid w:val="009B2E27"/>
    <w:rsid w:val="009B4E00"/>
    <w:rsid w:val="009D0C33"/>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23A5"/>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AE2E49"/>
    <w:rsid w:val="00B019C1"/>
    <w:rsid w:val="00B02001"/>
    <w:rsid w:val="00B03C50"/>
    <w:rsid w:val="00B0777D"/>
    <w:rsid w:val="00B11576"/>
    <w:rsid w:val="00B1195F"/>
    <w:rsid w:val="00B14D10"/>
    <w:rsid w:val="00B209C7"/>
    <w:rsid w:val="00B26480"/>
    <w:rsid w:val="00B26EEC"/>
    <w:rsid w:val="00B3644F"/>
    <w:rsid w:val="00B4057A"/>
    <w:rsid w:val="00B40894"/>
    <w:rsid w:val="00B41039"/>
    <w:rsid w:val="00B41F37"/>
    <w:rsid w:val="00B42987"/>
    <w:rsid w:val="00B444AE"/>
    <w:rsid w:val="00B45E75"/>
    <w:rsid w:val="00B50876"/>
    <w:rsid w:val="00B51074"/>
    <w:rsid w:val="00B54DAA"/>
    <w:rsid w:val="00B552E0"/>
    <w:rsid w:val="00B55AB0"/>
    <w:rsid w:val="00B55D9A"/>
    <w:rsid w:val="00B55EE5"/>
    <w:rsid w:val="00B61D42"/>
    <w:rsid w:val="00B66110"/>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5047"/>
    <w:rsid w:val="00CA6CC2"/>
    <w:rsid w:val="00CA71FF"/>
    <w:rsid w:val="00CB2393"/>
    <w:rsid w:val="00CB2456"/>
    <w:rsid w:val="00CB5276"/>
    <w:rsid w:val="00CB5BFC"/>
    <w:rsid w:val="00CB68D7"/>
    <w:rsid w:val="00CB785B"/>
    <w:rsid w:val="00CC3B83"/>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5590A"/>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EF7391"/>
    <w:rsid w:val="00F00C4B"/>
    <w:rsid w:val="00F038B0"/>
    <w:rsid w:val="00F05F34"/>
    <w:rsid w:val="00F22B27"/>
    <w:rsid w:val="00F234A7"/>
    <w:rsid w:val="00F277B6"/>
    <w:rsid w:val="00F27DA5"/>
    <w:rsid w:val="00F329A0"/>
    <w:rsid w:val="00F37E07"/>
    <w:rsid w:val="00F4182A"/>
    <w:rsid w:val="00F464ED"/>
    <w:rsid w:val="00F54380"/>
    <w:rsid w:val="00F54B47"/>
    <w:rsid w:val="00F61247"/>
    <w:rsid w:val="00F61F61"/>
    <w:rsid w:val="00F63191"/>
    <w:rsid w:val="00F6702E"/>
    <w:rsid w:val="00F678AF"/>
    <w:rsid w:val="00F70E84"/>
    <w:rsid w:val="00F80685"/>
    <w:rsid w:val="00F857F4"/>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AE2E49"/>
    <w:pPr>
      <w:autoSpaceDE w:val="0"/>
      <w:autoSpaceDN w:val="0"/>
      <w:adjustRightInd w:val="0"/>
      <w:ind w:left="1440"/>
    </w:pPr>
    <w:rPr>
      <w:sz w:val="24"/>
      <w:szCs w:val="24"/>
    </w:rPr>
  </w:style>
  <w:style w:type="paragraph" w:customStyle="1" w:styleId="Level1">
    <w:name w:val="Level 1"/>
    <w:rsid w:val="00AE2E49"/>
    <w:pPr>
      <w:autoSpaceDE w:val="0"/>
      <w:autoSpaceDN w:val="0"/>
      <w:adjustRightInd w:val="0"/>
      <w:ind w:left="720"/>
    </w:pPr>
    <w:rPr>
      <w:sz w:val="24"/>
      <w:szCs w:val="24"/>
    </w:rPr>
  </w:style>
  <w:style w:type="character" w:styleId="Hyperlink">
    <w:name w:val="Hyperlink"/>
    <w:uiPriority w:val="99"/>
    <w:unhideWhenUsed/>
    <w:rsid w:val="00AE2E49"/>
    <w:rPr>
      <w:color w:val="0000FF"/>
      <w:u w:val="single"/>
    </w:rPr>
  </w:style>
  <w:style w:type="paragraph" w:styleId="BalloonText">
    <w:name w:val="Balloon Text"/>
    <w:basedOn w:val="Normal"/>
    <w:link w:val="BalloonTextChar"/>
    <w:semiHidden/>
    <w:unhideWhenUsed/>
    <w:rsid w:val="007340D1"/>
    <w:rPr>
      <w:rFonts w:ascii="Segoe UI" w:hAnsi="Segoe UI" w:cs="Segoe UI"/>
      <w:sz w:val="18"/>
      <w:szCs w:val="18"/>
    </w:rPr>
  </w:style>
  <w:style w:type="character" w:customStyle="1" w:styleId="BalloonTextChar">
    <w:name w:val="Balloon Text Char"/>
    <w:basedOn w:val="DefaultParagraphFont"/>
    <w:link w:val="BalloonText"/>
    <w:semiHidden/>
    <w:rsid w:val="007340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scovery-gcl@psc.state.fl.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9F634-0BFE-40DB-ADE5-F082382B2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13</Pages>
  <Words>5036</Words>
  <Characters>28709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2025-03-05T16:07:00Z</dcterms:created>
  <dcterms:modified xsi:type="dcterms:W3CDTF">2025-03-05T18:00:00Z</dcterms:modified>
</cp:coreProperties>
</file>