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815C3">
            <w:pPr>
              <w:pStyle w:val="MemoHeading"/>
            </w:pPr>
            <w:bookmarkStart w:id="1" w:name="FilingDate"/>
            <w:r>
              <w:t>March 20,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815C3" w:rsidRDefault="00D815C3">
            <w:pPr>
              <w:pStyle w:val="MemoHeading"/>
            </w:pPr>
            <w:bookmarkStart w:id="2" w:name="From"/>
            <w:r>
              <w:t>Division of Accounting and Finance (</w:t>
            </w:r>
            <w:r w:rsidR="006722AE">
              <w:t>Norris</w:t>
            </w:r>
            <w:r>
              <w:t>)</w:t>
            </w:r>
          </w:p>
          <w:p w:rsidR="00D815C3" w:rsidRDefault="00D815C3">
            <w:pPr>
              <w:pStyle w:val="MemoHeading"/>
            </w:pPr>
            <w:r>
              <w:t>Division of Economics (</w:t>
            </w:r>
            <w:r w:rsidR="006722AE">
              <w:t>Hampson</w:t>
            </w:r>
            <w:r>
              <w:t>)</w:t>
            </w:r>
          </w:p>
          <w:p w:rsidR="00D815C3" w:rsidRDefault="00D815C3">
            <w:pPr>
              <w:pStyle w:val="MemoHeading"/>
            </w:pPr>
            <w:r>
              <w:t>Office of the General Counsel (Stiller, Sparks)</w:t>
            </w:r>
          </w:p>
          <w:bookmarkEnd w:id="2"/>
          <w:p w:rsidR="007C0528" w:rsidRDefault="007C0528">
            <w:pPr>
              <w:pStyle w:val="MemoHeading"/>
            </w:pP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815C3">
            <w:pPr>
              <w:pStyle w:val="MemoHeadingRe"/>
            </w:pPr>
            <w:bookmarkStart w:id="3" w:name="Re"/>
            <w:r>
              <w:t>Docket No. 20250011-EI – Petition for rate increase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815C3" w:rsidP="00A61D78">
            <w:pPr>
              <w:pStyle w:val="MemoHeading"/>
            </w:pPr>
            <w:bookmarkStart w:id="4" w:name="AgendaDate"/>
            <w:r>
              <w:t>04/01/25</w:t>
            </w:r>
            <w:bookmarkEnd w:id="4"/>
            <w:r w:rsidR="007C0528">
              <w:t xml:space="preserve"> – </w:t>
            </w:r>
            <w:bookmarkStart w:id="5" w:name="PermittedStatus"/>
            <w:r>
              <w:t>Regular Agenda –</w:t>
            </w:r>
            <w:r w:rsidR="00A61D78">
              <w:t xml:space="preserve"> </w:t>
            </w:r>
            <w:r w:rsidR="00135E84">
              <w:t>Tariff Suspension</w:t>
            </w:r>
            <w:r w:rsidR="00135E84" w:rsidRPr="00135E84">
              <w:t xml:space="preserve"> – </w:t>
            </w:r>
            <w:r>
              <w:t>Participat</w:t>
            </w:r>
            <w:bookmarkEnd w:id="5"/>
            <w:r w:rsidR="00135E84">
              <w:t>ion is at the Commission’s D</w:t>
            </w:r>
            <w:r w:rsidR="00A61D78">
              <w:t>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815C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815C3">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722AE">
            <w:pPr>
              <w:pStyle w:val="MemoHeading"/>
            </w:pPr>
            <w:r>
              <w:t>04/29/2025 (60-day Suspension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815C3">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D815C3" w:rsidRPr="00F90BC0" w:rsidRDefault="006722AE" w:rsidP="00D815C3">
      <w:pPr>
        <w:pStyle w:val="BodyText"/>
      </w:pPr>
      <w:r>
        <w:t xml:space="preserve">On </w:t>
      </w:r>
      <w:r w:rsidR="00D815C3">
        <w:t>February 28, 2025</w:t>
      </w:r>
      <w:r w:rsidR="00D815C3" w:rsidRPr="00F90BC0">
        <w:t>, Florida Power &amp; Light Company (FPL or Company)</w:t>
      </w:r>
      <w:r>
        <w:t xml:space="preserve"> filed its petition for a permanent rate increase</w:t>
      </w:r>
      <w:r w:rsidR="00D815C3" w:rsidRPr="00F90BC0">
        <w:t xml:space="preserve">.  The Company is a public utility providing electric service as defined in Section 366.02, Florida Statutes (F.S.), </w:t>
      </w:r>
      <w:r w:rsidR="00D815C3">
        <w:t>to 6</w:t>
      </w:r>
      <w:r w:rsidR="00D815C3" w:rsidRPr="00F90BC0">
        <w:t xml:space="preserve"> million retail cus</w:t>
      </w:r>
      <w:r>
        <w:t>tomers throughout both Northwest Florida and the peninsula</w:t>
      </w:r>
      <w:r w:rsidR="00D815C3" w:rsidRPr="00F90BC0">
        <w:t>.</w:t>
      </w:r>
    </w:p>
    <w:p w:rsidR="00D815C3" w:rsidRPr="003A58B9" w:rsidRDefault="00D815C3" w:rsidP="00D815C3">
      <w:pPr>
        <w:pStyle w:val="BodyText"/>
      </w:pPr>
      <w:r w:rsidRPr="00F90BC0">
        <w:t>FPL has requested an increase in its retail rates and charges to generate $</w:t>
      </w:r>
      <w:r>
        <w:t>1.55</w:t>
      </w:r>
      <w:r w:rsidRPr="00F90BC0">
        <w:t xml:space="preserve"> billion in additional gross annual rev</w:t>
      </w:r>
      <w:r>
        <w:t>enue, effective January 1, 2026</w:t>
      </w:r>
      <w:r w:rsidRPr="00F90BC0">
        <w:t>. The Company also has requested an increase in its retail ra</w:t>
      </w:r>
      <w:r>
        <w:t>tes and charges to generate $9</w:t>
      </w:r>
      <w:r w:rsidR="00B60CE2">
        <w:t>27</w:t>
      </w:r>
      <w:r w:rsidRPr="00F90BC0">
        <w:t xml:space="preserve"> million in additional gross annual revenue, effective January 1</w:t>
      </w:r>
      <w:r>
        <w:t>, 2027</w:t>
      </w:r>
      <w:r w:rsidRPr="00F90BC0">
        <w:t xml:space="preserve">. </w:t>
      </w:r>
      <w:r w:rsidRPr="00F90BC0">
        <w:rPr>
          <w:color w:val="FF0000"/>
        </w:rPr>
        <w:t xml:space="preserve"> </w:t>
      </w:r>
      <w:r w:rsidRPr="009A631F">
        <w:t>FPL asserts that the combined incr</w:t>
      </w:r>
      <w:r w:rsidR="00666CB3">
        <w:t xml:space="preserve">eases will allow the Company an opportunity to </w:t>
      </w:r>
      <w:r w:rsidRPr="009A631F">
        <w:t>earn a</w:t>
      </w:r>
      <w:r>
        <w:t xml:space="preserve"> return on equity (ROE) midpoint of 11.90</w:t>
      </w:r>
      <w:r w:rsidRPr="009A631F">
        <w:t xml:space="preserve"> percent. The </w:t>
      </w:r>
      <w:r w:rsidRPr="009A631F">
        <w:lastRenderedPageBreak/>
        <w:t>Company based its requests on projected test years ending December 31, 20</w:t>
      </w:r>
      <w:r>
        <w:t>26</w:t>
      </w:r>
      <w:r w:rsidRPr="009A631F">
        <w:t xml:space="preserve"> and December 31, 20</w:t>
      </w:r>
      <w:r>
        <w:t>27</w:t>
      </w:r>
      <w:r w:rsidRPr="009A631F">
        <w:t xml:space="preserve">. FPL stated that these test years are the appropriate periods to be utilized because they best represent expected </w:t>
      </w:r>
      <w:r w:rsidR="00B60CE2">
        <w:t xml:space="preserve">revenues, costs, and investment </w:t>
      </w:r>
      <w:r w:rsidRPr="009A631F">
        <w:t>i</w:t>
      </w:r>
      <w:r w:rsidR="00B60CE2">
        <w:t>n the period immediately after the proposed</w:t>
      </w:r>
      <w:r w:rsidRPr="009A631F">
        <w:t xml:space="preserve"> base rates go into e</w:t>
      </w:r>
      <w:r w:rsidRPr="00FA1BCC">
        <w:t xml:space="preserve">ffect. FPL has also requested Solar Base Rate Adjustments </w:t>
      </w:r>
      <w:r>
        <w:t xml:space="preserve">(SoBRAs) </w:t>
      </w:r>
      <w:r w:rsidRPr="00FA1BCC">
        <w:t>of approximately $</w:t>
      </w:r>
      <w:r w:rsidR="00EF1F88">
        <w:t>296 million and $266 million for</w:t>
      </w:r>
      <w:r>
        <w:t xml:space="preserve"> 2028 and 2029</w:t>
      </w:r>
      <w:r w:rsidR="00EF1F88">
        <w:t xml:space="preserve">, respectively. The current proposal also includes </w:t>
      </w:r>
      <w:r w:rsidR="00E10EBB">
        <w:t xml:space="preserve">a Tax Adjustment Mechanism (TAM), which is </w:t>
      </w:r>
      <w:r w:rsidR="00EF1F88">
        <w:t xml:space="preserve">a non-cash accounting mechanism that accelerates the recording of deferred tax benefits over the proposed 4-year rate period by reversing certain deferred tax liabilities. </w:t>
      </w:r>
      <w:r w:rsidR="00A61D78">
        <w:t>FPL states it will use the TAM l</w:t>
      </w:r>
      <w:r w:rsidR="00EF1F88">
        <w:t>ike its predecessor</w:t>
      </w:r>
      <w:r w:rsidR="00A61D78">
        <w:t xml:space="preserve"> mechanism</w:t>
      </w:r>
      <w:r w:rsidR="00E10EBB">
        <w:t>, the theoretical depre</w:t>
      </w:r>
      <w:r w:rsidR="00A61D78">
        <w:t xml:space="preserve">ciation reserve surplus (RSAM), </w:t>
      </w:r>
      <w:r w:rsidR="00E10EBB">
        <w:t xml:space="preserve">to respond to changes in underlying revenues and expenses to avoid additional general base rate increases over the 4-year rate period. </w:t>
      </w:r>
      <w:r w:rsidR="00EF1F88">
        <w:t>In tot</w:t>
      </w:r>
      <w:r w:rsidR="009E6625">
        <w:t>al, the Company is requesting approximately $9.80</w:t>
      </w:r>
      <w:r w:rsidR="00EF1F88">
        <w:t xml:space="preserve"> billion </w:t>
      </w:r>
      <w:r w:rsidR="009E6625">
        <w:t>in additional revenue over the 4-year rate period.</w:t>
      </w:r>
      <w:r w:rsidR="00EF1F88">
        <w:t xml:space="preserve"> </w:t>
      </w:r>
      <w:r w:rsidRPr="003A58B9">
        <w:t>FPL did not request any interim rate relief.</w:t>
      </w:r>
    </w:p>
    <w:p w:rsidR="00D815C3" w:rsidRPr="00902B7E" w:rsidRDefault="00D815C3" w:rsidP="00D815C3">
      <w:pPr>
        <w:pStyle w:val="BodyText"/>
      </w:pPr>
      <w:r w:rsidRPr="00FB7192">
        <w:t>In FPL’s m</w:t>
      </w:r>
      <w:r w:rsidR="00A61D78">
        <w:t xml:space="preserve">ost recent base rate proceeding, </w:t>
      </w:r>
      <w:r w:rsidRPr="00FB7192">
        <w:t xml:space="preserve">Docket No. </w:t>
      </w:r>
      <w:r>
        <w:t>20210015</w:t>
      </w:r>
      <w:r w:rsidRPr="00FB7192">
        <w:t>-EI, the Commission approved a settlement agreement which authorized a revenue increas</w:t>
      </w:r>
      <w:r w:rsidRPr="00902B7E">
        <w:t>e of $</w:t>
      </w:r>
      <w:r>
        <w:t>692</w:t>
      </w:r>
      <w:r w:rsidRPr="00902B7E">
        <w:t xml:space="preserve"> </w:t>
      </w:r>
      <w:r>
        <w:t>million effec</w:t>
      </w:r>
      <w:r w:rsidRPr="00E10EBB">
        <w:t>tive January 1, 2022, and a revenue increase of $560 million effective January 1, 2023.</w:t>
      </w:r>
      <w:r w:rsidRPr="00E10EBB">
        <w:rPr>
          <w:rStyle w:val="FootnoteReference"/>
        </w:rPr>
        <w:footnoteReference w:id="1"/>
      </w:r>
      <w:r w:rsidRPr="00E10EBB">
        <w:t xml:space="preserve"> The settlement agreement provided that retail base rates, with certain exceptions, would be frozen through the last billing cycle in December 2025. Section 16(g) of the settlement agreement permitted FPL to continue to amortize its </w:t>
      </w:r>
      <w:r w:rsidR="00B60CE2" w:rsidRPr="00E10EBB">
        <w:t>RSAM</w:t>
      </w:r>
      <w:r w:rsidRPr="00E10EBB">
        <w:t xml:space="preserve"> beyond December 31, 2025, if the Company provided notice to the Parties of the settlement agreement, prior to March 31, 2025, that it did not intend to seek a base rate increase with an effective date prior to January 1, 2027.</w:t>
      </w:r>
      <w:r w:rsidRPr="00E10EBB">
        <w:rPr>
          <w:rStyle w:val="FootnoteReference"/>
        </w:rPr>
        <w:footnoteReference w:id="2"/>
      </w:r>
      <w:r w:rsidRPr="00E10EBB">
        <w:t xml:space="preserve"> FPL </w:t>
      </w:r>
      <w:r w:rsidR="00B61F46">
        <w:t>did not exercise</w:t>
      </w:r>
      <w:r w:rsidRPr="00E10EBB">
        <w:t xml:space="preserve"> this option.</w:t>
      </w:r>
      <w:r>
        <w:t xml:space="preserve"> </w:t>
      </w:r>
    </w:p>
    <w:p w:rsidR="00D815C3" w:rsidRPr="00F61C22" w:rsidRDefault="00D815C3" w:rsidP="00D815C3">
      <w:pPr>
        <w:pStyle w:val="BodyText"/>
      </w:pPr>
      <w:r w:rsidRPr="00B5500C">
        <w:t xml:space="preserve">On January </w:t>
      </w:r>
      <w:r>
        <w:t>15</w:t>
      </w:r>
      <w:r w:rsidRPr="00B5500C">
        <w:t>, 20</w:t>
      </w:r>
      <w:r>
        <w:t>25</w:t>
      </w:r>
      <w:r w:rsidRPr="00B5500C">
        <w:t>, the Commission acknowledged the Office of Public Counsel’s notice of intervention in this proceeding</w:t>
      </w:r>
      <w:r w:rsidRPr="00AC2772">
        <w:t>.</w:t>
      </w:r>
      <w:r w:rsidRPr="00AC2772">
        <w:rPr>
          <w:rStyle w:val="FootnoteReference"/>
        </w:rPr>
        <w:footnoteReference w:id="3"/>
      </w:r>
      <w:r w:rsidR="004166DA" w:rsidRPr="00AC2772">
        <w:t xml:space="preserve"> On March 17, 2025, the Commission </w:t>
      </w:r>
      <w:r w:rsidR="00AC2772" w:rsidRPr="00AC2772">
        <w:t>granted petitions to intervene</w:t>
      </w:r>
      <w:r w:rsidR="004166DA" w:rsidRPr="00AC2772">
        <w:t xml:space="preserve"> filed by Florida Rising, Inc. (FL Rising), League of United Latin American Citizens of Florida (LULAC), and Environmental Confederation of Southwest Florida, Inc. (ECOSWF); Florida Industrial Power Users Group (FIPUG); Southern Alliance for Clean Energy (SACE); and Florida Executive Agencies (FEA).</w:t>
      </w:r>
      <w:r w:rsidR="004166DA" w:rsidRPr="00AC2772">
        <w:rPr>
          <w:rStyle w:val="FootnoteReference"/>
        </w:rPr>
        <w:footnoteReference w:id="4"/>
      </w:r>
      <w:r w:rsidRPr="00AC2772">
        <w:t xml:space="preserve"> A h</w:t>
      </w:r>
      <w:r w:rsidRPr="00F61C22">
        <w:t xml:space="preserve">earing has been </w:t>
      </w:r>
      <w:r w:rsidR="009C19D1">
        <w:t xml:space="preserve">tentatively </w:t>
      </w:r>
      <w:r w:rsidRPr="00F61C22">
        <w:t xml:space="preserve">scheduled for August </w:t>
      </w:r>
      <w:r>
        <w:t>11-22</w:t>
      </w:r>
      <w:r w:rsidRPr="00F61C22">
        <w:t>, 20</w:t>
      </w:r>
      <w:r>
        <w:t>25</w:t>
      </w:r>
      <w:r w:rsidRPr="00F61C22">
        <w:t>.</w:t>
      </w:r>
    </w:p>
    <w:p w:rsidR="004166DA" w:rsidRDefault="00D815C3" w:rsidP="00D815C3">
      <w:pPr>
        <w:pStyle w:val="BodyText"/>
        <w:sectPr w:rsidR="004166DA" w:rsidSect="0068481F">
          <w:pgSz w:w="12240" w:h="15840" w:code="1"/>
          <w:pgMar w:top="1584" w:right="1440" w:bottom="1440" w:left="1440" w:header="720" w:footer="720" w:gutter="0"/>
          <w:cols w:space="720"/>
          <w:formProt w:val="0"/>
          <w:docGrid w:linePitch="360"/>
        </w:sectPr>
      </w:pPr>
      <w:r w:rsidRPr="00F61C22">
        <w:t>This recommendation addresses the suspension of the requested permanent rate increase. The Commission has jurisdiction over this matter pursuant to Sections 366.06(2) and (4), F.S.</w:t>
      </w:r>
    </w:p>
    <w:p w:rsidR="007C0528" w:rsidRDefault="007C0528">
      <w:pPr>
        <w:pStyle w:val="RecommendationMajorSectionHeading"/>
      </w:pPr>
      <w:bookmarkStart w:id="13" w:name="DiscussionOfIssues"/>
      <w:bookmarkEnd w:id="11"/>
      <w:r>
        <w:lastRenderedPageBreak/>
        <w:t>Discussion of Issues</w:t>
      </w:r>
    </w:p>
    <w:bookmarkEnd w:id="13"/>
    <w:p w:rsidR="00D815C3" w:rsidRDefault="00D815C3">
      <w:pPr>
        <w:pStyle w:val="IssueHeading"/>
        <w:rPr>
          <w:vanish/>
          <w:specVanish/>
        </w:rPr>
      </w:pPr>
      <w:r w:rsidRPr="004C3641">
        <w:t xml:space="preserve">Issue </w:t>
      </w:r>
      <w:r w:rsidR="0065686A">
        <w:fldChar w:fldCharType="begin"/>
      </w:r>
      <w:r w:rsidR="0065686A">
        <w:instrText xml:space="preserve"> SEQ Issue \* MERGEFORMAT </w:instrText>
      </w:r>
      <w:r w:rsidR="0065686A">
        <w:fldChar w:fldCharType="separate"/>
      </w:r>
      <w:r>
        <w:rPr>
          <w:noProof/>
        </w:rPr>
        <w:t>1</w:t>
      </w:r>
      <w:r w:rsidR="0065686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(Norris)" \l 1 </w:instrText>
      </w:r>
      <w:r>
        <w:fldChar w:fldCharType="end"/>
      </w:r>
      <w:r>
        <w:t> </w:t>
      </w:r>
    </w:p>
    <w:p w:rsidR="00D815C3" w:rsidRDefault="00D815C3">
      <w:pPr>
        <w:pStyle w:val="BodyText"/>
      </w:pPr>
      <w:r>
        <w:t> Should Florida Power &amp; Light Company's request for a $1.55 billion permanent rate increase effective January 1, 2026, a $9</w:t>
      </w:r>
      <w:r w:rsidR="00B60CE2">
        <w:t>27</w:t>
      </w:r>
      <w:r>
        <w:t xml:space="preserve"> million permanent increase effective </w:t>
      </w:r>
      <w:r w:rsidR="00A76B58">
        <w:t>January</w:t>
      </w:r>
      <w:r>
        <w:t xml:space="preserve"> 1, 2027, SoBRAs of approximately $</w:t>
      </w:r>
      <w:r w:rsidR="009C19D1" w:rsidRPr="009C19D1">
        <w:t>296 million and $266 million for 2028 and 2029, respectively</w:t>
      </w:r>
      <w:r>
        <w:t>, and the associated tariff revisions be suspended pending a final decision in this docket?</w:t>
      </w:r>
    </w:p>
    <w:p w:rsidR="00D815C3" w:rsidRPr="004C3641" w:rsidRDefault="00D815C3">
      <w:pPr>
        <w:pStyle w:val="IssueSubsectionHeading"/>
        <w:rPr>
          <w:vanish/>
          <w:specVanish/>
        </w:rPr>
      </w:pPr>
      <w:r w:rsidRPr="004C3641">
        <w:t>Recommendation: </w:t>
      </w:r>
    </w:p>
    <w:p w:rsidR="00D815C3" w:rsidRDefault="00D815C3">
      <w:pPr>
        <w:pStyle w:val="BodyText"/>
      </w:pPr>
      <w:r>
        <w:t xml:space="preserve"> Yes. The </w:t>
      </w:r>
      <w:r w:rsidRPr="001107E6">
        <w:t>$</w:t>
      </w:r>
      <w:r>
        <w:t>1.55</w:t>
      </w:r>
      <w:r w:rsidRPr="001107E6">
        <w:t xml:space="preserve"> billion permanent r</w:t>
      </w:r>
      <w:r>
        <w:t>ate increase effective January 1, 2026, a $9</w:t>
      </w:r>
      <w:r w:rsidR="00A76B58">
        <w:t>27</w:t>
      </w:r>
      <w:r w:rsidRPr="001107E6">
        <w:t xml:space="preserve"> million permanent r</w:t>
      </w:r>
      <w:r>
        <w:t>ate increase effective January 1, 2027</w:t>
      </w:r>
      <w:r w:rsidRPr="001107E6">
        <w:t xml:space="preserve">, </w:t>
      </w:r>
      <w:r>
        <w:t xml:space="preserve">SoBRAs of approximately </w:t>
      </w:r>
      <w:r w:rsidR="009C19D1" w:rsidRPr="009C19D1">
        <w:t>$296 million and $266 million for 2028 and 2029, respectively</w:t>
      </w:r>
      <w:r w:rsidRPr="001107E6">
        <w:t xml:space="preserve">, and the associated tariff revisions </w:t>
      </w:r>
      <w:r>
        <w:t xml:space="preserve">should </w:t>
      </w:r>
      <w:r w:rsidRPr="001107E6">
        <w:t>be suspended pending a final decision in this docket</w:t>
      </w:r>
      <w:r>
        <w:t>. (Norris)</w:t>
      </w:r>
    </w:p>
    <w:p w:rsidR="00D815C3" w:rsidRPr="004C3641" w:rsidRDefault="00D815C3">
      <w:pPr>
        <w:pStyle w:val="IssueSubsectionHeading"/>
        <w:rPr>
          <w:vanish/>
          <w:specVanish/>
        </w:rPr>
      </w:pPr>
      <w:r w:rsidRPr="004C3641">
        <w:t>Staff Analysis: </w:t>
      </w:r>
    </w:p>
    <w:p w:rsidR="00D815C3" w:rsidRPr="00792F0F" w:rsidRDefault="00D815C3" w:rsidP="00D815C3">
      <w:pPr>
        <w:pStyle w:val="BodyText"/>
      </w:pPr>
      <w:r>
        <w:t> </w:t>
      </w:r>
      <w:r w:rsidRPr="00792F0F">
        <w:t xml:space="preserve">FPL filed its petition, testimony, and minimum filing requirements on </w:t>
      </w:r>
      <w:r>
        <w:t>February 28, 2025</w:t>
      </w:r>
      <w:r w:rsidRPr="00792F0F">
        <w:t>.  The Company has requested an increase in its retail rates and charges to generate $</w:t>
      </w:r>
      <w:r>
        <w:t>1.55</w:t>
      </w:r>
      <w:r w:rsidRPr="00792F0F">
        <w:t xml:space="preserve"> billion in additional gross annual rev</w:t>
      </w:r>
      <w:r>
        <w:t>enue, effective January 1, 2026</w:t>
      </w:r>
      <w:r w:rsidRPr="00792F0F">
        <w:t>. FPL also has requested an increase in its retail rates and charges to generate $</w:t>
      </w:r>
      <w:r>
        <w:t>9</w:t>
      </w:r>
      <w:r w:rsidR="00B60CE2">
        <w:t>27</w:t>
      </w:r>
      <w:r w:rsidRPr="00792F0F">
        <w:t xml:space="preserve"> million in additional gross annual revenue, effective </w:t>
      </w:r>
      <w:r>
        <w:t>January 1, 2027</w:t>
      </w:r>
      <w:r w:rsidRPr="00792F0F">
        <w:t>. Further, FPL has requested SoBRA</w:t>
      </w:r>
      <w:r>
        <w:t xml:space="preserve">s of approximately </w:t>
      </w:r>
      <w:r w:rsidR="009C19D1" w:rsidRPr="009C19D1">
        <w:t>$296 million and $266 million for 2028 and 2029, respectively</w:t>
      </w:r>
      <w:r w:rsidRPr="00792F0F">
        <w:t>.</w:t>
      </w:r>
    </w:p>
    <w:p w:rsidR="00D815C3" w:rsidRPr="00792F0F" w:rsidRDefault="00D815C3" w:rsidP="00D815C3">
      <w:pPr>
        <w:pStyle w:val="BodyText"/>
      </w:pPr>
      <w:r w:rsidRPr="00792F0F">
        <w:t>Historically, the Commission has suspended requested permanent rate schedules in order to adequately and thoroughly examine the bas</w:t>
      </w:r>
      <w:r w:rsidR="00666CB3">
        <w:t>is</w:t>
      </w:r>
      <w:r w:rsidRPr="00792F0F">
        <w:t xml:space="preserve"> for the new rates. Suspension of a requested rate increase is authorized by Section 366.06(3), F.S., which provides:</w:t>
      </w:r>
    </w:p>
    <w:p w:rsidR="00D815C3" w:rsidRPr="00792F0F" w:rsidRDefault="00D815C3" w:rsidP="00D815C3">
      <w:pPr>
        <w:pStyle w:val="BodyText"/>
        <w:ind w:left="576" w:right="576"/>
      </w:pPr>
      <w:r w:rsidRPr="00792F0F">
        <w:t>Pending a final order by the commission in any rate proceeding under this section, the commission may withhold consent to the operation of all or any portion of the new rate schedules, delivering to the utility requesting such increase, within 60 days, a reason or written statement of good cause for withholding its consent.</w:t>
      </w:r>
    </w:p>
    <w:p w:rsidR="00D815C3" w:rsidRDefault="00D815C3" w:rsidP="00D815C3">
      <w:pPr>
        <w:pStyle w:val="BodyText"/>
      </w:pPr>
      <w:r w:rsidRPr="00792F0F">
        <w:t>Staff recommends that the Commission suspend the requested permanent rate schedules to allow staff and any intervenors sufficient time to adequately investigate whether the request for permanent rate relief is appropriate</w:t>
      </w:r>
      <w:r>
        <w:t>.</w:t>
      </w:r>
    </w:p>
    <w:p w:rsidR="00D815C3" w:rsidRDefault="00D815C3">
      <w:pPr>
        <w:pStyle w:val="IssueHeading"/>
        <w:rPr>
          <w:vanish/>
          <w:specVanish/>
        </w:rPr>
      </w:pPr>
      <w:r w:rsidRPr="004C3641">
        <w:rPr>
          <w:b w:val="0"/>
          <w:i w:val="0"/>
        </w:rPr>
        <w:br w:type="page"/>
      </w:r>
      <w:r w:rsidRPr="004C3641">
        <w:t xml:space="preserve">Issue </w:t>
      </w:r>
      <w:r w:rsidR="0065686A">
        <w:fldChar w:fldCharType="begin"/>
      </w:r>
      <w:r w:rsidR="0065686A">
        <w:instrText xml:space="preserve"> SEQ Issue \* MERGEFORMAT </w:instrText>
      </w:r>
      <w:r w:rsidR="0065686A">
        <w:fldChar w:fldCharType="separate"/>
      </w:r>
      <w:r>
        <w:rPr>
          <w:noProof/>
        </w:rPr>
        <w:t>2</w:t>
      </w:r>
      <w:r w:rsidR="0065686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(Stiller)" \l 1 </w:instrText>
      </w:r>
      <w:r>
        <w:fldChar w:fldCharType="end"/>
      </w:r>
      <w:r>
        <w:t> </w:t>
      </w:r>
    </w:p>
    <w:p w:rsidR="00D815C3" w:rsidRDefault="00D815C3">
      <w:pPr>
        <w:pStyle w:val="BodyText"/>
      </w:pPr>
      <w:r>
        <w:t> Should this docket be closed?</w:t>
      </w:r>
    </w:p>
    <w:p w:rsidR="00D815C3" w:rsidRPr="004C3641" w:rsidRDefault="00D815C3">
      <w:pPr>
        <w:pStyle w:val="IssueSubsectionHeading"/>
        <w:rPr>
          <w:vanish/>
          <w:specVanish/>
        </w:rPr>
      </w:pPr>
      <w:r w:rsidRPr="004C3641">
        <w:t>Recommendation: </w:t>
      </w:r>
    </w:p>
    <w:p w:rsidR="00D815C3" w:rsidRDefault="00D815C3">
      <w:pPr>
        <w:pStyle w:val="BodyText"/>
      </w:pPr>
      <w:r>
        <w:t> </w:t>
      </w:r>
      <w:r w:rsidRPr="00DD19C5">
        <w:t>No, this docket should remain open to process the Company’s revenue increase request</w:t>
      </w:r>
      <w:r>
        <w:t>. (Stiller)</w:t>
      </w:r>
    </w:p>
    <w:p w:rsidR="00D815C3" w:rsidRPr="004C3641" w:rsidRDefault="00D815C3">
      <w:pPr>
        <w:pStyle w:val="IssueSubsectionHeading"/>
        <w:rPr>
          <w:vanish/>
          <w:specVanish/>
        </w:rPr>
      </w:pPr>
      <w:r w:rsidRPr="004C3641">
        <w:t>Staff Analysis: </w:t>
      </w:r>
    </w:p>
    <w:p w:rsidR="00D815C3" w:rsidRDefault="00D815C3">
      <w:pPr>
        <w:pStyle w:val="BodyText"/>
      </w:pPr>
      <w:r>
        <w:t> </w:t>
      </w:r>
      <w:r w:rsidRPr="00DD19C5">
        <w:t>This docket should remain open pending the Commission’s final resolution of the Company’s requested permanent base rate increase</w:t>
      </w:r>
      <w:r>
        <w:t>.</w:t>
      </w:r>
    </w:p>
    <w:p w:rsidR="00E06484" w:rsidRDefault="00E06484" w:rsidP="00E275D8">
      <w:pPr>
        <w:pStyle w:val="BodyText"/>
      </w:pPr>
    </w:p>
    <w:sectPr w:rsidR="00E06484" w:rsidSect="0068481F">
      <w:headerReference w:type="default" r:id="rId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5C3" w:rsidRDefault="00D815C3">
      <w:r>
        <w:separator/>
      </w:r>
    </w:p>
  </w:endnote>
  <w:endnote w:type="continuationSeparator" w:id="0">
    <w:p w:rsidR="00D815C3" w:rsidRDefault="00D8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5C3" w:rsidRDefault="00D815C3">
      <w:r>
        <w:separator/>
      </w:r>
    </w:p>
  </w:footnote>
  <w:footnote w:type="continuationSeparator" w:id="0">
    <w:p w:rsidR="00D815C3" w:rsidRDefault="00D815C3">
      <w:r>
        <w:continuationSeparator/>
      </w:r>
    </w:p>
  </w:footnote>
  <w:footnote w:id="1">
    <w:p w:rsidR="00D815C3" w:rsidRPr="009A57F5" w:rsidRDefault="00D815C3" w:rsidP="00D815C3">
      <w:pPr>
        <w:pStyle w:val="FootnoteText"/>
      </w:pPr>
      <w:r>
        <w:rPr>
          <w:rStyle w:val="FootnoteReference"/>
        </w:rPr>
        <w:footnoteRef/>
      </w:r>
      <w:r>
        <w:t xml:space="preserve">Order No. PSC-2021-0446-S-EI, issued December 2, 2021, in Docket No. 20210015-EI, </w:t>
      </w:r>
      <w:r w:rsidRPr="009A57F5">
        <w:rPr>
          <w:i/>
        </w:rPr>
        <w:t>In re: Petition for rate increase by Florida Power &amp; Light Company</w:t>
      </w:r>
      <w:r>
        <w:t>.</w:t>
      </w:r>
    </w:p>
  </w:footnote>
  <w:footnote w:id="2">
    <w:p w:rsidR="00D815C3" w:rsidRDefault="00D815C3" w:rsidP="00D815C3">
      <w:pPr>
        <w:pStyle w:val="FootnoteText"/>
      </w:pPr>
      <w:r>
        <w:rPr>
          <w:rStyle w:val="FootnoteReference"/>
        </w:rPr>
        <w:footnoteRef/>
      </w:r>
      <w:r w:rsidRPr="00326EC7">
        <w:rPr>
          <w:i/>
        </w:rPr>
        <w:t>Id.</w:t>
      </w:r>
    </w:p>
  </w:footnote>
  <w:footnote w:id="3">
    <w:p w:rsidR="00D815C3" w:rsidRPr="00AC2772" w:rsidRDefault="00D815C3" w:rsidP="00D815C3">
      <w:pPr>
        <w:pStyle w:val="FootnoteText"/>
      </w:pPr>
      <w:r>
        <w:rPr>
          <w:rStyle w:val="FootnoteReference"/>
        </w:rPr>
        <w:footnoteRef/>
      </w:r>
      <w:r>
        <w:t xml:space="preserve">Order No. PSC-2025-0020-PCO-EI, issued January 15, 2025, in Docket No. 20250011-EI, </w:t>
      </w:r>
      <w:r>
        <w:rPr>
          <w:i/>
        </w:rPr>
        <w:t xml:space="preserve">In re: Petition for rate </w:t>
      </w:r>
      <w:r w:rsidRPr="00AC2772">
        <w:rPr>
          <w:i/>
        </w:rPr>
        <w:t>increase by Florida Power &amp; Light Company</w:t>
      </w:r>
      <w:r w:rsidRPr="00AC2772">
        <w:t>.</w:t>
      </w:r>
    </w:p>
  </w:footnote>
  <w:footnote w:id="4">
    <w:p w:rsidR="004166DA" w:rsidRDefault="004166DA">
      <w:pPr>
        <w:pStyle w:val="FootnoteText"/>
      </w:pPr>
      <w:r w:rsidRPr="00AC2772">
        <w:rPr>
          <w:rStyle w:val="FootnoteReference"/>
        </w:rPr>
        <w:footnoteRef/>
      </w:r>
      <w:r w:rsidRPr="00AC2772">
        <w:t xml:space="preserve">Order Nos. PSC 2025-0078-PCO-EI; PSC-2025-0080-PCO-EI; PSC 2025-0079-PCO-EI; </w:t>
      </w:r>
      <w:r w:rsidR="00AC2772" w:rsidRPr="00AC2772">
        <w:t xml:space="preserve">and </w:t>
      </w:r>
      <w:r w:rsidRPr="00AC2772">
        <w:t xml:space="preserve">PSC-2025-0077-PCO-EI, issued March 17, 2025, in Docket No. 20250011-EI, </w:t>
      </w:r>
      <w:r w:rsidRPr="00AC2772">
        <w:rPr>
          <w:i/>
        </w:rPr>
        <w:t>In re: Petition for rate increase by Florida Power &amp; Light Company</w:t>
      </w:r>
      <w:r w:rsidRPr="00AC2772">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772" w:rsidRDefault="00AC277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20250011-EI</w:t>
    </w:r>
    <w:r>
      <w:fldChar w:fldCharType="end"/>
    </w:r>
    <w:r>
      <w:tab/>
      <w:t xml:space="preserve">Issue </w:t>
    </w:r>
    <w:r w:rsidR="0065686A">
      <w:fldChar w:fldCharType="begin"/>
    </w:r>
    <w:r w:rsidR="0065686A">
      <w:instrText xml:space="preserve"> Seq Issue \c \* Arabic </w:instrText>
    </w:r>
    <w:r w:rsidR="0065686A">
      <w:fldChar w:fldCharType="separate"/>
    </w:r>
    <w:r w:rsidR="000754D3">
      <w:rPr>
        <w:noProof/>
      </w:rPr>
      <w:t>2</w:t>
    </w:r>
    <w:r w:rsidR="0065686A">
      <w:rPr>
        <w:noProof/>
      </w:rPr>
      <w:fldChar w:fldCharType="end"/>
    </w:r>
  </w:p>
  <w:p w:rsidR="00AC2772" w:rsidRDefault="00AC2772">
    <w:pPr>
      <w:pStyle w:val="Header"/>
    </w:pPr>
    <w:r>
      <w:t xml:space="preserve">Date: </w:t>
    </w:r>
    <w:r w:rsidR="0065686A">
      <w:fldChar w:fldCharType="begin"/>
    </w:r>
    <w:r w:rsidR="0065686A">
      <w:instrText xml:space="preserve"> REF FilingDate </w:instrText>
    </w:r>
    <w:r w:rsidR="0065686A">
      <w:fldChar w:fldCharType="separate"/>
    </w:r>
    <w:r>
      <w:t>March 20, 2025</w:t>
    </w:r>
    <w:r w:rsidR="0065686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815C3"/>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54D3"/>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5E84"/>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0287"/>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384E"/>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58F2"/>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1C5"/>
    <w:rsid w:val="003F5F03"/>
    <w:rsid w:val="003F7FDD"/>
    <w:rsid w:val="00402101"/>
    <w:rsid w:val="00402481"/>
    <w:rsid w:val="004042B4"/>
    <w:rsid w:val="00410DC4"/>
    <w:rsid w:val="00412DAE"/>
    <w:rsid w:val="0041302D"/>
    <w:rsid w:val="004166DA"/>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6CB3"/>
    <w:rsid w:val="00667036"/>
    <w:rsid w:val="00667B89"/>
    <w:rsid w:val="006722AE"/>
    <w:rsid w:val="00673BDB"/>
    <w:rsid w:val="00674341"/>
    <w:rsid w:val="006771B8"/>
    <w:rsid w:val="00682631"/>
    <w:rsid w:val="00683A89"/>
    <w:rsid w:val="006843B6"/>
    <w:rsid w:val="0068481F"/>
    <w:rsid w:val="00693EA1"/>
    <w:rsid w:val="0069636F"/>
    <w:rsid w:val="00696F5D"/>
    <w:rsid w:val="00697249"/>
    <w:rsid w:val="006A06F3"/>
    <w:rsid w:val="006A1A67"/>
    <w:rsid w:val="006A2918"/>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07BA"/>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19D1"/>
    <w:rsid w:val="009C3253"/>
    <w:rsid w:val="009C3DB9"/>
    <w:rsid w:val="009C5968"/>
    <w:rsid w:val="009D0436"/>
    <w:rsid w:val="009D46E5"/>
    <w:rsid w:val="009D568A"/>
    <w:rsid w:val="009E33FF"/>
    <w:rsid w:val="009E6625"/>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1D78"/>
    <w:rsid w:val="00A675AC"/>
    <w:rsid w:val="00A7097D"/>
    <w:rsid w:val="00A7581F"/>
    <w:rsid w:val="00A76B58"/>
    <w:rsid w:val="00A81274"/>
    <w:rsid w:val="00A86ACA"/>
    <w:rsid w:val="00A92439"/>
    <w:rsid w:val="00A92FB1"/>
    <w:rsid w:val="00A95980"/>
    <w:rsid w:val="00A95A0C"/>
    <w:rsid w:val="00AA2765"/>
    <w:rsid w:val="00AA77B5"/>
    <w:rsid w:val="00AB6C5D"/>
    <w:rsid w:val="00AC2772"/>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0CE2"/>
    <w:rsid w:val="00B61F46"/>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67DB8"/>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74271"/>
    <w:rsid w:val="00D81563"/>
    <w:rsid w:val="00D815C3"/>
    <w:rsid w:val="00D837C1"/>
    <w:rsid w:val="00D84043"/>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10EBB"/>
    <w:rsid w:val="00E20A7D"/>
    <w:rsid w:val="00E23FE4"/>
    <w:rsid w:val="00E275D8"/>
    <w:rsid w:val="00E30F6A"/>
    <w:rsid w:val="00E3117C"/>
    <w:rsid w:val="00E31288"/>
    <w:rsid w:val="00E34307"/>
    <w:rsid w:val="00E34511"/>
    <w:rsid w:val="00E3635B"/>
    <w:rsid w:val="00E375C3"/>
    <w:rsid w:val="00E375CA"/>
    <w:rsid w:val="00E43B5B"/>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1F88"/>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7CF9CD2-5A5A-4BC7-AD81-0218528D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D815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72046-D946-4844-808A-5418CE90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966</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Cassie Gatlin</dc:creator>
  <cp:lastModifiedBy>Suzanne Hawkes</cp:lastModifiedBy>
  <cp:revision>2</cp:revision>
  <cp:lastPrinted>2004-01-27T20:32:00Z</cp:lastPrinted>
  <dcterms:created xsi:type="dcterms:W3CDTF">2025-03-20T11:55:00Z</dcterms:created>
  <dcterms:modified xsi:type="dcterms:W3CDTF">2025-03-20T11:55:00Z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20250011-EI</vt:lpwstr>
  </property>
  <property fmtid="{D5CDD505-2E9C-101B-9397-08002B2CF9AE}" pid="3" name="MasterDocument">
    <vt:bool>false</vt:bool>
  </property>
</Properties>
</file>