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1C9690C2"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71E5C5EE" w14:textId="77777777" w:rsidR="007C0528" w:rsidRDefault="007C0528" w:rsidP="00532DFB">
            <w:pPr>
              <w:pStyle w:val="MastHeadState"/>
            </w:pPr>
            <w:bookmarkStart w:id="0" w:name="_GoBack"/>
            <w:bookmarkEnd w:id="0"/>
            <w:r>
              <w:t>State of Florida</w:t>
            </w:r>
          </w:p>
          <w:p w14:paraId="16E726C3" w14:textId="77777777" w:rsidR="007C0528" w:rsidRDefault="00072CCA">
            <w:pPr>
              <w:jc w:val="center"/>
            </w:pPr>
            <w:r>
              <w:rPr>
                <w:noProof/>
              </w:rPr>
              <w:drawing>
                <wp:inline distT="0" distB="0" distL="0" distR="0" wp14:anchorId="1E6030C5" wp14:editId="6B3BAFDC">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3CC6BE83"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2F877FDB" w14:textId="2D433C16" w:rsidR="007C0528" w:rsidRDefault="007C0528">
            <w:pPr>
              <w:pStyle w:val="MastHeadPSC"/>
            </w:pPr>
            <w:r>
              <w:t>Public Service Commission</w:t>
            </w:r>
          </w:p>
          <w:p w14:paraId="7C40CD58" w14:textId="729B3464" w:rsidR="007C0528" w:rsidRDefault="007C0528">
            <w:pPr>
              <w:pStyle w:val="MastHeadAddress"/>
            </w:pPr>
            <w:r>
              <w:t>Capital Circle Office Center ● 2540 Shumard Oak Boulevard</w:t>
            </w:r>
            <w:r>
              <w:br/>
              <w:t>Tallahassee, Florida 32399-0850</w:t>
            </w:r>
          </w:p>
          <w:p w14:paraId="5D12B289" w14:textId="646CCFE4" w:rsidR="007C0528" w:rsidRDefault="007C0528">
            <w:pPr>
              <w:pStyle w:val="MastHeadMemorandum"/>
            </w:pPr>
            <w:r>
              <w:t>-M-E-M-O-R-A-N-D-U-M-</w:t>
            </w:r>
          </w:p>
          <w:p w14:paraId="31581E7E" w14:textId="4E96B4DC" w:rsidR="007C0528" w:rsidRDefault="007C0528">
            <w:pPr>
              <w:pStyle w:val="MemoHeading"/>
            </w:pPr>
          </w:p>
        </w:tc>
      </w:tr>
      <w:tr w:rsidR="007C0528" w14:paraId="3DB58E0B"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573C12CE"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36AA48BF" w14:textId="55AE99DA" w:rsidR="007C0528" w:rsidRDefault="00133906">
            <w:pPr>
              <w:pStyle w:val="MemoHeading"/>
            </w:pPr>
            <w:bookmarkStart w:id="1" w:name="FilingDate"/>
            <w:r>
              <w:t>March 20, 2025</w:t>
            </w:r>
            <w:bookmarkEnd w:id="1"/>
          </w:p>
        </w:tc>
      </w:tr>
      <w:tr w:rsidR="007C0528" w14:paraId="3F2C7DE6" w14:textId="77777777">
        <w:tc>
          <w:tcPr>
            <w:tcW w:w="1254" w:type="dxa"/>
            <w:tcBorders>
              <w:top w:val="nil"/>
              <w:left w:val="nil"/>
              <w:bottom w:val="nil"/>
              <w:right w:val="nil"/>
            </w:tcBorders>
            <w:shd w:val="clear" w:color="auto" w:fill="auto"/>
            <w:tcMar>
              <w:top w:w="288" w:type="dxa"/>
              <w:bottom w:w="0" w:type="dxa"/>
              <w:right w:w="0" w:type="dxa"/>
            </w:tcMar>
          </w:tcPr>
          <w:p w14:paraId="791720D9"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07541168" w14:textId="7A478914" w:rsidR="007C0528" w:rsidRDefault="007C0528" w:rsidP="0093658B">
            <w:pPr>
              <w:pStyle w:val="MemoHeading"/>
            </w:pPr>
            <w:r>
              <w:t>Office of Commission Clerk (</w:t>
            </w:r>
            <w:r w:rsidR="004E69B5">
              <w:t>Teitzman</w:t>
            </w:r>
            <w:r>
              <w:t>)</w:t>
            </w:r>
          </w:p>
        </w:tc>
      </w:tr>
      <w:tr w:rsidR="007C0528" w14:paraId="09CEC473" w14:textId="77777777">
        <w:tc>
          <w:tcPr>
            <w:tcW w:w="1254" w:type="dxa"/>
            <w:tcBorders>
              <w:top w:val="nil"/>
              <w:left w:val="nil"/>
              <w:bottom w:val="nil"/>
              <w:right w:val="nil"/>
            </w:tcBorders>
            <w:shd w:val="clear" w:color="auto" w:fill="auto"/>
            <w:tcMar>
              <w:top w:w="288" w:type="dxa"/>
              <w:right w:w="0" w:type="dxa"/>
            </w:tcMar>
          </w:tcPr>
          <w:p w14:paraId="28E6C675"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3858518B" w14:textId="7E898790" w:rsidR="00133906" w:rsidRDefault="00133906">
            <w:pPr>
              <w:pStyle w:val="MemoHeading"/>
            </w:pPr>
            <w:bookmarkStart w:id="2" w:name="From"/>
            <w:r>
              <w:t>Division of Accounting and Finance (Mason, Norris, Vogel)</w:t>
            </w:r>
          </w:p>
          <w:p w14:paraId="2F3D0F93" w14:textId="274E2B12" w:rsidR="00133906" w:rsidRDefault="00133906">
            <w:pPr>
              <w:pStyle w:val="MemoHeading"/>
            </w:pPr>
            <w:r>
              <w:t>Division of Economics (Galloway, Wu)</w:t>
            </w:r>
          </w:p>
          <w:p w14:paraId="548B3838" w14:textId="0768402F" w:rsidR="00133906" w:rsidRDefault="00133906">
            <w:pPr>
              <w:pStyle w:val="MemoHeading"/>
            </w:pPr>
            <w:r>
              <w:t>Division of Engineering (Davis, Ellis, King)</w:t>
            </w:r>
          </w:p>
          <w:p w14:paraId="7BF8908F" w14:textId="60A037FB" w:rsidR="007C0528" w:rsidRDefault="00133906">
            <w:pPr>
              <w:pStyle w:val="MemoHeading"/>
            </w:pPr>
            <w:r>
              <w:t>Office of the General Counsel (Stiller, Crawford)</w:t>
            </w:r>
            <w:bookmarkEnd w:id="2"/>
          </w:p>
        </w:tc>
      </w:tr>
      <w:tr w:rsidR="007C0528" w14:paraId="1D3B254A" w14:textId="77777777">
        <w:tc>
          <w:tcPr>
            <w:tcW w:w="1254" w:type="dxa"/>
            <w:tcBorders>
              <w:top w:val="nil"/>
              <w:left w:val="nil"/>
              <w:bottom w:val="nil"/>
              <w:right w:val="nil"/>
            </w:tcBorders>
            <w:shd w:val="clear" w:color="auto" w:fill="auto"/>
            <w:tcMar>
              <w:top w:w="288" w:type="dxa"/>
              <w:right w:w="0" w:type="dxa"/>
            </w:tcMar>
          </w:tcPr>
          <w:p w14:paraId="5C53250D"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7CC1432E" w14:textId="34DB895D" w:rsidR="007C0528" w:rsidRDefault="00133906">
            <w:pPr>
              <w:pStyle w:val="MemoHeadingRe"/>
            </w:pPr>
            <w:bookmarkStart w:id="3" w:name="Re"/>
            <w:r>
              <w:t>Docket No. 20240155-EI – Petition for approval of accounting treatment for the transfer of proportional share of Plant Daniel Units 1 and 2 to Mississippi Power Company, by Florida Power &amp; Light Company.</w:t>
            </w:r>
            <w:bookmarkEnd w:id="3"/>
          </w:p>
        </w:tc>
      </w:tr>
      <w:tr w:rsidR="007C0528" w14:paraId="134203D4" w14:textId="77777777">
        <w:tc>
          <w:tcPr>
            <w:tcW w:w="1254" w:type="dxa"/>
            <w:tcBorders>
              <w:top w:val="nil"/>
              <w:left w:val="nil"/>
              <w:bottom w:val="nil"/>
              <w:right w:val="nil"/>
            </w:tcBorders>
            <w:shd w:val="clear" w:color="auto" w:fill="auto"/>
            <w:tcMar>
              <w:top w:w="288" w:type="dxa"/>
              <w:bottom w:w="0" w:type="dxa"/>
              <w:right w:w="0" w:type="dxa"/>
            </w:tcMar>
          </w:tcPr>
          <w:p w14:paraId="011238D1"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331A4E7E" w14:textId="687EE315" w:rsidR="007C0528" w:rsidRDefault="00133906">
            <w:pPr>
              <w:pStyle w:val="MemoHeading"/>
            </w:pPr>
            <w:bookmarkStart w:id="4" w:name="AgendaDate"/>
            <w:r>
              <w:t>04/01/25</w:t>
            </w:r>
            <w:bookmarkEnd w:id="4"/>
            <w:r w:rsidR="007C0528">
              <w:t xml:space="preserve"> – </w:t>
            </w:r>
            <w:bookmarkStart w:id="5" w:name="PermittedStatus"/>
            <w:r>
              <w:t>Regular Agenda –</w:t>
            </w:r>
            <w:r w:rsidR="00020F0B">
              <w:t xml:space="preserve"> Proposed Agency Action –</w:t>
            </w:r>
            <w:r>
              <w:t xml:space="preserve"> Interested Persons May Participate</w:t>
            </w:r>
            <w:bookmarkEnd w:id="5"/>
          </w:p>
        </w:tc>
      </w:tr>
      <w:tr w:rsidR="007C0528" w14:paraId="7500149C" w14:textId="77777777">
        <w:tc>
          <w:tcPr>
            <w:tcW w:w="3690" w:type="dxa"/>
            <w:gridSpan w:val="3"/>
            <w:tcBorders>
              <w:top w:val="nil"/>
              <w:left w:val="nil"/>
              <w:bottom w:val="nil"/>
              <w:right w:val="nil"/>
            </w:tcBorders>
            <w:shd w:val="clear" w:color="auto" w:fill="auto"/>
            <w:tcMar>
              <w:top w:w="288" w:type="dxa"/>
              <w:bottom w:w="0" w:type="dxa"/>
              <w:right w:w="0" w:type="dxa"/>
            </w:tcMar>
          </w:tcPr>
          <w:p w14:paraId="6699A901"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2FF56A69" w14:textId="1234B6F2" w:rsidR="007C0528" w:rsidRDefault="00133906">
            <w:pPr>
              <w:pStyle w:val="MemoHeading"/>
            </w:pPr>
            <w:bookmarkStart w:id="6" w:name="CommissionersAssigned"/>
            <w:r>
              <w:t>All Commissioners</w:t>
            </w:r>
            <w:bookmarkEnd w:id="6"/>
          </w:p>
        </w:tc>
      </w:tr>
      <w:tr w:rsidR="007C0528" w14:paraId="32375A45" w14:textId="77777777">
        <w:tc>
          <w:tcPr>
            <w:tcW w:w="3690" w:type="dxa"/>
            <w:gridSpan w:val="3"/>
            <w:tcBorders>
              <w:top w:val="nil"/>
              <w:left w:val="nil"/>
              <w:bottom w:val="nil"/>
              <w:right w:val="nil"/>
            </w:tcBorders>
            <w:shd w:val="clear" w:color="auto" w:fill="auto"/>
            <w:tcMar>
              <w:top w:w="288" w:type="dxa"/>
              <w:bottom w:w="0" w:type="dxa"/>
              <w:right w:w="0" w:type="dxa"/>
            </w:tcMar>
          </w:tcPr>
          <w:p w14:paraId="1F23960A"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333FD0BB" w14:textId="59D98E9A" w:rsidR="007C0528" w:rsidRDefault="00133906">
            <w:pPr>
              <w:pStyle w:val="MemoHeading"/>
            </w:pPr>
            <w:bookmarkStart w:id="7" w:name="PrehearingOfficer"/>
            <w:r>
              <w:t>Fay</w:t>
            </w:r>
            <w:bookmarkEnd w:id="7"/>
          </w:p>
        </w:tc>
      </w:tr>
      <w:tr w:rsidR="007C0528" w14:paraId="56393046"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108ED5B9"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52A9C6B7" w14:textId="74990CF2" w:rsidR="007C0528" w:rsidRDefault="00133906">
            <w:pPr>
              <w:pStyle w:val="MemoHeading"/>
            </w:pPr>
            <w:bookmarkStart w:id="9" w:name="CriticalDates"/>
            <w:r>
              <w:t>None</w:t>
            </w:r>
            <w:bookmarkEnd w:id="9"/>
          </w:p>
        </w:tc>
      </w:tr>
      <w:tr w:rsidR="007C0528" w14:paraId="7BA86653"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6AFDC671"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24B2D52A" w14:textId="65A8621A" w:rsidR="007C0528" w:rsidRDefault="00133906">
            <w:pPr>
              <w:pStyle w:val="MemoHeading"/>
            </w:pPr>
            <w:bookmarkStart w:id="10" w:name="SpecialInstructions"/>
            <w:r>
              <w:t>None</w:t>
            </w:r>
            <w:bookmarkEnd w:id="10"/>
          </w:p>
        </w:tc>
      </w:tr>
    </w:tbl>
    <w:p w14:paraId="066A7598" w14:textId="6B9E95D4" w:rsidR="007C0528" w:rsidRDefault="007C0528">
      <w:pPr>
        <w:pStyle w:val="BodyText"/>
      </w:pPr>
    </w:p>
    <w:p w14:paraId="3D2DEA03" w14:textId="5ED4183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25774BDC" w14:textId="3E057BB5" w:rsidR="00133906" w:rsidRPr="00EB0D38" w:rsidRDefault="00133906" w:rsidP="00133906">
      <w:pPr>
        <w:pStyle w:val="BodyText"/>
      </w:pPr>
      <w:r>
        <w:t>On November 8, 2024</w:t>
      </w:r>
      <w:r w:rsidR="00D4677E">
        <w:t>,</w:t>
      </w:r>
      <w:r>
        <w:t xml:space="preserve"> Florida Power </w:t>
      </w:r>
      <w:r w:rsidR="005F2ABE">
        <w:t>&amp;</w:t>
      </w:r>
      <w:r w:rsidR="00020F0B">
        <w:t xml:space="preserve"> Light Company (FPL or the Company</w:t>
      </w:r>
      <w:r>
        <w:t>) filed a petition for approval to transfer FPL’s 50</w:t>
      </w:r>
      <w:r w:rsidR="00E6114A">
        <w:t xml:space="preserve"> percent</w:t>
      </w:r>
      <w:r>
        <w:t xml:space="preserve"> shar</w:t>
      </w:r>
      <w:r w:rsidR="00020F0B">
        <w:t>e of Plant Daniel Units 1 &amp; 2 (Units 1 &amp; 2</w:t>
      </w:r>
      <w:r>
        <w:t xml:space="preserve">) to </w:t>
      </w:r>
      <w:r w:rsidR="00020F0B">
        <w:t>Mississippi Power Company (MPC</w:t>
      </w:r>
      <w:r>
        <w:t>). This follows a 2019 acquisiti</w:t>
      </w:r>
      <w:r w:rsidR="00020F0B">
        <w:t>on of Gulf Power Company (Gulf</w:t>
      </w:r>
      <w:r>
        <w:t>) by Ne</w:t>
      </w:r>
      <w:r w:rsidR="00020F0B">
        <w:t>xtEra Energy, Inc. (NextEra</w:t>
      </w:r>
      <w:r>
        <w:t>), where NextEra gained control of Gulf’s 50</w:t>
      </w:r>
      <w:r w:rsidR="00E6114A">
        <w:t xml:space="preserve"> percent </w:t>
      </w:r>
      <w:r>
        <w:t xml:space="preserve">share of Units 1 &amp; 2 and transferred ownership to FPL. After Gulf’s acquisition, FPL announced it would continue with plans made by Gulf to retire its shares of Units 1 &amp; 2 by January 2024. FPL has stated that while its shares of Units 1 &amp; 2 have been retired, based on a 2022 operating agreement made between FPL and MPC, </w:t>
      </w:r>
      <w:r w:rsidR="00020F0B">
        <w:t>the Company is responsible for Common Facilities</w:t>
      </w:r>
      <w:r>
        <w:t xml:space="preserve"> costs, related to common ownership, until MPC retires </w:t>
      </w:r>
      <w:r w:rsidR="00892501">
        <w:t>its</w:t>
      </w:r>
      <w:r>
        <w:t xml:space="preserve"> shares in 2031. On November 8, 2024, </w:t>
      </w:r>
      <w:r>
        <w:lastRenderedPageBreak/>
        <w:t>FPL entered into a pu</w:t>
      </w:r>
      <w:r w:rsidR="00020F0B">
        <w:t>rchase and sale agreement (PSA</w:t>
      </w:r>
      <w:r>
        <w:t xml:space="preserve">) with MPC to transfer its </w:t>
      </w:r>
      <w:r w:rsidR="00D4677E">
        <w:t>shares of Units 1 &amp; 2 to MPC and pay MPC</w:t>
      </w:r>
      <w:r>
        <w:t xml:space="preserve"> $45 million</w:t>
      </w:r>
      <w:r w:rsidR="00020F0B">
        <w:t xml:space="preserve"> (the Transaction</w:t>
      </w:r>
      <w:r w:rsidR="00F44CB9">
        <w:t>)</w:t>
      </w:r>
      <w:r w:rsidR="00D4677E">
        <w:t>, to alleviate</w:t>
      </w:r>
      <w:r>
        <w:t xml:space="preserve"> FPL’s </w:t>
      </w:r>
      <w:r w:rsidR="00D4677E">
        <w:t xml:space="preserve">ongoing </w:t>
      </w:r>
      <w:r>
        <w:t xml:space="preserve">Common Facilities costs. FPL has stated that </w:t>
      </w:r>
      <w:r w:rsidRPr="00EB0D38">
        <w:t>this PSA will result in approximately $10 million in avoided costs per year fo</w:t>
      </w:r>
      <w:r w:rsidR="007D5FF4" w:rsidRPr="00EB0D38">
        <w:t xml:space="preserve">r the years 2025 through 2031. </w:t>
      </w:r>
    </w:p>
    <w:p w14:paraId="47CBF222" w14:textId="77777777" w:rsidR="00762084" w:rsidRPr="00EB0D38" w:rsidRDefault="00762084" w:rsidP="00762084">
      <w:pPr>
        <w:pStyle w:val="BodyText"/>
      </w:pPr>
      <w:r w:rsidRPr="00762084">
        <w:t>In the Petition, FPL also requested the Commission to authorize the Company to continue to accrue its proportional share of dismantlement costs in base rates.</w:t>
      </w:r>
    </w:p>
    <w:p w14:paraId="66D1D5E6" w14:textId="6B756FD4" w:rsidR="00B70D4C" w:rsidRPr="00EB0D38" w:rsidRDefault="00B70D4C" w:rsidP="00133906">
      <w:pPr>
        <w:pStyle w:val="BodyText"/>
      </w:pPr>
      <w:r w:rsidRPr="00EB0D38">
        <w:t>FPL is not requesting a regulatory asset for the remaining net book value of its ownership share of Units 1 &amp; 2</w:t>
      </w:r>
      <w:r w:rsidR="00AB24E5" w:rsidRPr="00EB0D38">
        <w:t xml:space="preserve"> in the instant docket</w:t>
      </w:r>
      <w:r w:rsidRPr="00EB0D38">
        <w:t xml:space="preserve">. Since FPL’s retirement of the units, the Company has reflected the estimated remaining investment as a negative amount in the accumulated reserve for the respective plant accounts, and has continued its depreciation for the retirements using rates approved as part of </w:t>
      </w:r>
      <w:r w:rsidR="00020F0B">
        <w:t>it</w:t>
      </w:r>
      <w:r w:rsidRPr="00EB0D38">
        <w:t>s 2017 rate</w:t>
      </w:r>
      <w:r w:rsidR="00020F0B">
        <w:t xml:space="preserve"> case</w:t>
      </w:r>
      <w:r w:rsidRPr="00EB0D38">
        <w:t xml:space="preserve"> settlement</w:t>
      </w:r>
      <w:r w:rsidR="00D4677E">
        <w:t>.</w:t>
      </w:r>
      <w:r w:rsidRPr="00EB0D38">
        <w:rPr>
          <w:rStyle w:val="FootnoteReference"/>
        </w:rPr>
        <w:footnoteReference w:id="1"/>
      </w:r>
    </w:p>
    <w:p w14:paraId="6CA5F76F" w14:textId="3FB9FD5B" w:rsidR="00133906" w:rsidRDefault="00133906" w:rsidP="00133906">
      <w:pPr>
        <w:pStyle w:val="BodyText"/>
      </w:pPr>
      <w:r w:rsidRPr="00EB0D38">
        <w:t xml:space="preserve">In FPL’s petition, the Company proposed the creation of a regulatory asset worth $39.3 million, representing the proportion of the transfer price associated with base rate components, to be collected over 10 years, beginning at FPL's next </w:t>
      </w:r>
      <w:r w:rsidR="00253ED0">
        <w:t xml:space="preserve">base </w:t>
      </w:r>
      <w:r w:rsidRPr="00EB0D38">
        <w:t>rate adjustment. Until this adjustment</w:t>
      </w:r>
      <w:r w:rsidR="00020F0B">
        <w:t>,</w:t>
      </w:r>
      <w:r w:rsidRPr="00EB0D38">
        <w:t xml:space="preserve"> FPL has requested to continue recovering dismantlement and decommissioning costs related to Units 1 &amp; 2 in base rates. FPL also proposed the creation of a regulatory asset worth $5.7 million representing the proportion of the transfer price associated with environmental costs, to be recovered through the Envir</w:t>
      </w:r>
      <w:r w:rsidR="00020F0B">
        <w:t>onmental Cost Recovery Clause (ECRC</w:t>
      </w:r>
      <w:r w:rsidRPr="00EB0D38">
        <w:t>) over 10 years, beginning January 1, 2026. FPL has stated that it is still responsible for environmental costs for anything that occurred before the transfer, and has requested to continue recovering these costs through the ECRC. Until the balance on the regulatory assets has been fully recovered</w:t>
      </w:r>
      <w:r w:rsidR="00D4677E">
        <w:t>, FPL has requested that it receive</w:t>
      </w:r>
      <w:r w:rsidRPr="00EB0D38">
        <w:t xml:space="preserve"> a return based on the unamortized balance</w:t>
      </w:r>
      <w:r w:rsidR="00E6114A" w:rsidRPr="00EB0D38">
        <w:t>s of the regulatory assets</w:t>
      </w:r>
      <w:r w:rsidRPr="00EB0D38">
        <w:t xml:space="preserve">. </w:t>
      </w:r>
    </w:p>
    <w:p w14:paraId="18DB67B7" w14:textId="4A6E1505" w:rsidR="007F4CCB" w:rsidRDefault="007F4CCB" w:rsidP="00133906">
      <w:pPr>
        <w:pStyle w:val="BodyText"/>
      </w:pPr>
      <w:r>
        <w:t xml:space="preserve">The Office of Pubic Counsel (OPC) intervened in this docket on March 17, 2025, and its intervention was acknowledged in Order No. </w:t>
      </w:r>
      <w:r w:rsidRPr="007F4CCB">
        <w:t>PSC-2025-0083-PCO-EI</w:t>
      </w:r>
      <w:r>
        <w:t xml:space="preserve">, filed March 18, 2025. </w:t>
      </w:r>
    </w:p>
    <w:bookmarkEnd w:id="12"/>
    <w:p w14:paraId="0D468EAD" w14:textId="77777777" w:rsidR="00E6114A" w:rsidRPr="00C66BB5" w:rsidRDefault="00E6114A" w:rsidP="00E6114A">
      <w:pPr>
        <w:jc w:val="both"/>
        <w:rPr>
          <w:sz w:val="22"/>
          <w:szCs w:val="22"/>
        </w:rPr>
      </w:pPr>
      <w:r w:rsidRPr="00EB0D38">
        <w:rPr>
          <w:iCs/>
          <w:color w:val="000000"/>
        </w:rPr>
        <w:t>The Commission has jurisdiction pursuant to Sections 366.04, 366.06, and 366.07, Florida Statutes.</w:t>
      </w:r>
      <w:r w:rsidRPr="00C66BB5">
        <w:rPr>
          <w:iCs/>
          <w:color w:val="000000"/>
        </w:rPr>
        <w:t xml:space="preserve"> </w:t>
      </w:r>
    </w:p>
    <w:p w14:paraId="4C7B02E0"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262A1854" w14:textId="77777777" w:rsidR="007C0528" w:rsidRDefault="007C0528">
      <w:pPr>
        <w:pStyle w:val="RecommendationMajorSectionHeading"/>
      </w:pPr>
      <w:bookmarkStart w:id="16" w:name="DiscussionOfIssues"/>
      <w:r>
        <w:lastRenderedPageBreak/>
        <w:t>Discussion of Issues</w:t>
      </w:r>
    </w:p>
    <w:bookmarkEnd w:id="16"/>
    <w:p w14:paraId="37F416E6" w14:textId="6183FB6B" w:rsidR="00133906" w:rsidRDefault="00133906">
      <w:pPr>
        <w:pStyle w:val="IssueHeading"/>
        <w:rPr>
          <w:vanish/>
          <w:specVanish/>
        </w:rPr>
      </w:pPr>
      <w:r w:rsidRPr="004C3641">
        <w:t xml:space="preserve">Issue </w:t>
      </w:r>
      <w:r w:rsidR="00B46EDA">
        <w:fldChar w:fldCharType="begin"/>
      </w:r>
      <w:r w:rsidR="00B46EDA">
        <w:instrText xml:space="preserve"> SEQ Issue \* MERGEFORMAT </w:instrText>
      </w:r>
      <w:r w:rsidR="00B46EDA">
        <w:fldChar w:fldCharType="separate"/>
      </w:r>
      <w:r w:rsidR="007A2CB7">
        <w:rPr>
          <w:noProof/>
        </w:rPr>
        <w:t>1</w:t>
      </w:r>
      <w:r w:rsidR="00B46ED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A2CB7">
        <w:rPr>
          <w:noProof/>
        </w:rPr>
        <w:instrText>1</w:instrText>
      </w:r>
      <w:r>
        <w:fldChar w:fldCharType="end"/>
      </w:r>
      <w:r>
        <w:tab/>
        <w:instrText xml:space="preserve">" \l 1 </w:instrText>
      </w:r>
      <w:r>
        <w:fldChar w:fldCharType="end"/>
      </w:r>
      <w:r>
        <w:t> </w:t>
      </w:r>
    </w:p>
    <w:p w14:paraId="189F1697" w14:textId="1E4BB0C8" w:rsidR="00C67B95" w:rsidRDefault="00C67B95" w:rsidP="00C67B95">
      <w:pPr>
        <w:pStyle w:val="BodyText"/>
      </w:pPr>
      <w:r>
        <w:t> </w:t>
      </w:r>
      <w:r>
        <w:rPr>
          <w:bCs/>
        </w:rPr>
        <w:t>Is F</w:t>
      </w:r>
      <w:r w:rsidR="001B38A0">
        <w:rPr>
          <w:bCs/>
        </w:rPr>
        <w:t>PL</w:t>
      </w:r>
      <w:r>
        <w:rPr>
          <w:bCs/>
        </w:rPr>
        <w:t xml:space="preserve">’s proposed transfer of its 50 percent ownership in Units 1 and 2 to </w:t>
      </w:r>
      <w:r w:rsidR="001B38A0">
        <w:rPr>
          <w:bCs/>
        </w:rPr>
        <w:t>M</w:t>
      </w:r>
      <w:r w:rsidR="00786C09">
        <w:rPr>
          <w:bCs/>
        </w:rPr>
        <w:t>PC</w:t>
      </w:r>
      <w:r>
        <w:rPr>
          <w:bCs/>
        </w:rPr>
        <w:t xml:space="preserve"> reasonable and cost-effective?</w:t>
      </w:r>
    </w:p>
    <w:p w14:paraId="01FAC667" w14:textId="77777777" w:rsidR="008236F3" w:rsidRPr="008236F3" w:rsidRDefault="00133906" w:rsidP="008236F3">
      <w:pPr>
        <w:pStyle w:val="IssueSubsectionHeading"/>
        <w:rPr>
          <w:b w:val="0"/>
          <w:i w:val="0"/>
          <w:vanish/>
          <w:specVanish/>
        </w:rPr>
      </w:pPr>
      <w:r w:rsidRPr="008236F3">
        <w:rPr>
          <w:rStyle w:val="IssueSubsectionHeadingChar"/>
          <w:b/>
          <w:i/>
        </w:rPr>
        <w:t>Recommendation:</w:t>
      </w:r>
      <w:r w:rsidR="00C67B95" w:rsidRPr="008236F3">
        <w:rPr>
          <w:b w:val="0"/>
          <w:i w:val="0"/>
        </w:rPr>
        <w:t xml:space="preserve"> </w:t>
      </w:r>
    </w:p>
    <w:p w14:paraId="785C269E" w14:textId="06BC9A44" w:rsidR="00C67B95" w:rsidRDefault="008236F3" w:rsidP="00C67B95">
      <w:pPr>
        <w:pStyle w:val="BodyText"/>
      </w:pPr>
      <w:r>
        <w:t xml:space="preserve"> </w:t>
      </w:r>
      <w:r w:rsidR="00C67B95">
        <w:t>Yes. The PSA between FPL and MPC transferring FPL’s 50 pe</w:t>
      </w:r>
      <w:r w:rsidR="00786C09">
        <w:t xml:space="preserve">rcent ownership in Units 1 &amp; 2 </w:t>
      </w:r>
      <w:r w:rsidR="00C11357">
        <w:t>to MPC should be approved as</w:t>
      </w:r>
      <w:r w:rsidR="00C67B95">
        <w:t xml:space="preserve"> the PSA appears cost-effective. (Davis)</w:t>
      </w:r>
    </w:p>
    <w:p w14:paraId="4361D904" w14:textId="4721D7AF" w:rsidR="00133906" w:rsidRPr="004C3641" w:rsidRDefault="00133906" w:rsidP="008236F3">
      <w:pPr>
        <w:pStyle w:val="IssueSubsectionHeading"/>
        <w:rPr>
          <w:vanish/>
          <w:specVanish/>
        </w:rPr>
      </w:pPr>
      <w:r w:rsidRPr="004C3641">
        <w:t>Staff Analysis: </w:t>
      </w:r>
    </w:p>
    <w:p w14:paraId="322601C4" w14:textId="0AE865E5" w:rsidR="001B38A0" w:rsidRDefault="00133906" w:rsidP="00786C09">
      <w:pPr>
        <w:pStyle w:val="BodyText"/>
        <w:rPr>
          <w:b/>
          <w:i/>
        </w:rPr>
      </w:pPr>
      <w:r>
        <w:t> </w:t>
      </w:r>
      <w:r w:rsidR="001B38A0">
        <w:t xml:space="preserve">FPL is requesting Commission approval of the PSA with MPC which transfers FPL’s 50 percent ownership share of </w:t>
      </w:r>
      <w:r w:rsidR="00771868" w:rsidRPr="00771868">
        <w:t>Units 1 &amp; 2</w:t>
      </w:r>
      <w:r w:rsidR="00786C09" w:rsidRPr="00786C09">
        <w:t xml:space="preserve"> to MPC. Such approval would </w:t>
      </w:r>
      <w:r w:rsidR="001B38A0">
        <w:t xml:space="preserve">alleviate FPL’s share of ongoing cost responsibilities associated with the common facilities at </w:t>
      </w:r>
      <w:r w:rsidR="00771868" w:rsidRPr="00771868">
        <w:t>Units 1 &amp; 2</w:t>
      </w:r>
      <w:r w:rsidR="001B38A0">
        <w:t xml:space="preserve">. FPL is asking the Commission to determine that the PSA is in the best interest of its customers. To evaluate this, staff reviewed both the initial decision by FPL to retire its share of </w:t>
      </w:r>
      <w:r w:rsidR="00771868" w:rsidRPr="00771868">
        <w:t>Units 1 &amp; 2</w:t>
      </w:r>
      <w:r w:rsidR="001B38A0">
        <w:t xml:space="preserve"> and the PSA terms and conditions. </w:t>
      </w:r>
    </w:p>
    <w:p w14:paraId="771E8807" w14:textId="07E4E127" w:rsidR="001B38A0" w:rsidRDefault="001B38A0" w:rsidP="001B38A0">
      <w:pPr>
        <w:pStyle w:val="First-LevelSubheading"/>
      </w:pPr>
      <w:r>
        <w:t>Ownership Interests in Plant Daniel Units 1 &amp; 2</w:t>
      </w:r>
    </w:p>
    <w:p w14:paraId="69556DDA" w14:textId="6D0094FD" w:rsidR="001B38A0" w:rsidRDefault="001B38A0" w:rsidP="00786C09">
      <w:pPr>
        <w:pStyle w:val="BodyText"/>
        <w:rPr>
          <w:b/>
          <w:i/>
        </w:rPr>
      </w:pPr>
      <w:r>
        <w:t xml:space="preserve">Gulf acquired 50 percent ownership in </w:t>
      </w:r>
      <w:r w:rsidR="00771868" w:rsidRPr="00771868">
        <w:t>Units 1 &amp; 2</w:t>
      </w:r>
      <w:r>
        <w:t xml:space="preserve"> by sharing in the construction and operating expenses with MPC in 1976. A subsequent Plant Operating Agreement was established in 1981 between the two parties. In 2019, Gulf’s ownership in </w:t>
      </w:r>
      <w:r w:rsidR="00771868" w:rsidRPr="00771868">
        <w:t>Units 1 &amp; 2</w:t>
      </w:r>
      <w:r>
        <w:t xml:space="preserve"> was transferred to FPL following</w:t>
      </w:r>
      <w:r w:rsidR="00020F0B">
        <w:t xml:space="preserve"> the acquisition of Gulf by NextEra Energy, Inc.</w:t>
      </w:r>
      <w:r>
        <w:t>, the parent company of FPL. Following th</w:t>
      </w:r>
      <w:r w:rsidR="005764AE">
        <w:t>is transfer</w:t>
      </w:r>
      <w:r>
        <w:t xml:space="preserve">, FPL provided a notice to MPC that it intended to retire its share of </w:t>
      </w:r>
      <w:r w:rsidR="00771868" w:rsidRPr="00771868">
        <w:t>Units 1 &amp; 2</w:t>
      </w:r>
      <w:r>
        <w:t xml:space="preserve"> in January 2024. According to FPL’s petition, </w:t>
      </w:r>
      <w:r w:rsidR="00771868" w:rsidRPr="00771868">
        <w:t>Units 1 &amp; 2</w:t>
      </w:r>
      <w:r>
        <w:t xml:space="preserve"> were not needed for reliability and were inefficient compared to the other generating units in FPL’s fleet. In 2023, the average heat rate for </w:t>
      </w:r>
      <w:r w:rsidR="00771868" w:rsidRPr="00771868">
        <w:t>Units 1 &amp; 2</w:t>
      </w:r>
      <w:r>
        <w:t xml:space="preserve"> was 11,210 British thermal unit per kilowatt-hour</w:t>
      </w:r>
      <w:r w:rsidR="00020F0B" w:rsidRPr="00020F0B">
        <w:t xml:space="preserve"> </w:t>
      </w:r>
      <w:r w:rsidR="00020F0B">
        <w:t>(Btu/kWh</w:t>
      </w:r>
      <w:r>
        <w:t xml:space="preserve">) compared to an average of 7,032 Btu/kWh for the other FPL generating units. Therefore, FPL claims it was not feasible to consider using </w:t>
      </w:r>
      <w:r w:rsidR="00771868" w:rsidRPr="00771868">
        <w:t>Units 1 &amp; 2</w:t>
      </w:r>
      <w:r w:rsidR="00C11357">
        <w:t xml:space="preserve"> for economic dispatch, and that</w:t>
      </w:r>
      <w:r>
        <w:t xml:space="preserve"> </w:t>
      </w:r>
      <w:r w:rsidRPr="00FA501E">
        <w:t xml:space="preserve">FPL’s retirement of </w:t>
      </w:r>
      <w:r w:rsidR="00771868" w:rsidRPr="00771868">
        <w:t>Units 1 &amp; 2</w:t>
      </w:r>
      <w:r w:rsidR="00C11357">
        <w:t xml:space="preserve"> was</w:t>
      </w:r>
      <w:r w:rsidRPr="00FA501E">
        <w:t xml:space="preserve"> </w:t>
      </w:r>
      <w:r>
        <w:t>reasonable</w:t>
      </w:r>
      <w:r w:rsidRPr="00FA501E">
        <w:t xml:space="preserve"> since the units were no</w:t>
      </w:r>
      <w:r>
        <w:t xml:space="preserve">t needed at the time by FPL </w:t>
      </w:r>
      <w:r w:rsidR="00C11357">
        <w:t>for reliability purposes and the</w:t>
      </w:r>
      <w:r>
        <w:t xml:space="preserve"> retirement was projected to result in a net</w:t>
      </w:r>
      <w:r w:rsidR="005764AE">
        <w:t xml:space="preserve"> present value (NPV)</w:t>
      </w:r>
      <w:r>
        <w:t xml:space="preserve"> of $229 million for FPL’s customers</w:t>
      </w:r>
      <w:r w:rsidR="005764AE">
        <w:t xml:space="preserve"> based on a cumulative present value of revenue requirements (CPVRR) analysis</w:t>
      </w:r>
      <w:r>
        <w:t>.</w:t>
      </w:r>
    </w:p>
    <w:p w14:paraId="0D642109" w14:textId="61CED563" w:rsidR="001B38A0" w:rsidRDefault="001B38A0" w:rsidP="00786C09">
      <w:pPr>
        <w:pStyle w:val="BodyText"/>
        <w:rPr>
          <w:b/>
          <w:i/>
        </w:rPr>
      </w:pPr>
      <w:r>
        <w:t>In 2022, FPL and MPC negotiated an amendment to the 1981 Plant Operating Agreement between Gulf and MPC. This negotiation resulted in the 2022 Second Amended and Restated Pla</w:t>
      </w:r>
      <w:r w:rsidR="005764AE">
        <w:t>nt Daniel Operating Agreement (2022 Operating Agreement</w:t>
      </w:r>
      <w:r>
        <w:t xml:space="preserve">) which was used to adjust the cost allocation between FPL and MPC due to FPL’s announced retirement of </w:t>
      </w:r>
      <w:r w:rsidR="00771868">
        <w:t xml:space="preserve">share of </w:t>
      </w:r>
      <w:r w:rsidR="00771868" w:rsidRPr="00771868">
        <w:t>Units 1 &amp; 2</w:t>
      </w:r>
      <w:r>
        <w:t xml:space="preserve">. MPC had an option to purchase FPL’s 50 percent ownership of </w:t>
      </w:r>
      <w:r w:rsidR="00771868" w:rsidRPr="00771868">
        <w:t>Units 1 &amp; 2</w:t>
      </w:r>
      <w:r>
        <w:t xml:space="preserve"> for one dollar ($1.00) at any time 120 days prior to and including the retirement date of January 15, 2024, but did not exercise this option. In 2024, FPL engaged in discussions and negotiations with Southern Company, the parent company of MPC, to reduce or eliminate costs associated with </w:t>
      </w:r>
      <w:r w:rsidR="005764AE">
        <w:t>FPL’s</w:t>
      </w:r>
      <w:r>
        <w:t xml:space="preserve"> share of Plant Daniel. These discussions and negotiations culminated in</w:t>
      </w:r>
      <w:r w:rsidR="005764AE">
        <w:t xml:space="preserve"> the</w:t>
      </w:r>
      <w:r>
        <w:t xml:space="preserve"> PSA to transfer FPL’s share of </w:t>
      </w:r>
      <w:r w:rsidR="00771868" w:rsidRPr="00771868">
        <w:t>Units 1 &amp; 2</w:t>
      </w:r>
      <w:r>
        <w:t xml:space="preserve"> to MPC.  </w:t>
      </w:r>
    </w:p>
    <w:p w14:paraId="55540BC4" w14:textId="77777777" w:rsidR="001B38A0" w:rsidRDefault="001B38A0" w:rsidP="001B38A0">
      <w:pPr>
        <w:pStyle w:val="First-LevelSubheading"/>
      </w:pPr>
      <w:r>
        <w:t>Purchase and Sale Agreement</w:t>
      </w:r>
    </w:p>
    <w:p w14:paraId="14545292" w14:textId="51E7EDBE" w:rsidR="001B38A0" w:rsidRDefault="001B38A0" w:rsidP="00786C09">
      <w:pPr>
        <w:pStyle w:val="BodyText"/>
      </w:pPr>
      <w:r>
        <w:t xml:space="preserve">Under the 2022 Operating Agreement, FPL pays common facilities costs for ownership of </w:t>
      </w:r>
      <w:r w:rsidR="00771868" w:rsidRPr="00771868">
        <w:t>Units 1 &amp; 2</w:t>
      </w:r>
      <w:r>
        <w:t xml:space="preserve"> through MPC’s proposed retirement of </w:t>
      </w:r>
      <w:r w:rsidR="00771868" w:rsidRPr="00771868">
        <w:t>Units 1 &amp; 2</w:t>
      </w:r>
      <w:r>
        <w:t xml:space="preserve"> in 2031. These costs are approximately $10 million per year regardless of whether </w:t>
      </w:r>
      <w:r w:rsidR="00771868" w:rsidRPr="00771868">
        <w:t>Units 1 &amp; 2</w:t>
      </w:r>
      <w:r w:rsidR="00771868">
        <w:t xml:space="preserve"> are</w:t>
      </w:r>
      <w:r>
        <w:t xml:space="preserve"> providing service to FPL customers. The PSA required a $45 million payment by FPL to MPC, if the transaction closed on or before December 31, 2024, and eliminated all ongoing common facilities expenses and capital costs, including ad valorem tax associated with </w:t>
      </w:r>
      <w:r w:rsidR="00771868" w:rsidRPr="00771868">
        <w:t>Units 1 &amp; 2</w:t>
      </w:r>
      <w:r>
        <w:t>. If the transaction occurred after December 31, 2024, the Ad Valorem liability for the accrual year 2025 would stay with FPL and the transfer payment would be reduced by the same amount. In response to a staff data request, FPL stated that if the Commission approves this petition in April 2025, the most probable closing date would be July 2025, resulting in a transfer payment to MPC of approximately $36.02 million.</w:t>
      </w:r>
      <w:r>
        <w:rPr>
          <w:rStyle w:val="FootnoteReference"/>
        </w:rPr>
        <w:footnoteReference w:id="2"/>
      </w:r>
      <w:r>
        <w:t xml:space="preserve"> Under the PSA, FPL will relinquish its 50 percent interest in </w:t>
      </w:r>
      <w:r w:rsidR="00771868" w:rsidRPr="00771868">
        <w:t>Units 1 &amp; 2</w:t>
      </w:r>
      <w:r>
        <w:t xml:space="preserve"> and MPC will assume FPL’s share of certain operating costs and incremental liabilities created after the closing date. </w:t>
      </w:r>
    </w:p>
    <w:p w14:paraId="01F061E4" w14:textId="77777777" w:rsidR="001B38A0" w:rsidRDefault="001B38A0" w:rsidP="001B38A0">
      <w:pPr>
        <w:pStyle w:val="First-LevelSubheading"/>
      </w:pPr>
      <w:r>
        <w:t xml:space="preserve">PSA Cost-Effectiveness </w:t>
      </w:r>
    </w:p>
    <w:p w14:paraId="7DE819CD" w14:textId="3240D1DE" w:rsidR="001B38A0" w:rsidRDefault="001B38A0" w:rsidP="001B38A0">
      <w:pPr>
        <w:pStyle w:val="BodyText"/>
      </w:pPr>
      <w:r>
        <w:t xml:space="preserve">While FPL has retired its share of the Plant Daniel Units, it is still responsible for maintaining </w:t>
      </w:r>
      <w:r w:rsidRPr="00D65AD4">
        <w:t xml:space="preserve">the site and associated environmental concerns until </w:t>
      </w:r>
      <w:r w:rsidR="005764AE">
        <w:t>Plant Daniel</w:t>
      </w:r>
      <w:r w:rsidRPr="00D65AD4">
        <w:t xml:space="preserve"> has been decommissioned as a whole</w:t>
      </w:r>
      <w:r w:rsidR="005764AE">
        <w:t>, including MPC’s ownership share</w:t>
      </w:r>
      <w:r w:rsidRPr="00D65AD4">
        <w:t xml:space="preserve">. Operation and maintenance </w:t>
      </w:r>
      <w:r w:rsidR="00984F05">
        <w:t xml:space="preserve">exposures </w:t>
      </w:r>
      <w:r w:rsidRPr="00D65AD4">
        <w:t xml:space="preserve">and capital costs for projects such as security and water management are ongoing. FPL will not be obligated for most common facilities costs, but </w:t>
      </w:r>
      <w:r w:rsidR="00786C09">
        <w:t>it</w:t>
      </w:r>
      <w:r w:rsidRPr="00D65AD4">
        <w:t xml:space="preserve"> will remain obligated for common costs related to coal combustion residuals produced prior to the closing and decommissioning of </w:t>
      </w:r>
      <w:r w:rsidR="00771868" w:rsidRPr="00771868">
        <w:t>Units 1 &amp; 2</w:t>
      </w:r>
      <w:r w:rsidRPr="00D65AD4">
        <w:t xml:space="preserve">. </w:t>
      </w:r>
      <w:r>
        <w:t xml:space="preserve">In addition FPL is liable for 50 percent of the decommissioning costs both pre-closing and post-closing. </w:t>
      </w:r>
      <w:r w:rsidRPr="00D65AD4">
        <w:t>FPL’s petition asserted that the PSA results in a</w:t>
      </w:r>
      <w:r w:rsidR="005764AE">
        <w:t>n NPV</w:t>
      </w:r>
      <w:r w:rsidRPr="00D65AD4">
        <w:t xml:space="preserve"> savings to FPL’s customers of $13.4 million based on a 2031 retirement date by MPC and the PSA closing before December 31, 2024. </w:t>
      </w:r>
      <w:r>
        <w:t xml:space="preserve">The actual savings could be impacted by FPL’s future cost obligations identified above. </w:t>
      </w:r>
      <w:r w:rsidRPr="00D65AD4">
        <w:t>Staff reviewed MPC’s initial retirement date and reasons for subsequent retirement date extensions, which is discussed in greater detail below.</w:t>
      </w:r>
      <w:r>
        <w:t xml:space="preserve"> </w:t>
      </w:r>
    </w:p>
    <w:p w14:paraId="4C32D399" w14:textId="656EF859" w:rsidR="001B38A0" w:rsidRDefault="001B38A0" w:rsidP="001B38A0">
      <w:pPr>
        <w:pStyle w:val="Second-LevelSubheading"/>
      </w:pPr>
      <w:r>
        <w:t xml:space="preserve">MPC Retirement Date of Remaining Ownership Interest in </w:t>
      </w:r>
      <w:r w:rsidR="00771868" w:rsidRPr="00771868">
        <w:t>Units 1 &amp; 2</w:t>
      </w:r>
    </w:p>
    <w:p w14:paraId="54EC6461" w14:textId="0D0B140F" w:rsidR="001B38A0" w:rsidRDefault="001B38A0" w:rsidP="001B38A0">
      <w:pPr>
        <w:pStyle w:val="BodyText"/>
      </w:pPr>
      <w:r>
        <w:t xml:space="preserve">At the time the 2022 Operating Agreement was approved, MPC’s planned retirement date for its ownership share of </w:t>
      </w:r>
      <w:r w:rsidR="00771868" w:rsidRPr="00771868">
        <w:t>Units 1 &amp; 2</w:t>
      </w:r>
      <w:r>
        <w:t xml:space="preserve"> was 2027 based on its April 2021 Integrated Resource Plan (IRP) update. Subsequently, MPC’s 2024 IRP revised this retirement date to 2028 to meet near-term and medium-term capacity needs while new generation was being built, with further changes possible if capacity needs arose. On January 9, 2025, MPC notified its regulator, </w:t>
      </w:r>
      <w:r w:rsidR="00D716D0">
        <w:t xml:space="preserve">the </w:t>
      </w:r>
      <w:r>
        <w:t xml:space="preserve">Mississippi Public Service Commission, that </w:t>
      </w:r>
      <w:r w:rsidR="00786C09">
        <w:t>it ha</w:t>
      </w:r>
      <w:r w:rsidR="00D716D0">
        <w:t>d</w:t>
      </w:r>
      <w:r>
        <w:t xml:space="preserve"> entered into two separate electric service agreements, totaling approximately 600 MW of load, that would require extending the retirement date for </w:t>
      </w:r>
      <w:r w:rsidR="00771868" w:rsidRPr="00771868">
        <w:t>Units 1 &amp; 2</w:t>
      </w:r>
      <w:r>
        <w:t xml:space="preserve"> beyond 2028 and into the mid-2030s. Without the PSA, a retirement date beyond 2031 would increase the cost obligation of FPL’s customers, while consummation of the PSA would further increase the economic benefit to the same customers.</w:t>
      </w:r>
    </w:p>
    <w:p w14:paraId="0BD3C83D" w14:textId="0E62BB69" w:rsidR="001B38A0" w:rsidRDefault="001B38A0" w:rsidP="001B38A0">
      <w:pPr>
        <w:pStyle w:val="BodyText"/>
      </w:pPr>
      <w:r>
        <w:t xml:space="preserve">MPC’s retirement of </w:t>
      </w:r>
      <w:r w:rsidR="00771868" w:rsidRPr="00771868">
        <w:t>Units 1 &amp; 2</w:t>
      </w:r>
      <w:r>
        <w:t xml:space="preserve"> in 2031 is </w:t>
      </w:r>
      <w:r w:rsidR="00CB11F7">
        <w:t>currently</w:t>
      </w:r>
      <w:r w:rsidR="005764AE">
        <w:t xml:space="preserve"> the </w:t>
      </w:r>
      <w:r>
        <w:t xml:space="preserve">most probable </w:t>
      </w:r>
      <w:r w:rsidR="00CB11F7">
        <w:t>scenario</w:t>
      </w:r>
      <w:r w:rsidR="005764AE">
        <w:t xml:space="preserve"> </w:t>
      </w:r>
      <w:r>
        <w:t xml:space="preserve">due to </w:t>
      </w:r>
      <w:r w:rsidR="005764AE">
        <w:t>existing</w:t>
      </w:r>
      <w:r>
        <w:t xml:space="preserve"> US Environmental Protection Agency (EPA) greenhouse gas (GHG) rules which were finalized in April 2024. The rule</w:t>
      </w:r>
      <w:r w:rsidR="00D716D0">
        <w:t>s</w:t>
      </w:r>
      <w:r>
        <w:t xml:space="preserve"> require coal plants to convert to 100 percent gas operation or to install carbon capture equipment in order to remain operational beyond 2031. These costly modifications would most likely require MPC to retire </w:t>
      </w:r>
      <w:r w:rsidR="00771868" w:rsidRPr="00771868">
        <w:t>Units 1 &amp; 2</w:t>
      </w:r>
      <w:r>
        <w:t xml:space="preserve"> in 2031. However, if the EPA GHG rules are repealed, it may be economical for MPC to continue operating the units beyond 2031. The </w:t>
      </w:r>
      <w:r w:rsidR="005764AE">
        <w:t>NPV</w:t>
      </w:r>
      <w:r>
        <w:t xml:space="preserve"> savings would increase and make a retirement beyond 2031 more beneficial for FPL’s customers. Based on staff’s review, it is reasonable to assume that MPC’s share of </w:t>
      </w:r>
      <w:r w:rsidR="00771868" w:rsidRPr="00771868">
        <w:t>Units 1 &amp; 2</w:t>
      </w:r>
      <w:r>
        <w:t xml:space="preserve"> will continue to operate until at least 2031 based on currently available information and regulatory filings.</w:t>
      </w:r>
    </w:p>
    <w:p w14:paraId="56B58E52" w14:textId="77777777" w:rsidR="001B38A0" w:rsidRDefault="001B38A0" w:rsidP="001B38A0">
      <w:pPr>
        <w:pStyle w:val="Second-LevelSubheading"/>
      </w:pPr>
      <w:r>
        <w:t>Avoided Costs</w:t>
      </w:r>
    </w:p>
    <w:p w14:paraId="0E21C88B" w14:textId="6C27DE85" w:rsidR="001B38A0" w:rsidRDefault="001B38A0" w:rsidP="001B38A0">
      <w:pPr>
        <w:pStyle w:val="BodyText"/>
      </w:pPr>
      <w:r>
        <w:t xml:space="preserve">The common facilities expense includes FPL’s 50 percent allocation of common facilities O&amp;M and capital expenses, such as Jackson County (Mississippi) Port Authority’s Black Creek Cooling Facility maintenance projects, administrative and general expense, and property insurance. The Property/Ad Valorem Tax of $15.32 million </w:t>
      </w:r>
      <w:r w:rsidR="005764AE">
        <w:t>NPV</w:t>
      </w:r>
      <w:r>
        <w:t xml:space="preserve"> includes two years following retirement for decommissioning of </w:t>
      </w:r>
      <w:r w:rsidR="00771868" w:rsidRPr="00771868">
        <w:t>Units 1 &amp; 2</w:t>
      </w:r>
      <w:r>
        <w:t xml:space="preserve">. FPL assumes the transaction closing date takes place on July 31, 2025, which FPL identified as the expected closing date with an April 2025 Commission approval. These costs includes both expenses covered in base rates and </w:t>
      </w:r>
      <w:r w:rsidR="005764AE">
        <w:t>the ECRC</w:t>
      </w:r>
      <w:r>
        <w:t xml:space="preserve">. Using this date and its preferred recovery of the regulatory assets beginning January 1, 2026, FPL projects the estimated net benefit to customers is $13.4 million, assuming a complete retirement of </w:t>
      </w:r>
      <w:r w:rsidR="00771868" w:rsidRPr="00771868">
        <w:t>Units 1 &amp; 2</w:t>
      </w:r>
      <w:r>
        <w:t xml:space="preserve"> by MPC in 2031. Table 1-1 outlines the annual and </w:t>
      </w:r>
      <w:r w:rsidR="005764AE">
        <w:t>total NPV</w:t>
      </w:r>
      <w:r>
        <w:t xml:space="preserve"> values by category. </w:t>
      </w:r>
    </w:p>
    <w:p w14:paraId="41172D6D" w14:textId="77777777" w:rsidR="001B38A0" w:rsidRDefault="001B38A0" w:rsidP="001B38A0">
      <w:pPr>
        <w:pStyle w:val="TableNumber"/>
        <w:keepNext/>
      </w:pPr>
      <w:r>
        <w:t>Table 1-1</w:t>
      </w:r>
    </w:p>
    <w:p w14:paraId="31367987" w14:textId="77777777" w:rsidR="001B38A0" w:rsidRDefault="001B38A0" w:rsidP="001B38A0">
      <w:pPr>
        <w:pStyle w:val="TableTitle"/>
        <w:keepNext/>
      </w:pPr>
      <w:r>
        <w:t>Cost-Effectiveness Analysis for PSA ($ Millions)</w:t>
      </w:r>
    </w:p>
    <w:tbl>
      <w:tblPr>
        <w:tblStyle w:val="TableGrid"/>
        <w:tblW w:w="0" w:type="auto"/>
        <w:tblInd w:w="-72" w:type="dxa"/>
        <w:tblLook w:val="04A0" w:firstRow="1" w:lastRow="0" w:firstColumn="1" w:lastColumn="0" w:noHBand="0" w:noVBand="1"/>
      </w:tblPr>
      <w:tblGrid>
        <w:gridCol w:w="1512"/>
        <w:gridCol w:w="676"/>
        <w:gridCol w:w="676"/>
        <w:gridCol w:w="676"/>
        <w:gridCol w:w="676"/>
        <w:gridCol w:w="676"/>
        <w:gridCol w:w="676"/>
        <w:gridCol w:w="700"/>
        <w:gridCol w:w="616"/>
        <w:gridCol w:w="616"/>
        <w:gridCol w:w="616"/>
        <w:gridCol w:w="616"/>
        <w:gridCol w:w="916"/>
      </w:tblGrid>
      <w:tr w:rsidR="001B38A0" w14:paraId="7BA54112" w14:textId="77777777" w:rsidTr="005D5DEC">
        <w:tc>
          <w:tcPr>
            <w:tcW w:w="1512" w:type="dxa"/>
          </w:tcPr>
          <w:p w14:paraId="7F340C91" w14:textId="77777777" w:rsidR="001B38A0" w:rsidRPr="00B6618B" w:rsidRDefault="001B38A0" w:rsidP="005D5DEC">
            <w:pPr>
              <w:rPr>
                <w:b/>
                <w:sz w:val="20"/>
                <w:szCs w:val="20"/>
              </w:rPr>
            </w:pPr>
          </w:p>
        </w:tc>
        <w:tc>
          <w:tcPr>
            <w:tcW w:w="676" w:type="dxa"/>
            <w:vAlign w:val="center"/>
          </w:tcPr>
          <w:p w14:paraId="0AD30D71" w14:textId="77777777" w:rsidR="001B38A0" w:rsidRPr="00B6618B" w:rsidRDefault="001B38A0" w:rsidP="005D5DEC">
            <w:pPr>
              <w:rPr>
                <w:b/>
                <w:sz w:val="20"/>
                <w:szCs w:val="20"/>
              </w:rPr>
            </w:pPr>
            <w:r w:rsidRPr="00B6618B">
              <w:rPr>
                <w:b/>
                <w:sz w:val="20"/>
                <w:szCs w:val="20"/>
              </w:rPr>
              <w:t>2025</w:t>
            </w:r>
          </w:p>
        </w:tc>
        <w:tc>
          <w:tcPr>
            <w:tcW w:w="676" w:type="dxa"/>
            <w:vAlign w:val="center"/>
          </w:tcPr>
          <w:p w14:paraId="5DB757C7" w14:textId="77777777" w:rsidR="001B38A0" w:rsidRPr="00B6618B" w:rsidRDefault="001B38A0" w:rsidP="005D5DEC">
            <w:pPr>
              <w:rPr>
                <w:b/>
                <w:sz w:val="20"/>
                <w:szCs w:val="20"/>
              </w:rPr>
            </w:pPr>
            <w:r w:rsidRPr="00B6618B">
              <w:rPr>
                <w:b/>
                <w:sz w:val="20"/>
                <w:szCs w:val="20"/>
              </w:rPr>
              <w:t>2026</w:t>
            </w:r>
          </w:p>
        </w:tc>
        <w:tc>
          <w:tcPr>
            <w:tcW w:w="676" w:type="dxa"/>
            <w:vAlign w:val="center"/>
          </w:tcPr>
          <w:p w14:paraId="5DAF622E" w14:textId="77777777" w:rsidR="001B38A0" w:rsidRPr="00B6618B" w:rsidRDefault="001B38A0" w:rsidP="005D5DEC">
            <w:pPr>
              <w:rPr>
                <w:b/>
                <w:sz w:val="20"/>
                <w:szCs w:val="20"/>
              </w:rPr>
            </w:pPr>
            <w:r w:rsidRPr="00B6618B">
              <w:rPr>
                <w:b/>
                <w:sz w:val="20"/>
                <w:szCs w:val="20"/>
              </w:rPr>
              <w:t>2027</w:t>
            </w:r>
          </w:p>
        </w:tc>
        <w:tc>
          <w:tcPr>
            <w:tcW w:w="676" w:type="dxa"/>
            <w:vAlign w:val="center"/>
          </w:tcPr>
          <w:p w14:paraId="2C566657" w14:textId="77777777" w:rsidR="001B38A0" w:rsidRPr="00B6618B" w:rsidRDefault="001B38A0" w:rsidP="005D5DEC">
            <w:pPr>
              <w:rPr>
                <w:b/>
                <w:sz w:val="20"/>
                <w:szCs w:val="20"/>
              </w:rPr>
            </w:pPr>
            <w:r w:rsidRPr="00B6618B">
              <w:rPr>
                <w:b/>
                <w:sz w:val="20"/>
                <w:szCs w:val="20"/>
              </w:rPr>
              <w:t>2028</w:t>
            </w:r>
          </w:p>
        </w:tc>
        <w:tc>
          <w:tcPr>
            <w:tcW w:w="676" w:type="dxa"/>
            <w:vAlign w:val="center"/>
          </w:tcPr>
          <w:p w14:paraId="09A0D31A" w14:textId="77777777" w:rsidR="001B38A0" w:rsidRPr="00B6618B" w:rsidRDefault="001B38A0" w:rsidP="005D5DEC">
            <w:pPr>
              <w:rPr>
                <w:b/>
                <w:sz w:val="20"/>
                <w:szCs w:val="20"/>
              </w:rPr>
            </w:pPr>
            <w:r w:rsidRPr="00B6618B">
              <w:rPr>
                <w:b/>
                <w:sz w:val="20"/>
                <w:szCs w:val="20"/>
              </w:rPr>
              <w:t>2029</w:t>
            </w:r>
          </w:p>
        </w:tc>
        <w:tc>
          <w:tcPr>
            <w:tcW w:w="676" w:type="dxa"/>
            <w:vAlign w:val="center"/>
          </w:tcPr>
          <w:p w14:paraId="79CF4876" w14:textId="77777777" w:rsidR="001B38A0" w:rsidRPr="00B6618B" w:rsidRDefault="001B38A0" w:rsidP="005D5DEC">
            <w:pPr>
              <w:rPr>
                <w:b/>
                <w:sz w:val="20"/>
                <w:szCs w:val="20"/>
              </w:rPr>
            </w:pPr>
            <w:r w:rsidRPr="00B6618B">
              <w:rPr>
                <w:b/>
                <w:sz w:val="20"/>
                <w:szCs w:val="20"/>
              </w:rPr>
              <w:t>2030</w:t>
            </w:r>
          </w:p>
        </w:tc>
        <w:tc>
          <w:tcPr>
            <w:tcW w:w="700" w:type="dxa"/>
            <w:vAlign w:val="center"/>
          </w:tcPr>
          <w:p w14:paraId="201BC3AA" w14:textId="77777777" w:rsidR="001B38A0" w:rsidRPr="00B6618B" w:rsidRDefault="001B38A0" w:rsidP="005D5DEC">
            <w:pPr>
              <w:rPr>
                <w:b/>
                <w:sz w:val="20"/>
                <w:szCs w:val="20"/>
              </w:rPr>
            </w:pPr>
            <w:r w:rsidRPr="00B6618B">
              <w:rPr>
                <w:b/>
                <w:sz w:val="20"/>
                <w:szCs w:val="20"/>
              </w:rPr>
              <w:t>2031</w:t>
            </w:r>
          </w:p>
        </w:tc>
        <w:tc>
          <w:tcPr>
            <w:tcW w:w="616" w:type="dxa"/>
            <w:vAlign w:val="center"/>
          </w:tcPr>
          <w:p w14:paraId="642E20B4" w14:textId="77777777" w:rsidR="001B38A0" w:rsidRPr="00B6618B" w:rsidRDefault="001B38A0" w:rsidP="005D5DEC">
            <w:pPr>
              <w:rPr>
                <w:b/>
                <w:sz w:val="20"/>
                <w:szCs w:val="20"/>
              </w:rPr>
            </w:pPr>
            <w:r w:rsidRPr="00B6618B">
              <w:rPr>
                <w:b/>
                <w:sz w:val="20"/>
                <w:szCs w:val="20"/>
              </w:rPr>
              <w:t>2032</w:t>
            </w:r>
          </w:p>
        </w:tc>
        <w:tc>
          <w:tcPr>
            <w:tcW w:w="616" w:type="dxa"/>
            <w:vAlign w:val="center"/>
          </w:tcPr>
          <w:p w14:paraId="58A99253" w14:textId="77777777" w:rsidR="001B38A0" w:rsidRPr="00B6618B" w:rsidRDefault="001B38A0" w:rsidP="005D5DEC">
            <w:pPr>
              <w:rPr>
                <w:b/>
                <w:sz w:val="20"/>
                <w:szCs w:val="20"/>
              </w:rPr>
            </w:pPr>
            <w:r w:rsidRPr="00B6618B">
              <w:rPr>
                <w:b/>
                <w:sz w:val="20"/>
                <w:szCs w:val="20"/>
              </w:rPr>
              <w:t>2033</w:t>
            </w:r>
          </w:p>
        </w:tc>
        <w:tc>
          <w:tcPr>
            <w:tcW w:w="616" w:type="dxa"/>
            <w:vAlign w:val="center"/>
          </w:tcPr>
          <w:p w14:paraId="7C5F5A6F" w14:textId="77777777" w:rsidR="001B38A0" w:rsidRPr="00B6618B" w:rsidRDefault="001B38A0" w:rsidP="005D5DEC">
            <w:pPr>
              <w:rPr>
                <w:b/>
                <w:sz w:val="20"/>
                <w:szCs w:val="20"/>
              </w:rPr>
            </w:pPr>
            <w:r w:rsidRPr="00B6618B">
              <w:rPr>
                <w:b/>
                <w:sz w:val="20"/>
                <w:szCs w:val="20"/>
              </w:rPr>
              <w:t>20</w:t>
            </w:r>
            <w:r>
              <w:rPr>
                <w:b/>
                <w:sz w:val="20"/>
                <w:szCs w:val="20"/>
              </w:rPr>
              <w:t>3</w:t>
            </w:r>
            <w:r w:rsidRPr="00B6618B">
              <w:rPr>
                <w:b/>
                <w:sz w:val="20"/>
                <w:szCs w:val="20"/>
              </w:rPr>
              <w:t>4</w:t>
            </w:r>
          </w:p>
        </w:tc>
        <w:tc>
          <w:tcPr>
            <w:tcW w:w="616" w:type="dxa"/>
            <w:vAlign w:val="center"/>
          </w:tcPr>
          <w:p w14:paraId="711D3DD2" w14:textId="77777777" w:rsidR="001B38A0" w:rsidRPr="00B6618B" w:rsidRDefault="001B38A0" w:rsidP="005D5DEC">
            <w:pPr>
              <w:rPr>
                <w:b/>
                <w:sz w:val="20"/>
                <w:szCs w:val="20"/>
              </w:rPr>
            </w:pPr>
            <w:r w:rsidRPr="00B6618B">
              <w:rPr>
                <w:b/>
                <w:sz w:val="20"/>
                <w:szCs w:val="20"/>
              </w:rPr>
              <w:t>2035</w:t>
            </w:r>
          </w:p>
        </w:tc>
        <w:tc>
          <w:tcPr>
            <w:tcW w:w="916" w:type="dxa"/>
            <w:vAlign w:val="center"/>
          </w:tcPr>
          <w:p w14:paraId="09D997E7" w14:textId="0A7F5ED1" w:rsidR="001B38A0" w:rsidRPr="00B6618B" w:rsidRDefault="005764AE" w:rsidP="005D5DEC">
            <w:pPr>
              <w:rPr>
                <w:b/>
                <w:sz w:val="20"/>
                <w:szCs w:val="20"/>
              </w:rPr>
            </w:pPr>
            <w:r>
              <w:rPr>
                <w:b/>
                <w:sz w:val="20"/>
                <w:szCs w:val="20"/>
              </w:rPr>
              <w:t>SUM (NPV)</w:t>
            </w:r>
          </w:p>
        </w:tc>
      </w:tr>
      <w:tr w:rsidR="001B38A0" w14:paraId="58902325" w14:textId="77777777" w:rsidTr="005D5DEC">
        <w:tc>
          <w:tcPr>
            <w:tcW w:w="9648" w:type="dxa"/>
            <w:gridSpan w:val="13"/>
          </w:tcPr>
          <w:p w14:paraId="0DBE4CAC" w14:textId="77777777" w:rsidR="001B38A0" w:rsidRPr="00B6618B" w:rsidRDefault="001B38A0" w:rsidP="005D5DEC">
            <w:pPr>
              <w:jc w:val="center"/>
              <w:rPr>
                <w:b/>
                <w:i/>
                <w:sz w:val="20"/>
                <w:szCs w:val="20"/>
              </w:rPr>
            </w:pPr>
            <w:r w:rsidRPr="00B6618B">
              <w:rPr>
                <w:b/>
                <w:i/>
                <w:sz w:val="20"/>
                <w:szCs w:val="20"/>
              </w:rPr>
              <w:t>Avoidable Costs</w:t>
            </w:r>
          </w:p>
        </w:tc>
      </w:tr>
      <w:tr w:rsidR="001B38A0" w14:paraId="03F867D9" w14:textId="77777777" w:rsidTr="005D5DEC">
        <w:tc>
          <w:tcPr>
            <w:tcW w:w="1512" w:type="dxa"/>
          </w:tcPr>
          <w:p w14:paraId="2CA13947" w14:textId="77777777" w:rsidR="001B38A0" w:rsidRPr="00B6618B" w:rsidRDefault="001B38A0" w:rsidP="005D5DEC">
            <w:pPr>
              <w:rPr>
                <w:sz w:val="20"/>
                <w:szCs w:val="20"/>
              </w:rPr>
            </w:pPr>
            <w:r w:rsidRPr="00B6618B">
              <w:rPr>
                <w:sz w:val="20"/>
                <w:szCs w:val="20"/>
              </w:rPr>
              <w:t>Common Facilities</w:t>
            </w:r>
          </w:p>
        </w:tc>
        <w:tc>
          <w:tcPr>
            <w:tcW w:w="676" w:type="dxa"/>
            <w:vAlign w:val="center"/>
          </w:tcPr>
          <w:p w14:paraId="401F35C8" w14:textId="77777777" w:rsidR="001B38A0" w:rsidRPr="00B6618B" w:rsidRDefault="001B38A0" w:rsidP="005D5DEC">
            <w:pPr>
              <w:jc w:val="center"/>
              <w:rPr>
                <w:sz w:val="20"/>
                <w:szCs w:val="20"/>
              </w:rPr>
            </w:pPr>
            <w:r>
              <w:rPr>
                <w:sz w:val="20"/>
                <w:szCs w:val="20"/>
              </w:rPr>
              <w:t>(2.9)</w:t>
            </w:r>
          </w:p>
        </w:tc>
        <w:tc>
          <w:tcPr>
            <w:tcW w:w="676" w:type="dxa"/>
            <w:vAlign w:val="center"/>
          </w:tcPr>
          <w:p w14:paraId="085EFD18" w14:textId="77777777" w:rsidR="001B38A0" w:rsidRPr="00B6618B" w:rsidRDefault="001B38A0" w:rsidP="005D5DEC">
            <w:pPr>
              <w:jc w:val="center"/>
              <w:rPr>
                <w:sz w:val="20"/>
                <w:szCs w:val="20"/>
              </w:rPr>
            </w:pPr>
            <w:r>
              <w:rPr>
                <w:sz w:val="20"/>
                <w:szCs w:val="20"/>
              </w:rPr>
              <w:t>(6.5)</w:t>
            </w:r>
          </w:p>
        </w:tc>
        <w:tc>
          <w:tcPr>
            <w:tcW w:w="676" w:type="dxa"/>
            <w:vAlign w:val="center"/>
          </w:tcPr>
          <w:p w14:paraId="3F20477A" w14:textId="77777777" w:rsidR="001B38A0" w:rsidRPr="00B6618B" w:rsidRDefault="001B38A0" w:rsidP="005D5DEC">
            <w:pPr>
              <w:jc w:val="center"/>
              <w:rPr>
                <w:sz w:val="20"/>
                <w:szCs w:val="20"/>
              </w:rPr>
            </w:pPr>
            <w:r>
              <w:rPr>
                <w:sz w:val="20"/>
                <w:szCs w:val="20"/>
              </w:rPr>
              <w:t>(6.6)</w:t>
            </w:r>
          </w:p>
        </w:tc>
        <w:tc>
          <w:tcPr>
            <w:tcW w:w="676" w:type="dxa"/>
            <w:vAlign w:val="center"/>
          </w:tcPr>
          <w:p w14:paraId="5462F148" w14:textId="77777777" w:rsidR="001B38A0" w:rsidRPr="00B6618B" w:rsidRDefault="001B38A0" w:rsidP="005D5DEC">
            <w:pPr>
              <w:jc w:val="center"/>
              <w:rPr>
                <w:sz w:val="20"/>
                <w:szCs w:val="20"/>
              </w:rPr>
            </w:pPr>
            <w:r>
              <w:rPr>
                <w:sz w:val="20"/>
                <w:szCs w:val="20"/>
              </w:rPr>
              <w:t>(6.9)</w:t>
            </w:r>
          </w:p>
        </w:tc>
        <w:tc>
          <w:tcPr>
            <w:tcW w:w="676" w:type="dxa"/>
            <w:vAlign w:val="center"/>
          </w:tcPr>
          <w:p w14:paraId="72CF2873" w14:textId="77777777" w:rsidR="001B38A0" w:rsidRPr="00B6618B" w:rsidRDefault="001B38A0" w:rsidP="005D5DEC">
            <w:pPr>
              <w:jc w:val="center"/>
              <w:rPr>
                <w:sz w:val="20"/>
                <w:szCs w:val="20"/>
              </w:rPr>
            </w:pPr>
            <w:r>
              <w:rPr>
                <w:sz w:val="20"/>
                <w:szCs w:val="20"/>
              </w:rPr>
              <w:t>(7.0)</w:t>
            </w:r>
          </w:p>
        </w:tc>
        <w:tc>
          <w:tcPr>
            <w:tcW w:w="676" w:type="dxa"/>
            <w:vAlign w:val="center"/>
          </w:tcPr>
          <w:p w14:paraId="104FC70E" w14:textId="77777777" w:rsidR="001B38A0" w:rsidRPr="00B6618B" w:rsidRDefault="001B38A0" w:rsidP="005D5DEC">
            <w:pPr>
              <w:jc w:val="center"/>
              <w:rPr>
                <w:sz w:val="20"/>
                <w:szCs w:val="20"/>
              </w:rPr>
            </w:pPr>
            <w:r>
              <w:rPr>
                <w:sz w:val="20"/>
                <w:szCs w:val="20"/>
              </w:rPr>
              <w:t>(7.1)</w:t>
            </w:r>
          </w:p>
        </w:tc>
        <w:tc>
          <w:tcPr>
            <w:tcW w:w="700" w:type="dxa"/>
            <w:vAlign w:val="center"/>
          </w:tcPr>
          <w:p w14:paraId="5F94208D" w14:textId="77777777" w:rsidR="001B38A0" w:rsidRPr="00B6618B" w:rsidRDefault="001B38A0" w:rsidP="005D5DEC">
            <w:pPr>
              <w:jc w:val="center"/>
              <w:rPr>
                <w:sz w:val="20"/>
                <w:szCs w:val="20"/>
              </w:rPr>
            </w:pPr>
            <w:r>
              <w:rPr>
                <w:sz w:val="20"/>
                <w:szCs w:val="20"/>
              </w:rPr>
              <w:t>(7.3)</w:t>
            </w:r>
          </w:p>
        </w:tc>
        <w:tc>
          <w:tcPr>
            <w:tcW w:w="616" w:type="dxa"/>
            <w:vAlign w:val="center"/>
          </w:tcPr>
          <w:p w14:paraId="50B1B177" w14:textId="77777777" w:rsidR="001B38A0" w:rsidRPr="00B6618B" w:rsidRDefault="001B38A0" w:rsidP="005D5DEC">
            <w:pPr>
              <w:jc w:val="center"/>
              <w:rPr>
                <w:sz w:val="20"/>
                <w:szCs w:val="20"/>
              </w:rPr>
            </w:pPr>
            <w:r>
              <w:rPr>
                <w:sz w:val="20"/>
                <w:szCs w:val="20"/>
              </w:rPr>
              <w:t>0.0</w:t>
            </w:r>
          </w:p>
        </w:tc>
        <w:tc>
          <w:tcPr>
            <w:tcW w:w="616" w:type="dxa"/>
            <w:vAlign w:val="center"/>
          </w:tcPr>
          <w:p w14:paraId="4BF1FFD1" w14:textId="77777777" w:rsidR="001B38A0" w:rsidRPr="00B6618B" w:rsidRDefault="001B38A0" w:rsidP="005D5DEC">
            <w:pPr>
              <w:jc w:val="center"/>
              <w:rPr>
                <w:sz w:val="20"/>
                <w:szCs w:val="20"/>
              </w:rPr>
            </w:pPr>
            <w:r>
              <w:rPr>
                <w:sz w:val="20"/>
                <w:szCs w:val="20"/>
              </w:rPr>
              <w:t>0.0</w:t>
            </w:r>
          </w:p>
        </w:tc>
        <w:tc>
          <w:tcPr>
            <w:tcW w:w="616" w:type="dxa"/>
            <w:vAlign w:val="center"/>
          </w:tcPr>
          <w:p w14:paraId="1DEFC9BF" w14:textId="77777777" w:rsidR="001B38A0" w:rsidRPr="00B6618B" w:rsidRDefault="001B38A0" w:rsidP="005D5DEC">
            <w:pPr>
              <w:jc w:val="center"/>
              <w:rPr>
                <w:sz w:val="20"/>
                <w:szCs w:val="20"/>
              </w:rPr>
            </w:pPr>
            <w:r>
              <w:rPr>
                <w:sz w:val="20"/>
                <w:szCs w:val="20"/>
              </w:rPr>
              <w:t>0.0</w:t>
            </w:r>
          </w:p>
        </w:tc>
        <w:tc>
          <w:tcPr>
            <w:tcW w:w="616" w:type="dxa"/>
            <w:vAlign w:val="center"/>
          </w:tcPr>
          <w:p w14:paraId="131B6F8B" w14:textId="77777777" w:rsidR="001B38A0" w:rsidRPr="00B6618B" w:rsidRDefault="001B38A0" w:rsidP="005D5DEC">
            <w:pPr>
              <w:jc w:val="center"/>
              <w:rPr>
                <w:sz w:val="20"/>
                <w:szCs w:val="20"/>
              </w:rPr>
            </w:pPr>
            <w:r>
              <w:rPr>
                <w:sz w:val="20"/>
                <w:szCs w:val="20"/>
              </w:rPr>
              <w:t>0.0</w:t>
            </w:r>
          </w:p>
        </w:tc>
        <w:tc>
          <w:tcPr>
            <w:tcW w:w="916" w:type="dxa"/>
            <w:vAlign w:val="center"/>
          </w:tcPr>
          <w:p w14:paraId="1E92E218" w14:textId="77777777" w:rsidR="001B38A0" w:rsidRPr="00B6618B" w:rsidRDefault="001B38A0" w:rsidP="005D5DEC">
            <w:pPr>
              <w:jc w:val="center"/>
              <w:rPr>
                <w:sz w:val="20"/>
                <w:szCs w:val="20"/>
              </w:rPr>
            </w:pPr>
            <w:r>
              <w:rPr>
                <w:sz w:val="20"/>
                <w:szCs w:val="20"/>
              </w:rPr>
              <w:t>(33.15)</w:t>
            </w:r>
          </w:p>
        </w:tc>
      </w:tr>
      <w:tr w:rsidR="001B38A0" w:rsidRPr="00C4420D" w14:paraId="4EF2435D" w14:textId="77777777" w:rsidTr="005D5DEC">
        <w:tc>
          <w:tcPr>
            <w:tcW w:w="1512" w:type="dxa"/>
          </w:tcPr>
          <w:p w14:paraId="6BB49AFD" w14:textId="77777777" w:rsidR="001B38A0" w:rsidRPr="00C73982" w:rsidRDefault="001B38A0" w:rsidP="005D5DEC">
            <w:pPr>
              <w:rPr>
                <w:sz w:val="20"/>
                <w:szCs w:val="20"/>
                <w:u w:val="single"/>
              </w:rPr>
            </w:pPr>
            <w:r w:rsidRPr="00C73982">
              <w:rPr>
                <w:sz w:val="20"/>
                <w:szCs w:val="20"/>
                <w:u w:val="single"/>
              </w:rPr>
              <w:t>Property/Ad Valorem Tax</w:t>
            </w:r>
          </w:p>
        </w:tc>
        <w:tc>
          <w:tcPr>
            <w:tcW w:w="676" w:type="dxa"/>
            <w:vAlign w:val="center"/>
          </w:tcPr>
          <w:p w14:paraId="0AAACDBB" w14:textId="77777777" w:rsidR="001B38A0" w:rsidRPr="00C73982" w:rsidRDefault="001B38A0" w:rsidP="005D5DEC">
            <w:pPr>
              <w:jc w:val="center"/>
              <w:rPr>
                <w:sz w:val="20"/>
                <w:szCs w:val="20"/>
              </w:rPr>
            </w:pPr>
            <w:r w:rsidRPr="00C73982">
              <w:rPr>
                <w:sz w:val="20"/>
                <w:szCs w:val="20"/>
              </w:rPr>
              <w:t>-</w:t>
            </w:r>
          </w:p>
        </w:tc>
        <w:tc>
          <w:tcPr>
            <w:tcW w:w="676" w:type="dxa"/>
            <w:vAlign w:val="center"/>
          </w:tcPr>
          <w:p w14:paraId="55A32F1D" w14:textId="77777777" w:rsidR="001B38A0" w:rsidRPr="00C73982" w:rsidRDefault="001B38A0" w:rsidP="005D5DEC">
            <w:pPr>
              <w:jc w:val="center"/>
              <w:rPr>
                <w:sz w:val="20"/>
                <w:szCs w:val="20"/>
                <w:u w:val="single"/>
              </w:rPr>
            </w:pPr>
            <w:r w:rsidRPr="00C73982">
              <w:rPr>
                <w:sz w:val="20"/>
                <w:szCs w:val="20"/>
                <w:u w:val="single"/>
              </w:rPr>
              <w:t>(2.8)</w:t>
            </w:r>
          </w:p>
        </w:tc>
        <w:tc>
          <w:tcPr>
            <w:tcW w:w="676" w:type="dxa"/>
            <w:vAlign w:val="center"/>
          </w:tcPr>
          <w:p w14:paraId="70533D81" w14:textId="77777777" w:rsidR="001B38A0" w:rsidRPr="00C73982" w:rsidRDefault="001B38A0" w:rsidP="005D5DEC">
            <w:pPr>
              <w:jc w:val="center"/>
              <w:rPr>
                <w:sz w:val="20"/>
                <w:szCs w:val="20"/>
                <w:u w:val="single"/>
              </w:rPr>
            </w:pPr>
            <w:r w:rsidRPr="00C73982">
              <w:rPr>
                <w:sz w:val="20"/>
                <w:szCs w:val="20"/>
                <w:u w:val="single"/>
              </w:rPr>
              <w:t>(2.8)</w:t>
            </w:r>
          </w:p>
        </w:tc>
        <w:tc>
          <w:tcPr>
            <w:tcW w:w="676" w:type="dxa"/>
            <w:vAlign w:val="center"/>
          </w:tcPr>
          <w:p w14:paraId="446B7320" w14:textId="77777777" w:rsidR="001B38A0" w:rsidRPr="00C73982" w:rsidRDefault="001B38A0" w:rsidP="005D5DEC">
            <w:pPr>
              <w:jc w:val="center"/>
              <w:rPr>
                <w:sz w:val="20"/>
                <w:szCs w:val="20"/>
                <w:u w:val="single"/>
              </w:rPr>
            </w:pPr>
            <w:r w:rsidRPr="00C73982">
              <w:rPr>
                <w:sz w:val="20"/>
                <w:szCs w:val="20"/>
                <w:u w:val="single"/>
              </w:rPr>
              <w:t>(2.8)</w:t>
            </w:r>
          </w:p>
        </w:tc>
        <w:tc>
          <w:tcPr>
            <w:tcW w:w="676" w:type="dxa"/>
            <w:vAlign w:val="center"/>
          </w:tcPr>
          <w:p w14:paraId="692C76CD" w14:textId="77777777" w:rsidR="001B38A0" w:rsidRPr="00C73982" w:rsidRDefault="001B38A0" w:rsidP="005D5DEC">
            <w:pPr>
              <w:jc w:val="center"/>
              <w:rPr>
                <w:sz w:val="20"/>
                <w:szCs w:val="20"/>
                <w:u w:val="single"/>
              </w:rPr>
            </w:pPr>
            <w:r w:rsidRPr="00C73982">
              <w:rPr>
                <w:sz w:val="20"/>
                <w:szCs w:val="20"/>
                <w:u w:val="single"/>
              </w:rPr>
              <w:t>(2.8)</w:t>
            </w:r>
          </w:p>
        </w:tc>
        <w:tc>
          <w:tcPr>
            <w:tcW w:w="676" w:type="dxa"/>
            <w:vAlign w:val="center"/>
          </w:tcPr>
          <w:p w14:paraId="69D6910E" w14:textId="77777777" w:rsidR="001B38A0" w:rsidRPr="00C73982" w:rsidRDefault="001B38A0" w:rsidP="005D5DEC">
            <w:pPr>
              <w:jc w:val="center"/>
              <w:rPr>
                <w:sz w:val="20"/>
                <w:szCs w:val="20"/>
                <w:u w:val="single"/>
              </w:rPr>
            </w:pPr>
            <w:r w:rsidRPr="00C73982">
              <w:rPr>
                <w:sz w:val="20"/>
                <w:szCs w:val="20"/>
                <w:u w:val="single"/>
              </w:rPr>
              <w:t>(2.8)</w:t>
            </w:r>
          </w:p>
        </w:tc>
        <w:tc>
          <w:tcPr>
            <w:tcW w:w="700" w:type="dxa"/>
            <w:vAlign w:val="center"/>
          </w:tcPr>
          <w:p w14:paraId="6787A638" w14:textId="77777777" w:rsidR="001B38A0" w:rsidRPr="00C73982" w:rsidRDefault="001B38A0" w:rsidP="005D5DEC">
            <w:pPr>
              <w:jc w:val="center"/>
              <w:rPr>
                <w:sz w:val="20"/>
                <w:szCs w:val="20"/>
                <w:u w:val="single"/>
              </w:rPr>
            </w:pPr>
            <w:r w:rsidRPr="00C73982">
              <w:rPr>
                <w:sz w:val="20"/>
                <w:szCs w:val="20"/>
                <w:u w:val="single"/>
              </w:rPr>
              <w:t>(2.8)</w:t>
            </w:r>
          </w:p>
        </w:tc>
        <w:tc>
          <w:tcPr>
            <w:tcW w:w="616" w:type="dxa"/>
            <w:vAlign w:val="center"/>
          </w:tcPr>
          <w:p w14:paraId="5A008DE8" w14:textId="77777777" w:rsidR="001B38A0" w:rsidRPr="00C73982" w:rsidRDefault="001B38A0" w:rsidP="005D5DEC">
            <w:pPr>
              <w:jc w:val="center"/>
              <w:rPr>
                <w:sz w:val="20"/>
                <w:szCs w:val="20"/>
                <w:u w:val="single"/>
              </w:rPr>
            </w:pPr>
            <w:r w:rsidRPr="00C73982">
              <w:rPr>
                <w:sz w:val="20"/>
                <w:szCs w:val="20"/>
                <w:u w:val="single"/>
              </w:rPr>
              <w:t>(2.8)</w:t>
            </w:r>
          </w:p>
        </w:tc>
        <w:tc>
          <w:tcPr>
            <w:tcW w:w="616" w:type="dxa"/>
            <w:vAlign w:val="center"/>
          </w:tcPr>
          <w:p w14:paraId="6250D5C5" w14:textId="77777777" w:rsidR="001B38A0" w:rsidRPr="00C73982" w:rsidRDefault="001B38A0" w:rsidP="005D5DEC">
            <w:pPr>
              <w:jc w:val="center"/>
              <w:rPr>
                <w:sz w:val="20"/>
                <w:szCs w:val="20"/>
                <w:u w:val="single"/>
              </w:rPr>
            </w:pPr>
            <w:r w:rsidRPr="00C73982">
              <w:rPr>
                <w:sz w:val="20"/>
                <w:szCs w:val="20"/>
                <w:u w:val="single"/>
              </w:rPr>
              <w:t>(2.8)</w:t>
            </w:r>
          </w:p>
        </w:tc>
        <w:tc>
          <w:tcPr>
            <w:tcW w:w="616" w:type="dxa"/>
            <w:vAlign w:val="center"/>
          </w:tcPr>
          <w:p w14:paraId="5225D443" w14:textId="77777777" w:rsidR="001B38A0" w:rsidRPr="00C73982" w:rsidRDefault="001B38A0" w:rsidP="005D5DEC">
            <w:pPr>
              <w:jc w:val="center"/>
              <w:rPr>
                <w:sz w:val="20"/>
                <w:szCs w:val="20"/>
              </w:rPr>
            </w:pPr>
            <w:r w:rsidRPr="00C73982">
              <w:rPr>
                <w:sz w:val="20"/>
                <w:szCs w:val="20"/>
              </w:rPr>
              <w:t>-</w:t>
            </w:r>
          </w:p>
        </w:tc>
        <w:tc>
          <w:tcPr>
            <w:tcW w:w="616" w:type="dxa"/>
            <w:vAlign w:val="center"/>
          </w:tcPr>
          <w:p w14:paraId="104CE52F" w14:textId="77777777" w:rsidR="001B38A0" w:rsidRPr="00C73982" w:rsidRDefault="001B38A0" w:rsidP="005D5DEC">
            <w:pPr>
              <w:jc w:val="center"/>
              <w:rPr>
                <w:sz w:val="20"/>
                <w:szCs w:val="20"/>
              </w:rPr>
            </w:pPr>
            <w:r w:rsidRPr="00C73982">
              <w:rPr>
                <w:sz w:val="20"/>
                <w:szCs w:val="20"/>
              </w:rPr>
              <w:t>-</w:t>
            </w:r>
          </w:p>
        </w:tc>
        <w:tc>
          <w:tcPr>
            <w:tcW w:w="916" w:type="dxa"/>
            <w:vAlign w:val="center"/>
          </w:tcPr>
          <w:p w14:paraId="7101038E" w14:textId="77777777" w:rsidR="001B38A0" w:rsidRPr="00C73982" w:rsidRDefault="001B38A0" w:rsidP="005D5DEC">
            <w:pPr>
              <w:jc w:val="center"/>
              <w:rPr>
                <w:sz w:val="20"/>
                <w:szCs w:val="20"/>
                <w:u w:val="single"/>
              </w:rPr>
            </w:pPr>
            <w:r w:rsidRPr="00C73982">
              <w:rPr>
                <w:sz w:val="20"/>
                <w:szCs w:val="20"/>
                <w:u w:val="single"/>
              </w:rPr>
              <w:t>(15.32)</w:t>
            </w:r>
          </w:p>
        </w:tc>
      </w:tr>
      <w:tr w:rsidR="001B38A0" w14:paraId="0F6DE089" w14:textId="77777777" w:rsidTr="005D5DEC">
        <w:tc>
          <w:tcPr>
            <w:tcW w:w="1512" w:type="dxa"/>
          </w:tcPr>
          <w:p w14:paraId="3F0F2C77" w14:textId="77777777" w:rsidR="001B38A0" w:rsidRPr="00B6618B" w:rsidRDefault="001B38A0" w:rsidP="005D5DEC">
            <w:pPr>
              <w:rPr>
                <w:b/>
                <w:sz w:val="20"/>
                <w:szCs w:val="20"/>
              </w:rPr>
            </w:pPr>
            <w:r>
              <w:rPr>
                <w:b/>
                <w:sz w:val="20"/>
                <w:szCs w:val="20"/>
              </w:rPr>
              <w:t>Avoidable Costs</w:t>
            </w:r>
          </w:p>
        </w:tc>
        <w:tc>
          <w:tcPr>
            <w:tcW w:w="676" w:type="dxa"/>
            <w:vAlign w:val="center"/>
          </w:tcPr>
          <w:p w14:paraId="4429975D" w14:textId="77777777" w:rsidR="001B38A0" w:rsidRPr="00B6618B" w:rsidRDefault="001B38A0" w:rsidP="005D5DEC">
            <w:pPr>
              <w:jc w:val="center"/>
              <w:rPr>
                <w:b/>
                <w:sz w:val="20"/>
                <w:szCs w:val="20"/>
              </w:rPr>
            </w:pPr>
            <w:r w:rsidRPr="00B6618B">
              <w:rPr>
                <w:b/>
                <w:sz w:val="20"/>
                <w:szCs w:val="20"/>
              </w:rPr>
              <w:t>(2.9)</w:t>
            </w:r>
          </w:p>
        </w:tc>
        <w:tc>
          <w:tcPr>
            <w:tcW w:w="676" w:type="dxa"/>
            <w:vAlign w:val="center"/>
          </w:tcPr>
          <w:p w14:paraId="0AA0A53A" w14:textId="77777777" w:rsidR="001B38A0" w:rsidRPr="00B6618B" w:rsidRDefault="001B38A0" w:rsidP="005D5DEC">
            <w:pPr>
              <w:jc w:val="center"/>
              <w:rPr>
                <w:b/>
                <w:sz w:val="20"/>
                <w:szCs w:val="20"/>
              </w:rPr>
            </w:pPr>
            <w:r w:rsidRPr="00B6618B">
              <w:rPr>
                <w:b/>
                <w:sz w:val="20"/>
                <w:szCs w:val="20"/>
              </w:rPr>
              <w:t>(9.3)</w:t>
            </w:r>
          </w:p>
        </w:tc>
        <w:tc>
          <w:tcPr>
            <w:tcW w:w="676" w:type="dxa"/>
            <w:vAlign w:val="center"/>
          </w:tcPr>
          <w:p w14:paraId="4FEF5EC3" w14:textId="77777777" w:rsidR="001B38A0" w:rsidRPr="00B6618B" w:rsidRDefault="001B38A0" w:rsidP="005D5DEC">
            <w:pPr>
              <w:jc w:val="center"/>
              <w:rPr>
                <w:b/>
                <w:sz w:val="20"/>
                <w:szCs w:val="20"/>
              </w:rPr>
            </w:pPr>
            <w:r w:rsidRPr="00B6618B">
              <w:rPr>
                <w:b/>
                <w:sz w:val="20"/>
                <w:szCs w:val="20"/>
              </w:rPr>
              <w:t>(9.4)</w:t>
            </w:r>
          </w:p>
        </w:tc>
        <w:tc>
          <w:tcPr>
            <w:tcW w:w="676" w:type="dxa"/>
            <w:vAlign w:val="center"/>
          </w:tcPr>
          <w:p w14:paraId="2D133DA0" w14:textId="77777777" w:rsidR="001B38A0" w:rsidRPr="00B6618B" w:rsidRDefault="001B38A0" w:rsidP="005D5DEC">
            <w:pPr>
              <w:jc w:val="center"/>
              <w:rPr>
                <w:b/>
                <w:sz w:val="20"/>
                <w:szCs w:val="20"/>
              </w:rPr>
            </w:pPr>
            <w:r w:rsidRPr="00B6618B">
              <w:rPr>
                <w:b/>
                <w:sz w:val="20"/>
                <w:szCs w:val="20"/>
              </w:rPr>
              <w:t>(9.6)</w:t>
            </w:r>
          </w:p>
        </w:tc>
        <w:tc>
          <w:tcPr>
            <w:tcW w:w="676" w:type="dxa"/>
            <w:vAlign w:val="center"/>
          </w:tcPr>
          <w:p w14:paraId="562FF459" w14:textId="77777777" w:rsidR="001B38A0" w:rsidRPr="00B6618B" w:rsidRDefault="001B38A0" w:rsidP="005D5DEC">
            <w:pPr>
              <w:jc w:val="center"/>
              <w:rPr>
                <w:b/>
                <w:sz w:val="20"/>
                <w:szCs w:val="20"/>
              </w:rPr>
            </w:pPr>
            <w:r w:rsidRPr="00B6618B">
              <w:rPr>
                <w:b/>
                <w:sz w:val="20"/>
                <w:szCs w:val="20"/>
              </w:rPr>
              <w:t>(9.8)</w:t>
            </w:r>
          </w:p>
        </w:tc>
        <w:tc>
          <w:tcPr>
            <w:tcW w:w="676" w:type="dxa"/>
            <w:vAlign w:val="center"/>
          </w:tcPr>
          <w:p w14:paraId="08BDD047" w14:textId="77777777" w:rsidR="001B38A0" w:rsidRPr="00B6618B" w:rsidRDefault="001B38A0" w:rsidP="005D5DEC">
            <w:pPr>
              <w:jc w:val="center"/>
              <w:rPr>
                <w:b/>
                <w:sz w:val="20"/>
                <w:szCs w:val="20"/>
              </w:rPr>
            </w:pPr>
            <w:r w:rsidRPr="00B6618B">
              <w:rPr>
                <w:b/>
                <w:sz w:val="20"/>
                <w:szCs w:val="20"/>
              </w:rPr>
              <w:t>(9.9)</w:t>
            </w:r>
          </w:p>
        </w:tc>
        <w:tc>
          <w:tcPr>
            <w:tcW w:w="700" w:type="dxa"/>
            <w:vAlign w:val="center"/>
          </w:tcPr>
          <w:p w14:paraId="74EBF461" w14:textId="77777777" w:rsidR="001B38A0" w:rsidRPr="00B6618B" w:rsidRDefault="001B38A0" w:rsidP="005D5DEC">
            <w:pPr>
              <w:jc w:val="center"/>
              <w:rPr>
                <w:b/>
                <w:sz w:val="20"/>
                <w:szCs w:val="20"/>
              </w:rPr>
            </w:pPr>
            <w:r w:rsidRPr="00B6618B">
              <w:rPr>
                <w:b/>
                <w:sz w:val="20"/>
                <w:szCs w:val="20"/>
              </w:rPr>
              <w:t>(10.1)</w:t>
            </w:r>
          </w:p>
        </w:tc>
        <w:tc>
          <w:tcPr>
            <w:tcW w:w="616" w:type="dxa"/>
            <w:vAlign w:val="center"/>
          </w:tcPr>
          <w:p w14:paraId="1B0B1D1C" w14:textId="77777777" w:rsidR="001B38A0" w:rsidRPr="00B6618B" w:rsidRDefault="001B38A0" w:rsidP="005D5DEC">
            <w:pPr>
              <w:jc w:val="center"/>
              <w:rPr>
                <w:b/>
                <w:sz w:val="20"/>
                <w:szCs w:val="20"/>
              </w:rPr>
            </w:pPr>
            <w:r w:rsidRPr="00B6618B">
              <w:rPr>
                <w:b/>
                <w:sz w:val="20"/>
                <w:szCs w:val="20"/>
              </w:rPr>
              <w:t>(2.8)</w:t>
            </w:r>
          </w:p>
        </w:tc>
        <w:tc>
          <w:tcPr>
            <w:tcW w:w="616" w:type="dxa"/>
            <w:vAlign w:val="center"/>
          </w:tcPr>
          <w:p w14:paraId="146875FE" w14:textId="77777777" w:rsidR="001B38A0" w:rsidRPr="00B6618B" w:rsidRDefault="001B38A0" w:rsidP="005D5DEC">
            <w:pPr>
              <w:jc w:val="center"/>
              <w:rPr>
                <w:b/>
                <w:sz w:val="20"/>
                <w:szCs w:val="20"/>
              </w:rPr>
            </w:pPr>
            <w:r w:rsidRPr="00B6618B">
              <w:rPr>
                <w:b/>
                <w:sz w:val="20"/>
                <w:szCs w:val="20"/>
              </w:rPr>
              <w:t>(2.8)</w:t>
            </w:r>
          </w:p>
        </w:tc>
        <w:tc>
          <w:tcPr>
            <w:tcW w:w="616" w:type="dxa"/>
            <w:vAlign w:val="center"/>
          </w:tcPr>
          <w:p w14:paraId="06835B4E" w14:textId="77777777" w:rsidR="001B38A0" w:rsidRPr="00B6618B" w:rsidRDefault="001B38A0" w:rsidP="005D5DEC">
            <w:pPr>
              <w:jc w:val="center"/>
              <w:rPr>
                <w:b/>
                <w:sz w:val="20"/>
                <w:szCs w:val="20"/>
              </w:rPr>
            </w:pPr>
            <w:r w:rsidRPr="00B6618B">
              <w:rPr>
                <w:b/>
                <w:sz w:val="20"/>
                <w:szCs w:val="20"/>
              </w:rPr>
              <w:t>-</w:t>
            </w:r>
          </w:p>
        </w:tc>
        <w:tc>
          <w:tcPr>
            <w:tcW w:w="616" w:type="dxa"/>
            <w:vAlign w:val="center"/>
          </w:tcPr>
          <w:p w14:paraId="7852847E" w14:textId="77777777" w:rsidR="001B38A0" w:rsidRPr="00B6618B" w:rsidRDefault="001B38A0" w:rsidP="005D5DEC">
            <w:pPr>
              <w:jc w:val="center"/>
              <w:rPr>
                <w:b/>
                <w:sz w:val="20"/>
                <w:szCs w:val="20"/>
              </w:rPr>
            </w:pPr>
            <w:r w:rsidRPr="00B6618B">
              <w:rPr>
                <w:b/>
                <w:sz w:val="20"/>
                <w:szCs w:val="20"/>
              </w:rPr>
              <w:t>-</w:t>
            </w:r>
          </w:p>
        </w:tc>
        <w:tc>
          <w:tcPr>
            <w:tcW w:w="916" w:type="dxa"/>
            <w:vAlign w:val="center"/>
          </w:tcPr>
          <w:p w14:paraId="10B1C8B7" w14:textId="77777777" w:rsidR="001B38A0" w:rsidRPr="00B6618B" w:rsidRDefault="001B38A0" w:rsidP="005D5DEC">
            <w:pPr>
              <w:jc w:val="center"/>
              <w:rPr>
                <w:b/>
                <w:sz w:val="20"/>
                <w:szCs w:val="20"/>
              </w:rPr>
            </w:pPr>
            <w:r w:rsidRPr="00B6618B">
              <w:rPr>
                <w:b/>
                <w:sz w:val="20"/>
                <w:szCs w:val="20"/>
              </w:rPr>
              <w:t>(48.47)</w:t>
            </w:r>
          </w:p>
        </w:tc>
      </w:tr>
      <w:tr w:rsidR="001B38A0" w14:paraId="42A91960" w14:textId="77777777" w:rsidTr="005D5DEC">
        <w:tc>
          <w:tcPr>
            <w:tcW w:w="9648" w:type="dxa"/>
            <w:gridSpan w:val="13"/>
            <w:vAlign w:val="center"/>
          </w:tcPr>
          <w:p w14:paraId="054BA943" w14:textId="77777777" w:rsidR="001B38A0" w:rsidRPr="00B6618B" w:rsidRDefault="001B38A0" w:rsidP="005D5DEC">
            <w:pPr>
              <w:jc w:val="center"/>
              <w:rPr>
                <w:b/>
                <w:i/>
                <w:sz w:val="20"/>
                <w:szCs w:val="20"/>
              </w:rPr>
            </w:pPr>
            <w:r w:rsidRPr="00B6618B">
              <w:rPr>
                <w:b/>
                <w:i/>
                <w:sz w:val="20"/>
                <w:szCs w:val="20"/>
              </w:rPr>
              <w:t>Regulatory Asset</w:t>
            </w:r>
            <w:r>
              <w:rPr>
                <w:b/>
                <w:i/>
                <w:sz w:val="20"/>
                <w:szCs w:val="20"/>
              </w:rPr>
              <w:t xml:space="preserve"> Costs</w:t>
            </w:r>
            <w:r w:rsidRPr="00B6618B">
              <w:rPr>
                <w:b/>
                <w:i/>
                <w:sz w:val="20"/>
                <w:szCs w:val="20"/>
              </w:rPr>
              <w:t xml:space="preserve"> </w:t>
            </w:r>
          </w:p>
        </w:tc>
      </w:tr>
      <w:tr w:rsidR="001B38A0" w14:paraId="5C6349B0" w14:textId="77777777" w:rsidTr="005D5DEC">
        <w:tc>
          <w:tcPr>
            <w:tcW w:w="1512" w:type="dxa"/>
          </w:tcPr>
          <w:p w14:paraId="6C3F4DE4" w14:textId="77777777" w:rsidR="001B38A0" w:rsidRPr="00B6618B" w:rsidRDefault="001B38A0" w:rsidP="005D5DEC">
            <w:pPr>
              <w:rPr>
                <w:sz w:val="20"/>
                <w:szCs w:val="20"/>
              </w:rPr>
            </w:pPr>
            <w:r>
              <w:rPr>
                <w:sz w:val="20"/>
                <w:szCs w:val="20"/>
              </w:rPr>
              <w:t>Amortization of Reg Assets</w:t>
            </w:r>
          </w:p>
        </w:tc>
        <w:tc>
          <w:tcPr>
            <w:tcW w:w="676" w:type="dxa"/>
            <w:vAlign w:val="center"/>
          </w:tcPr>
          <w:p w14:paraId="539C11BF" w14:textId="77777777" w:rsidR="001B38A0" w:rsidRPr="00B6618B" w:rsidRDefault="001B38A0" w:rsidP="005D5DEC">
            <w:pPr>
              <w:jc w:val="center"/>
              <w:rPr>
                <w:sz w:val="20"/>
                <w:szCs w:val="20"/>
              </w:rPr>
            </w:pPr>
            <w:r>
              <w:rPr>
                <w:sz w:val="20"/>
                <w:szCs w:val="20"/>
              </w:rPr>
              <w:t>-</w:t>
            </w:r>
          </w:p>
        </w:tc>
        <w:tc>
          <w:tcPr>
            <w:tcW w:w="676" w:type="dxa"/>
            <w:vAlign w:val="center"/>
          </w:tcPr>
          <w:p w14:paraId="2561B836" w14:textId="77777777" w:rsidR="001B38A0" w:rsidRPr="00B6618B" w:rsidRDefault="001B38A0" w:rsidP="005D5DEC">
            <w:pPr>
              <w:jc w:val="center"/>
              <w:rPr>
                <w:sz w:val="20"/>
                <w:szCs w:val="20"/>
              </w:rPr>
            </w:pPr>
            <w:r>
              <w:rPr>
                <w:sz w:val="20"/>
                <w:szCs w:val="20"/>
              </w:rPr>
              <w:t>3.6</w:t>
            </w:r>
          </w:p>
        </w:tc>
        <w:tc>
          <w:tcPr>
            <w:tcW w:w="676" w:type="dxa"/>
            <w:vAlign w:val="center"/>
          </w:tcPr>
          <w:p w14:paraId="30E4B1B5" w14:textId="77777777" w:rsidR="001B38A0" w:rsidRPr="00B6618B" w:rsidRDefault="001B38A0" w:rsidP="005D5DEC">
            <w:pPr>
              <w:jc w:val="center"/>
              <w:rPr>
                <w:sz w:val="20"/>
                <w:szCs w:val="20"/>
              </w:rPr>
            </w:pPr>
            <w:r>
              <w:rPr>
                <w:sz w:val="20"/>
                <w:szCs w:val="20"/>
              </w:rPr>
              <w:t>3.6</w:t>
            </w:r>
          </w:p>
        </w:tc>
        <w:tc>
          <w:tcPr>
            <w:tcW w:w="676" w:type="dxa"/>
            <w:vAlign w:val="center"/>
          </w:tcPr>
          <w:p w14:paraId="5082282C" w14:textId="77777777" w:rsidR="001B38A0" w:rsidRPr="00B6618B" w:rsidRDefault="001B38A0" w:rsidP="005D5DEC">
            <w:pPr>
              <w:jc w:val="center"/>
              <w:rPr>
                <w:sz w:val="20"/>
                <w:szCs w:val="20"/>
              </w:rPr>
            </w:pPr>
            <w:r>
              <w:rPr>
                <w:sz w:val="20"/>
                <w:szCs w:val="20"/>
              </w:rPr>
              <w:t>3.6</w:t>
            </w:r>
          </w:p>
        </w:tc>
        <w:tc>
          <w:tcPr>
            <w:tcW w:w="676" w:type="dxa"/>
            <w:vAlign w:val="center"/>
          </w:tcPr>
          <w:p w14:paraId="2C4BFB66" w14:textId="77777777" w:rsidR="001B38A0" w:rsidRPr="00B6618B" w:rsidRDefault="001B38A0" w:rsidP="005D5DEC">
            <w:pPr>
              <w:jc w:val="center"/>
              <w:rPr>
                <w:sz w:val="20"/>
                <w:szCs w:val="20"/>
              </w:rPr>
            </w:pPr>
            <w:r>
              <w:rPr>
                <w:sz w:val="20"/>
                <w:szCs w:val="20"/>
              </w:rPr>
              <w:t>3.6</w:t>
            </w:r>
          </w:p>
        </w:tc>
        <w:tc>
          <w:tcPr>
            <w:tcW w:w="676" w:type="dxa"/>
            <w:vAlign w:val="center"/>
          </w:tcPr>
          <w:p w14:paraId="79F8429B" w14:textId="77777777" w:rsidR="001B38A0" w:rsidRPr="00B6618B" w:rsidRDefault="001B38A0" w:rsidP="005D5DEC">
            <w:pPr>
              <w:jc w:val="center"/>
              <w:rPr>
                <w:sz w:val="20"/>
                <w:szCs w:val="20"/>
              </w:rPr>
            </w:pPr>
            <w:r>
              <w:rPr>
                <w:sz w:val="20"/>
                <w:szCs w:val="20"/>
              </w:rPr>
              <w:t>3.6</w:t>
            </w:r>
          </w:p>
        </w:tc>
        <w:tc>
          <w:tcPr>
            <w:tcW w:w="700" w:type="dxa"/>
            <w:vAlign w:val="center"/>
          </w:tcPr>
          <w:p w14:paraId="44202A3F" w14:textId="77777777" w:rsidR="001B38A0" w:rsidRPr="00B6618B" w:rsidRDefault="001B38A0" w:rsidP="005D5DEC">
            <w:pPr>
              <w:jc w:val="center"/>
              <w:rPr>
                <w:sz w:val="20"/>
                <w:szCs w:val="20"/>
              </w:rPr>
            </w:pPr>
            <w:r>
              <w:rPr>
                <w:sz w:val="20"/>
                <w:szCs w:val="20"/>
              </w:rPr>
              <w:t>3.6</w:t>
            </w:r>
          </w:p>
        </w:tc>
        <w:tc>
          <w:tcPr>
            <w:tcW w:w="616" w:type="dxa"/>
            <w:vAlign w:val="center"/>
          </w:tcPr>
          <w:p w14:paraId="21018922" w14:textId="77777777" w:rsidR="001B38A0" w:rsidRPr="00B6618B" w:rsidRDefault="001B38A0" w:rsidP="005D5DEC">
            <w:pPr>
              <w:jc w:val="center"/>
              <w:rPr>
                <w:sz w:val="20"/>
                <w:szCs w:val="20"/>
              </w:rPr>
            </w:pPr>
            <w:r>
              <w:rPr>
                <w:sz w:val="20"/>
                <w:szCs w:val="20"/>
              </w:rPr>
              <w:t>3.6</w:t>
            </w:r>
          </w:p>
        </w:tc>
        <w:tc>
          <w:tcPr>
            <w:tcW w:w="616" w:type="dxa"/>
            <w:vAlign w:val="center"/>
          </w:tcPr>
          <w:p w14:paraId="52F69373" w14:textId="77777777" w:rsidR="001B38A0" w:rsidRPr="00B6618B" w:rsidRDefault="001B38A0" w:rsidP="005D5DEC">
            <w:pPr>
              <w:jc w:val="center"/>
              <w:rPr>
                <w:sz w:val="20"/>
                <w:szCs w:val="20"/>
              </w:rPr>
            </w:pPr>
            <w:r>
              <w:rPr>
                <w:sz w:val="20"/>
                <w:szCs w:val="20"/>
              </w:rPr>
              <w:t>3.6</w:t>
            </w:r>
          </w:p>
        </w:tc>
        <w:tc>
          <w:tcPr>
            <w:tcW w:w="616" w:type="dxa"/>
            <w:vAlign w:val="center"/>
          </w:tcPr>
          <w:p w14:paraId="58838229" w14:textId="77777777" w:rsidR="001B38A0" w:rsidRPr="00B6618B" w:rsidRDefault="001B38A0" w:rsidP="005D5DEC">
            <w:pPr>
              <w:jc w:val="center"/>
              <w:rPr>
                <w:sz w:val="20"/>
                <w:szCs w:val="20"/>
              </w:rPr>
            </w:pPr>
            <w:r>
              <w:rPr>
                <w:sz w:val="20"/>
                <w:szCs w:val="20"/>
              </w:rPr>
              <w:t>3.6</w:t>
            </w:r>
          </w:p>
        </w:tc>
        <w:tc>
          <w:tcPr>
            <w:tcW w:w="616" w:type="dxa"/>
            <w:vAlign w:val="center"/>
          </w:tcPr>
          <w:p w14:paraId="48254180" w14:textId="77777777" w:rsidR="001B38A0" w:rsidRPr="00B6618B" w:rsidRDefault="001B38A0" w:rsidP="005D5DEC">
            <w:pPr>
              <w:jc w:val="center"/>
              <w:rPr>
                <w:sz w:val="20"/>
                <w:szCs w:val="20"/>
              </w:rPr>
            </w:pPr>
            <w:r>
              <w:rPr>
                <w:sz w:val="20"/>
                <w:szCs w:val="20"/>
              </w:rPr>
              <w:t>3.6</w:t>
            </w:r>
          </w:p>
        </w:tc>
        <w:tc>
          <w:tcPr>
            <w:tcW w:w="916" w:type="dxa"/>
            <w:vAlign w:val="center"/>
          </w:tcPr>
          <w:p w14:paraId="584EA6D6" w14:textId="77777777" w:rsidR="001B38A0" w:rsidRPr="00B6618B" w:rsidRDefault="001B38A0" w:rsidP="005D5DEC">
            <w:pPr>
              <w:jc w:val="center"/>
              <w:rPr>
                <w:sz w:val="20"/>
                <w:szCs w:val="20"/>
              </w:rPr>
            </w:pPr>
            <w:r>
              <w:rPr>
                <w:sz w:val="20"/>
                <w:szCs w:val="20"/>
              </w:rPr>
              <w:t>23.09</w:t>
            </w:r>
          </w:p>
        </w:tc>
      </w:tr>
      <w:tr w:rsidR="001B38A0" w14:paraId="6E3B0164" w14:textId="77777777" w:rsidTr="005D5DEC">
        <w:tc>
          <w:tcPr>
            <w:tcW w:w="1512" w:type="dxa"/>
          </w:tcPr>
          <w:p w14:paraId="680EDEFE" w14:textId="77777777" w:rsidR="001B38A0" w:rsidRPr="00C73982" w:rsidRDefault="001B38A0" w:rsidP="005D5DEC">
            <w:pPr>
              <w:rPr>
                <w:sz w:val="20"/>
                <w:szCs w:val="20"/>
                <w:u w:val="single"/>
              </w:rPr>
            </w:pPr>
            <w:r w:rsidRPr="00C73982">
              <w:rPr>
                <w:sz w:val="20"/>
                <w:szCs w:val="20"/>
                <w:u w:val="single"/>
              </w:rPr>
              <w:t>Interest, ROE, Income Tax</w:t>
            </w:r>
          </w:p>
        </w:tc>
        <w:tc>
          <w:tcPr>
            <w:tcW w:w="676" w:type="dxa"/>
            <w:vAlign w:val="center"/>
          </w:tcPr>
          <w:p w14:paraId="1D8DB25B" w14:textId="77777777" w:rsidR="001B38A0" w:rsidRPr="00C73982" w:rsidRDefault="001B38A0" w:rsidP="005D5DEC">
            <w:pPr>
              <w:jc w:val="center"/>
              <w:rPr>
                <w:sz w:val="20"/>
                <w:szCs w:val="20"/>
                <w:u w:val="single"/>
              </w:rPr>
            </w:pPr>
            <w:r w:rsidRPr="00C73982">
              <w:rPr>
                <w:sz w:val="20"/>
                <w:szCs w:val="20"/>
                <w:u w:val="single"/>
              </w:rPr>
              <w:t>1.4</w:t>
            </w:r>
          </w:p>
        </w:tc>
        <w:tc>
          <w:tcPr>
            <w:tcW w:w="676" w:type="dxa"/>
            <w:vAlign w:val="center"/>
          </w:tcPr>
          <w:p w14:paraId="60001F1A" w14:textId="77777777" w:rsidR="001B38A0" w:rsidRPr="00C73982" w:rsidRDefault="001B38A0" w:rsidP="005D5DEC">
            <w:pPr>
              <w:jc w:val="center"/>
              <w:rPr>
                <w:sz w:val="20"/>
                <w:szCs w:val="20"/>
                <w:u w:val="single"/>
              </w:rPr>
            </w:pPr>
            <w:r w:rsidRPr="00C73982">
              <w:rPr>
                <w:sz w:val="20"/>
                <w:szCs w:val="20"/>
                <w:u w:val="single"/>
              </w:rPr>
              <w:t>2.8</w:t>
            </w:r>
          </w:p>
        </w:tc>
        <w:tc>
          <w:tcPr>
            <w:tcW w:w="676" w:type="dxa"/>
            <w:vAlign w:val="center"/>
          </w:tcPr>
          <w:p w14:paraId="7FB624AC" w14:textId="77777777" w:rsidR="001B38A0" w:rsidRPr="00C73982" w:rsidRDefault="001B38A0" w:rsidP="005D5DEC">
            <w:pPr>
              <w:jc w:val="center"/>
              <w:rPr>
                <w:sz w:val="20"/>
                <w:szCs w:val="20"/>
                <w:u w:val="single"/>
              </w:rPr>
            </w:pPr>
            <w:r w:rsidRPr="00C73982">
              <w:rPr>
                <w:sz w:val="20"/>
                <w:szCs w:val="20"/>
                <w:u w:val="single"/>
              </w:rPr>
              <w:t>2.5</w:t>
            </w:r>
          </w:p>
        </w:tc>
        <w:tc>
          <w:tcPr>
            <w:tcW w:w="676" w:type="dxa"/>
            <w:vAlign w:val="center"/>
          </w:tcPr>
          <w:p w14:paraId="09A9E0D6" w14:textId="77777777" w:rsidR="001B38A0" w:rsidRPr="00C73982" w:rsidRDefault="001B38A0" w:rsidP="005D5DEC">
            <w:pPr>
              <w:jc w:val="center"/>
              <w:rPr>
                <w:sz w:val="20"/>
                <w:szCs w:val="20"/>
                <w:u w:val="single"/>
              </w:rPr>
            </w:pPr>
            <w:r w:rsidRPr="00C73982">
              <w:rPr>
                <w:sz w:val="20"/>
                <w:szCs w:val="20"/>
                <w:u w:val="single"/>
              </w:rPr>
              <w:t>2.2</w:t>
            </w:r>
          </w:p>
        </w:tc>
        <w:tc>
          <w:tcPr>
            <w:tcW w:w="676" w:type="dxa"/>
            <w:vAlign w:val="center"/>
          </w:tcPr>
          <w:p w14:paraId="55231914" w14:textId="77777777" w:rsidR="001B38A0" w:rsidRPr="00C73982" w:rsidRDefault="001B38A0" w:rsidP="005D5DEC">
            <w:pPr>
              <w:jc w:val="center"/>
              <w:rPr>
                <w:sz w:val="20"/>
                <w:szCs w:val="20"/>
                <w:u w:val="single"/>
              </w:rPr>
            </w:pPr>
            <w:r w:rsidRPr="00C73982">
              <w:rPr>
                <w:sz w:val="20"/>
                <w:szCs w:val="20"/>
                <w:u w:val="single"/>
              </w:rPr>
              <w:t>1.9</w:t>
            </w:r>
          </w:p>
        </w:tc>
        <w:tc>
          <w:tcPr>
            <w:tcW w:w="676" w:type="dxa"/>
            <w:vAlign w:val="center"/>
          </w:tcPr>
          <w:p w14:paraId="3E85FBF7" w14:textId="77777777" w:rsidR="001B38A0" w:rsidRPr="00C73982" w:rsidRDefault="001B38A0" w:rsidP="005D5DEC">
            <w:pPr>
              <w:jc w:val="center"/>
              <w:rPr>
                <w:sz w:val="20"/>
                <w:szCs w:val="20"/>
                <w:u w:val="single"/>
              </w:rPr>
            </w:pPr>
            <w:r w:rsidRPr="00C73982">
              <w:rPr>
                <w:sz w:val="20"/>
                <w:szCs w:val="20"/>
                <w:u w:val="single"/>
              </w:rPr>
              <w:t>1.6</w:t>
            </w:r>
          </w:p>
        </w:tc>
        <w:tc>
          <w:tcPr>
            <w:tcW w:w="700" w:type="dxa"/>
            <w:vAlign w:val="center"/>
          </w:tcPr>
          <w:p w14:paraId="35201B8E" w14:textId="77777777" w:rsidR="001B38A0" w:rsidRPr="00C73982" w:rsidRDefault="001B38A0" w:rsidP="005D5DEC">
            <w:pPr>
              <w:jc w:val="center"/>
              <w:rPr>
                <w:sz w:val="20"/>
                <w:szCs w:val="20"/>
                <w:u w:val="single"/>
              </w:rPr>
            </w:pPr>
            <w:r w:rsidRPr="00C73982">
              <w:rPr>
                <w:sz w:val="20"/>
                <w:szCs w:val="20"/>
                <w:u w:val="single"/>
              </w:rPr>
              <w:t>1.4</w:t>
            </w:r>
          </w:p>
        </w:tc>
        <w:tc>
          <w:tcPr>
            <w:tcW w:w="616" w:type="dxa"/>
            <w:vAlign w:val="center"/>
          </w:tcPr>
          <w:p w14:paraId="2BCDF4D9" w14:textId="77777777" w:rsidR="001B38A0" w:rsidRPr="00C73982" w:rsidRDefault="001B38A0" w:rsidP="005D5DEC">
            <w:pPr>
              <w:jc w:val="center"/>
              <w:rPr>
                <w:sz w:val="20"/>
                <w:szCs w:val="20"/>
                <w:u w:val="single"/>
              </w:rPr>
            </w:pPr>
            <w:r w:rsidRPr="00C73982">
              <w:rPr>
                <w:sz w:val="20"/>
                <w:szCs w:val="20"/>
                <w:u w:val="single"/>
              </w:rPr>
              <w:t>1.0</w:t>
            </w:r>
          </w:p>
        </w:tc>
        <w:tc>
          <w:tcPr>
            <w:tcW w:w="616" w:type="dxa"/>
            <w:vAlign w:val="center"/>
          </w:tcPr>
          <w:p w14:paraId="1736EFA4" w14:textId="77777777" w:rsidR="001B38A0" w:rsidRPr="00C73982" w:rsidRDefault="001B38A0" w:rsidP="005D5DEC">
            <w:pPr>
              <w:jc w:val="center"/>
              <w:rPr>
                <w:sz w:val="20"/>
                <w:szCs w:val="20"/>
                <w:u w:val="single"/>
              </w:rPr>
            </w:pPr>
            <w:r w:rsidRPr="00C73982">
              <w:rPr>
                <w:sz w:val="20"/>
                <w:szCs w:val="20"/>
                <w:u w:val="single"/>
              </w:rPr>
              <w:t>0.7</w:t>
            </w:r>
          </w:p>
        </w:tc>
        <w:tc>
          <w:tcPr>
            <w:tcW w:w="616" w:type="dxa"/>
            <w:vAlign w:val="center"/>
          </w:tcPr>
          <w:p w14:paraId="31943302" w14:textId="77777777" w:rsidR="001B38A0" w:rsidRPr="00C73982" w:rsidRDefault="001B38A0" w:rsidP="005D5DEC">
            <w:pPr>
              <w:jc w:val="center"/>
              <w:rPr>
                <w:sz w:val="20"/>
                <w:szCs w:val="20"/>
                <w:u w:val="single"/>
              </w:rPr>
            </w:pPr>
            <w:r w:rsidRPr="00C73982">
              <w:rPr>
                <w:sz w:val="20"/>
                <w:szCs w:val="20"/>
                <w:u w:val="single"/>
              </w:rPr>
              <w:t>0.5</w:t>
            </w:r>
          </w:p>
        </w:tc>
        <w:tc>
          <w:tcPr>
            <w:tcW w:w="616" w:type="dxa"/>
            <w:vAlign w:val="center"/>
          </w:tcPr>
          <w:p w14:paraId="1D7591B2" w14:textId="77777777" w:rsidR="001B38A0" w:rsidRPr="00C73982" w:rsidRDefault="001B38A0" w:rsidP="005D5DEC">
            <w:pPr>
              <w:jc w:val="center"/>
              <w:rPr>
                <w:sz w:val="20"/>
                <w:szCs w:val="20"/>
                <w:u w:val="single"/>
              </w:rPr>
            </w:pPr>
            <w:r w:rsidRPr="00C73982">
              <w:rPr>
                <w:sz w:val="20"/>
                <w:szCs w:val="20"/>
                <w:u w:val="single"/>
              </w:rPr>
              <w:t>0.1</w:t>
            </w:r>
          </w:p>
        </w:tc>
        <w:tc>
          <w:tcPr>
            <w:tcW w:w="916" w:type="dxa"/>
            <w:vAlign w:val="center"/>
          </w:tcPr>
          <w:p w14:paraId="42631575" w14:textId="77777777" w:rsidR="001B38A0" w:rsidRPr="00C73982" w:rsidRDefault="001B38A0" w:rsidP="005D5DEC">
            <w:pPr>
              <w:jc w:val="center"/>
              <w:rPr>
                <w:sz w:val="20"/>
                <w:szCs w:val="20"/>
                <w:u w:val="single"/>
              </w:rPr>
            </w:pPr>
            <w:r w:rsidRPr="00C73982">
              <w:rPr>
                <w:sz w:val="20"/>
                <w:szCs w:val="20"/>
                <w:u w:val="single"/>
              </w:rPr>
              <w:t>11.98</w:t>
            </w:r>
          </w:p>
        </w:tc>
      </w:tr>
      <w:tr w:rsidR="001B38A0" w14:paraId="3354F059" w14:textId="77777777" w:rsidTr="005D5DEC">
        <w:tc>
          <w:tcPr>
            <w:tcW w:w="1512" w:type="dxa"/>
          </w:tcPr>
          <w:p w14:paraId="68B15C00" w14:textId="77777777" w:rsidR="001B38A0" w:rsidRPr="00B6618B" w:rsidRDefault="001B38A0" w:rsidP="005D5DEC">
            <w:pPr>
              <w:rPr>
                <w:b/>
                <w:sz w:val="20"/>
                <w:szCs w:val="20"/>
              </w:rPr>
            </w:pPr>
            <w:r>
              <w:rPr>
                <w:b/>
                <w:sz w:val="20"/>
                <w:szCs w:val="20"/>
              </w:rPr>
              <w:t>Regulatory Asset Costs</w:t>
            </w:r>
          </w:p>
        </w:tc>
        <w:tc>
          <w:tcPr>
            <w:tcW w:w="676" w:type="dxa"/>
            <w:vAlign w:val="center"/>
          </w:tcPr>
          <w:p w14:paraId="772363CF" w14:textId="77777777" w:rsidR="001B38A0" w:rsidRPr="00B6618B" w:rsidRDefault="001B38A0" w:rsidP="005D5DEC">
            <w:pPr>
              <w:jc w:val="center"/>
              <w:rPr>
                <w:b/>
                <w:sz w:val="20"/>
                <w:szCs w:val="20"/>
              </w:rPr>
            </w:pPr>
            <w:r w:rsidRPr="00B6618B">
              <w:rPr>
                <w:b/>
                <w:sz w:val="20"/>
                <w:szCs w:val="20"/>
              </w:rPr>
              <w:t>1.4</w:t>
            </w:r>
          </w:p>
        </w:tc>
        <w:tc>
          <w:tcPr>
            <w:tcW w:w="676" w:type="dxa"/>
            <w:vAlign w:val="center"/>
          </w:tcPr>
          <w:p w14:paraId="23B8E70D" w14:textId="77777777" w:rsidR="001B38A0" w:rsidRPr="00B6618B" w:rsidRDefault="001B38A0" w:rsidP="005D5DEC">
            <w:pPr>
              <w:jc w:val="center"/>
              <w:rPr>
                <w:b/>
                <w:sz w:val="20"/>
                <w:szCs w:val="20"/>
              </w:rPr>
            </w:pPr>
            <w:r w:rsidRPr="00B6618B">
              <w:rPr>
                <w:b/>
                <w:sz w:val="20"/>
                <w:szCs w:val="20"/>
              </w:rPr>
              <w:t>6.4</w:t>
            </w:r>
          </w:p>
        </w:tc>
        <w:tc>
          <w:tcPr>
            <w:tcW w:w="676" w:type="dxa"/>
            <w:vAlign w:val="center"/>
          </w:tcPr>
          <w:p w14:paraId="0784921A" w14:textId="77777777" w:rsidR="001B38A0" w:rsidRPr="00B6618B" w:rsidRDefault="001B38A0" w:rsidP="005D5DEC">
            <w:pPr>
              <w:jc w:val="center"/>
              <w:rPr>
                <w:b/>
                <w:sz w:val="20"/>
                <w:szCs w:val="20"/>
              </w:rPr>
            </w:pPr>
            <w:r w:rsidRPr="00B6618B">
              <w:rPr>
                <w:b/>
                <w:sz w:val="20"/>
                <w:szCs w:val="20"/>
              </w:rPr>
              <w:t>6.1</w:t>
            </w:r>
          </w:p>
        </w:tc>
        <w:tc>
          <w:tcPr>
            <w:tcW w:w="676" w:type="dxa"/>
            <w:vAlign w:val="center"/>
          </w:tcPr>
          <w:p w14:paraId="03E5A1A7" w14:textId="77777777" w:rsidR="001B38A0" w:rsidRPr="00B6618B" w:rsidRDefault="001B38A0" w:rsidP="005D5DEC">
            <w:pPr>
              <w:jc w:val="center"/>
              <w:rPr>
                <w:b/>
                <w:sz w:val="20"/>
                <w:szCs w:val="20"/>
              </w:rPr>
            </w:pPr>
            <w:r w:rsidRPr="00B6618B">
              <w:rPr>
                <w:b/>
                <w:sz w:val="20"/>
                <w:szCs w:val="20"/>
              </w:rPr>
              <w:t>5.8</w:t>
            </w:r>
          </w:p>
        </w:tc>
        <w:tc>
          <w:tcPr>
            <w:tcW w:w="676" w:type="dxa"/>
            <w:vAlign w:val="center"/>
          </w:tcPr>
          <w:p w14:paraId="1B772B9B" w14:textId="77777777" w:rsidR="001B38A0" w:rsidRPr="00B6618B" w:rsidRDefault="001B38A0" w:rsidP="005D5DEC">
            <w:pPr>
              <w:jc w:val="center"/>
              <w:rPr>
                <w:b/>
                <w:sz w:val="20"/>
                <w:szCs w:val="20"/>
              </w:rPr>
            </w:pPr>
            <w:r w:rsidRPr="00B6618B">
              <w:rPr>
                <w:b/>
                <w:sz w:val="20"/>
                <w:szCs w:val="20"/>
              </w:rPr>
              <w:t>5.5</w:t>
            </w:r>
          </w:p>
        </w:tc>
        <w:tc>
          <w:tcPr>
            <w:tcW w:w="676" w:type="dxa"/>
            <w:vAlign w:val="center"/>
          </w:tcPr>
          <w:p w14:paraId="45D0AC08" w14:textId="77777777" w:rsidR="001B38A0" w:rsidRPr="00B6618B" w:rsidRDefault="001B38A0" w:rsidP="005D5DEC">
            <w:pPr>
              <w:jc w:val="center"/>
              <w:rPr>
                <w:b/>
                <w:sz w:val="20"/>
                <w:szCs w:val="20"/>
              </w:rPr>
            </w:pPr>
            <w:r w:rsidRPr="00B6618B">
              <w:rPr>
                <w:b/>
                <w:sz w:val="20"/>
                <w:szCs w:val="20"/>
              </w:rPr>
              <w:t>5.2</w:t>
            </w:r>
          </w:p>
        </w:tc>
        <w:tc>
          <w:tcPr>
            <w:tcW w:w="700" w:type="dxa"/>
            <w:vAlign w:val="center"/>
          </w:tcPr>
          <w:p w14:paraId="716476C3" w14:textId="77777777" w:rsidR="001B38A0" w:rsidRPr="00B6618B" w:rsidRDefault="001B38A0" w:rsidP="005D5DEC">
            <w:pPr>
              <w:jc w:val="center"/>
              <w:rPr>
                <w:b/>
                <w:sz w:val="20"/>
                <w:szCs w:val="20"/>
              </w:rPr>
            </w:pPr>
            <w:r w:rsidRPr="00B6618B">
              <w:rPr>
                <w:b/>
                <w:sz w:val="20"/>
                <w:szCs w:val="20"/>
              </w:rPr>
              <w:t>4.9</w:t>
            </w:r>
          </w:p>
        </w:tc>
        <w:tc>
          <w:tcPr>
            <w:tcW w:w="616" w:type="dxa"/>
            <w:vAlign w:val="center"/>
          </w:tcPr>
          <w:p w14:paraId="362CF819" w14:textId="77777777" w:rsidR="001B38A0" w:rsidRPr="00B6618B" w:rsidRDefault="001B38A0" w:rsidP="005D5DEC">
            <w:pPr>
              <w:jc w:val="center"/>
              <w:rPr>
                <w:b/>
                <w:sz w:val="20"/>
                <w:szCs w:val="20"/>
              </w:rPr>
            </w:pPr>
            <w:r w:rsidRPr="00B6618B">
              <w:rPr>
                <w:b/>
                <w:sz w:val="20"/>
                <w:szCs w:val="20"/>
              </w:rPr>
              <w:t>4.6</w:t>
            </w:r>
          </w:p>
        </w:tc>
        <w:tc>
          <w:tcPr>
            <w:tcW w:w="616" w:type="dxa"/>
            <w:vAlign w:val="center"/>
          </w:tcPr>
          <w:p w14:paraId="7636A83A" w14:textId="77777777" w:rsidR="001B38A0" w:rsidRPr="00B6618B" w:rsidRDefault="001B38A0" w:rsidP="005D5DEC">
            <w:pPr>
              <w:jc w:val="center"/>
              <w:rPr>
                <w:b/>
                <w:sz w:val="20"/>
                <w:szCs w:val="20"/>
              </w:rPr>
            </w:pPr>
            <w:r w:rsidRPr="00B6618B">
              <w:rPr>
                <w:b/>
                <w:sz w:val="20"/>
                <w:szCs w:val="20"/>
              </w:rPr>
              <w:t>4.3</w:t>
            </w:r>
          </w:p>
        </w:tc>
        <w:tc>
          <w:tcPr>
            <w:tcW w:w="616" w:type="dxa"/>
            <w:vAlign w:val="center"/>
          </w:tcPr>
          <w:p w14:paraId="29E0AE69" w14:textId="77777777" w:rsidR="001B38A0" w:rsidRPr="00B6618B" w:rsidRDefault="001B38A0" w:rsidP="005D5DEC">
            <w:pPr>
              <w:jc w:val="center"/>
              <w:rPr>
                <w:b/>
                <w:sz w:val="20"/>
                <w:szCs w:val="20"/>
              </w:rPr>
            </w:pPr>
            <w:r w:rsidRPr="00B6618B">
              <w:rPr>
                <w:b/>
                <w:sz w:val="20"/>
                <w:szCs w:val="20"/>
              </w:rPr>
              <w:t>4.0</w:t>
            </w:r>
          </w:p>
        </w:tc>
        <w:tc>
          <w:tcPr>
            <w:tcW w:w="616" w:type="dxa"/>
            <w:vAlign w:val="center"/>
          </w:tcPr>
          <w:p w14:paraId="2B8FB701" w14:textId="77777777" w:rsidR="001B38A0" w:rsidRPr="00B6618B" w:rsidRDefault="001B38A0" w:rsidP="005D5DEC">
            <w:pPr>
              <w:jc w:val="center"/>
              <w:rPr>
                <w:b/>
                <w:sz w:val="20"/>
                <w:szCs w:val="20"/>
              </w:rPr>
            </w:pPr>
            <w:r w:rsidRPr="00B6618B">
              <w:rPr>
                <w:b/>
                <w:sz w:val="20"/>
                <w:szCs w:val="20"/>
              </w:rPr>
              <w:t>3.7</w:t>
            </w:r>
          </w:p>
        </w:tc>
        <w:tc>
          <w:tcPr>
            <w:tcW w:w="916" w:type="dxa"/>
            <w:vAlign w:val="center"/>
          </w:tcPr>
          <w:p w14:paraId="436C786E" w14:textId="77777777" w:rsidR="001B38A0" w:rsidRPr="00B6618B" w:rsidRDefault="001B38A0" w:rsidP="005D5DEC">
            <w:pPr>
              <w:jc w:val="center"/>
              <w:rPr>
                <w:b/>
                <w:sz w:val="20"/>
                <w:szCs w:val="20"/>
              </w:rPr>
            </w:pPr>
            <w:r w:rsidRPr="00B6618B">
              <w:rPr>
                <w:b/>
                <w:sz w:val="20"/>
                <w:szCs w:val="20"/>
              </w:rPr>
              <w:t>35.07</w:t>
            </w:r>
          </w:p>
        </w:tc>
      </w:tr>
      <w:tr w:rsidR="001B38A0" w14:paraId="1B5D6E34" w14:textId="77777777" w:rsidTr="005D5DEC">
        <w:tc>
          <w:tcPr>
            <w:tcW w:w="1512" w:type="dxa"/>
          </w:tcPr>
          <w:p w14:paraId="5C955EBF" w14:textId="77777777" w:rsidR="001B38A0" w:rsidRPr="00C73982" w:rsidRDefault="001B38A0" w:rsidP="005D5DEC">
            <w:pPr>
              <w:rPr>
                <w:b/>
                <w:sz w:val="20"/>
                <w:szCs w:val="20"/>
              </w:rPr>
            </w:pPr>
            <w:r w:rsidRPr="00C73982">
              <w:rPr>
                <w:b/>
                <w:sz w:val="20"/>
                <w:szCs w:val="20"/>
              </w:rPr>
              <w:t>Net Customer Costs/Savings</w:t>
            </w:r>
          </w:p>
        </w:tc>
        <w:tc>
          <w:tcPr>
            <w:tcW w:w="676" w:type="dxa"/>
            <w:vAlign w:val="center"/>
          </w:tcPr>
          <w:p w14:paraId="6960AC1C" w14:textId="77777777" w:rsidR="001B38A0" w:rsidRPr="00C73982" w:rsidRDefault="001B38A0" w:rsidP="005D5DEC">
            <w:pPr>
              <w:jc w:val="center"/>
              <w:rPr>
                <w:b/>
                <w:sz w:val="20"/>
                <w:szCs w:val="20"/>
              </w:rPr>
            </w:pPr>
            <w:r w:rsidRPr="00C73982">
              <w:rPr>
                <w:b/>
                <w:sz w:val="20"/>
                <w:szCs w:val="20"/>
              </w:rPr>
              <w:t>(1.5)</w:t>
            </w:r>
          </w:p>
        </w:tc>
        <w:tc>
          <w:tcPr>
            <w:tcW w:w="676" w:type="dxa"/>
            <w:vAlign w:val="center"/>
          </w:tcPr>
          <w:p w14:paraId="3CB7AF80" w14:textId="77777777" w:rsidR="001B38A0" w:rsidRPr="00C73982" w:rsidRDefault="001B38A0" w:rsidP="005D5DEC">
            <w:pPr>
              <w:jc w:val="center"/>
              <w:rPr>
                <w:b/>
                <w:sz w:val="20"/>
                <w:szCs w:val="20"/>
              </w:rPr>
            </w:pPr>
            <w:r w:rsidRPr="00C73982">
              <w:rPr>
                <w:b/>
                <w:sz w:val="20"/>
                <w:szCs w:val="20"/>
              </w:rPr>
              <w:t>(2.9)</w:t>
            </w:r>
          </w:p>
        </w:tc>
        <w:tc>
          <w:tcPr>
            <w:tcW w:w="676" w:type="dxa"/>
            <w:vAlign w:val="center"/>
          </w:tcPr>
          <w:p w14:paraId="6DD4889B" w14:textId="77777777" w:rsidR="001B38A0" w:rsidRPr="00C73982" w:rsidRDefault="001B38A0" w:rsidP="005D5DEC">
            <w:pPr>
              <w:jc w:val="center"/>
              <w:rPr>
                <w:b/>
                <w:sz w:val="20"/>
                <w:szCs w:val="20"/>
              </w:rPr>
            </w:pPr>
            <w:r w:rsidRPr="00C73982">
              <w:rPr>
                <w:b/>
                <w:sz w:val="20"/>
                <w:szCs w:val="20"/>
              </w:rPr>
              <w:t>(3.3)</w:t>
            </w:r>
          </w:p>
        </w:tc>
        <w:tc>
          <w:tcPr>
            <w:tcW w:w="676" w:type="dxa"/>
            <w:vAlign w:val="center"/>
          </w:tcPr>
          <w:p w14:paraId="0D898A9D" w14:textId="77777777" w:rsidR="001B38A0" w:rsidRPr="00C73982" w:rsidRDefault="001B38A0" w:rsidP="005D5DEC">
            <w:pPr>
              <w:jc w:val="center"/>
              <w:rPr>
                <w:b/>
                <w:sz w:val="20"/>
                <w:szCs w:val="20"/>
              </w:rPr>
            </w:pPr>
            <w:r w:rsidRPr="00C73982">
              <w:rPr>
                <w:b/>
                <w:sz w:val="20"/>
                <w:szCs w:val="20"/>
              </w:rPr>
              <w:t>(3.8)</w:t>
            </w:r>
          </w:p>
        </w:tc>
        <w:tc>
          <w:tcPr>
            <w:tcW w:w="676" w:type="dxa"/>
            <w:vAlign w:val="center"/>
          </w:tcPr>
          <w:p w14:paraId="70975684" w14:textId="77777777" w:rsidR="001B38A0" w:rsidRPr="00C73982" w:rsidRDefault="001B38A0" w:rsidP="005D5DEC">
            <w:pPr>
              <w:jc w:val="center"/>
              <w:rPr>
                <w:b/>
                <w:sz w:val="20"/>
                <w:szCs w:val="20"/>
              </w:rPr>
            </w:pPr>
            <w:r w:rsidRPr="00C73982">
              <w:rPr>
                <w:b/>
                <w:sz w:val="20"/>
                <w:szCs w:val="20"/>
              </w:rPr>
              <w:t>(4.3)</w:t>
            </w:r>
          </w:p>
        </w:tc>
        <w:tc>
          <w:tcPr>
            <w:tcW w:w="676" w:type="dxa"/>
            <w:vAlign w:val="center"/>
          </w:tcPr>
          <w:p w14:paraId="78DEE99B" w14:textId="77777777" w:rsidR="001B38A0" w:rsidRPr="00C73982" w:rsidRDefault="001B38A0" w:rsidP="005D5DEC">
            <w:pPr>
              <w:jc w:val="center"/>
              <w:rPr>
                <w:b/>
                <w:sz w:val="20"/>
                <w:szCs w:val="20"/>
              </w:rPr>
            </w:pPr>
            <w:r w:rsidRPr="00C73982">
              <w:rPr>
                <w:b/>
                <w:sz w:val="20"/>
                <w:szCs w:val="20"/>
              </w:rPr>
              <w:t>($.7)</w:t>
            </w:r>
          </w:p>
        </w:tc>
        <w:tc>
          <w:tcPr>
            <w:tcW w:w="700" w:type="dxa"/>
            <w:vAlign w:val="center"/>
          </w:tcPr>
          <w:p w14:paraId="1AB4CFA1" w14:textId="77777777" w:rsidR="001B38A0" w:rsidRPr="00C73982" w:rsidRDefault="001B38A0" w:rsidP="005D5DEC">
            <w:pPr>
              <w:jc w:val="center"/>
              <w:rPr>
                <w:b/>
                <w:sz w:val="20"/>
                <w:szCs w:val="20"/>
              </w:rPr>
            </w:pPr>
            <w:r w:rsidRPr="00C73982">
              <w:rPr>
                <w:b/>
                <w:sz w:val="20"/>
                <w:szCs w:val="20"/>
              </w:rPr>
              <w:t>(5.1)</w:t>
            </w:r>
          </w:p>
        </w:tc>
        <w:tc>
          <w:tcPr>
            <w:tcW w:w="616" w:type="dxa"/>
            <w:vAlign w:val="center"/>
          </w:tcPr>
          <w:p w14:paraId="258E11C1" w14:textId="77777777" w:rsidR="001B38A0" w:rsidRPr="00C73982" w:rsidRDefault="001B38A0" w:rsidP="005D5DEC">
            <w:pPr>
              <w:jc w:val="center"/>
              <w:rPr>
                <w:b/>
                <w:sz w:val="20"/>
                <w:szCs w:val="20"/>
              </w:rPr>
            </w:pPr>
            <w:r w:rsidRPr="00C73982">
              <w:rPr>
                <w:b/>
                <w:sz w:val="20"/>
                <w:szCs w:val="20"/>
              </w:rPr>
              <w:t>1.8</w:t>
            </w:r>
          </w:p>
        </w:tc>
        <w:tc>
          <w:tcPr>
            <w:tcW w:w="616" w:type="dxa"/>
            <w:vAlign w:val="center"/>
          </w:tcPr>
          <w:p w14:paraId="564BF0C7" w14:textId="77777777" w:rsidR="001B38A0" w:rsidRPr="00C73982" w:rsidRDefault="001B38A0" w:rsidP="005D5DEC">
            <w:pPr>
              <w:jc w:val="center"/>
              <w:rPr>
                <w:b/>
                <w:sz w:val="20"/>
                <w:szCs w:val="20"/>
              </w:rPr>
            </w:pPr>
            <w:r w:rsidRPr="00C73982">
              <w:rPr>
                <w:b/>
                <w:sz w:val="20"/>
                <w:szCs w:val="20"/>
              </w:rPr>
              <w:t>1.5</w:t>
            </w:r>
          </w:p>
        </w:tc>
        <w:tc>
          <w:tcPr>
            <w:tcW w:w="616" w:type="dxa"/>
            <w:vAlign w:val="center"/>
          </w:tcPr>
          <w:p w14:paraId="3A60F010" w14:textId="77777777" w:rsidR="001B38A0" w:rsidRPr="00C73982" w:rsidRDefault="001B38A0" w:rsidP="005D5DEC">
            <w:pPr>
              <w:jc w:val="center"/>
              <w:rPr>
                <w:b/>
                <w:sz w:val="20"/>
                <w:szCs w:val="20"/>
              </w:rPr>
            </w:pPr>
            <w:r w:rsidRPr="00C73982">
              <w:rPr>
                <w:b/>
                <w:sz w:val="20"/>
                <w:szCs w:val="20"/>
              </w:rPr>
              <w:t>4.0</w:t>
            </w:r>
          </w:p>
        </w:tc>
        <w:tc>
          <w:tcPr>
            <w:tcW w:w="616" w:type="dxa"/>
            <w:vAlign w:val="center"/>
          </w:tcPr>
          <w:p w14:paraId="33E673A0" w14:textId="77777777" w:rsidR="001B38A0" w:rsidRPr="00C73982" w:rsidRDefault="001B38A0" w:rsidP="005D5DEC">
            <w:pPr>
              <w:jc w:val="center"/>
              <w:rPr>
                <w:b/>
                <w:sz w:val="20"/>
                <w:szCs w:val="20"/>
              </w:rPr>
            </w:pPr>
            <w:r w:rsidRPr="00C73982">
              <w:rPr>
                <w:b/>
                <w:sz w:val="20"/>
                <w:szCs w:val="20"/>
              </w:rPr>
              <w:t>3.7</w:t>
            </w:r>
          </w:p>
        </w:tc>
        <w:tc>
          <w:tcPr>
            <w:tcW w:w="916" w:type="dxa"/>
            <w:vAlign w:val="center"/>
          </w:tcPr>
          <w:p w14:paraId="2AEE847D" w14:textId="77777777" w:rsidR="001B38A0" w:rsidRPr="00C73982" w:rsidRDefault="001B38A0" w:rsidP="005D5DEC">
            <w:pPr>
              <w:jc w:val="center"/>
              <w:rPr>
                <w:b/>
                <w:sz w:val="20"/>
                <w:szCs w:val="20"/>
              </w:rPr>
            </w:pPr>
            <w:r w:rsidRPr="00C73982">
              <w:rPr>
                <w:b/>
                <w:sz w:val="20"/>
                <w:szCs w:val="20"/>
              </w:rPr>
              <w:t>(13.40)</w:t>
            </w:r>
          </w:p>
        </w:tc>
      </w:tr>
    </w:tbl>
    <w:p w14:paraId="6A597C9B" w14:textId="77777777" w:rsidR="001B38A0" w:rsidRDefault="001B38A0" w:rsidP="001B38A0">
      <w:pPr>
        <w:pStyle w:val="TableSource"/>
      </w:pPr>
      <w:r>
        <w:t>Source: FPL’s Response to Staff’s Second Data Request</w:t>
      </w:r>
    </w:p>
    <w:p w14:paraId="060E3D99" w14:textId="77777777" w:rsidR="001B38A0" w:rsidRDefault="001B38A0" w:rsidP="001B38A0">
      <w:pPr>
        <w:pStyle w:val="First-LevelSubheading"/>
      </w:pPr>
      <w:r>
        <w:t>Conclusion</w:t>
      </w:r>
    </w:p>
    <w:p w14:paraId="6B5DD0A6" w14:textId="63FF4794" w:rsidR="001B38A0" w:rsidRDefault="001B38A0" w:rsidP="00786C09">
      <w:pPr>
        <w:pStyle w:val="BodyText"/>
      </w:pPr>
      <w:r>
        <w:t xml:space="preserve">The PSA between FPL and MPC transferring FPL’s 50 percent ownership in </w:t>
      </w:r>
      <w:r w:rsidR="00771868" w:rsidRPr="00771868">
        <w:t>Units 1 &amp; 2</w:t>
      </w:r>
      <w:r>
        <w:t xml:space="preserve"> to MPC should be approved</w:t>
      </w:r>
      <w:r w:rsidR="00C11357">
        <w:t xml:space="preserve"> as </w:t>
      </w:r>
      <w:r>
        <w:t>the PSA appears cost-effective.</w:t>
      </w:r>
    </w:p>
    <w:p w14:paraId="1BCF400D" w14:textId="0A106602" w:rsidR="00133906" w:rsidRDefault="00133906">
      <w:pPr>
        <w:pStyle w:val="BodyText"/>
      </w:pPr>
    </w:p>
    <w:p w14:paraId="78D90524" w14:textId="345FE0CA" w:rsidR="00FF2E56" w:rsidRDefault="00FF2E56">
      <w:pPr>
        <w:pStyle w:val="IssueHeading"/>
        <w:rPr>
          <w:vanish/>
          <w:specVanish/>
        </w:rPr>
      </w:pPr>
      <w:r w:rsidRPr="004C3641">
        <w:rPr>
          <w:b w:val="0"/>
          <w:i w:val="0"/>
        </w:rPr>
        <w:br w:type="page"/>
      </w:r>
      <w:r w:rsidRPr="004C3641">
        <w:t xml:space="preserve">Issue </w:t>
      </w:r>
      <w:r w:rsidR="00B46EDA">
        <w:fldChar w:fldCharType="begin"/>
      </w:r>
      <w:r w:rsidR="00B46EDA">
        <w:instrText xml:space="preserve"> SEQ Issue \* MERGEFORMAT </w:instrText>
      </w:r>
      <w:r w:rsidR="00B46EDA">
        <w:fldChar w:fldCharType="separate"/>
      </w:r>
      <w:r w:rsidR="007A2CB7">
        <w:rPr>
          <w:noProof/>
        </w:rPr>
        <w:t>2</w:t>
      </w:r>
      <w:r w:rsidR="00B46ED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A2CB7">
        <w:rPr>
          <w:noProof/>
        </w:rPr>
        <w:instrText>2</w:instrText>
      </w:r>
      <w:r>
        <w:fldChar w:fldCharType="end"/>
      </w:r>
      <w:r>
        <w:tab/>
        <w:instrText xml:space="preserve">(Mason)" \l 1 </w:instrText>
      </w:r>
      <w:r>
        <w:fldChar w:fldCharType="end"/>
      </w:r>
      <w:r>
        <w:t> </w:t>
      </w:r>
    </w:p>
    <w:p w14:paraId="38A72ECA" w14:textId="0AB61369" w:rsidR="00FF2E56" w:rsidRDefault="00322836">
      <w:pPr>
        <w:pStyle w:val="BodyText"/>
      </w:pPr>
      <w:r w:rsidRPr="00322836">
        <w:t xml:space="preserve"> Should the Commission approve FPL's request to create regulatory asset</w:t>
      </w:r>
      <w:r w:rsidR="005C4F76">
        <w:t>s</w:t>
      </w:r>
      <w:r w:rsidRPr="00322836">
        <w:t xml:space="preserve"> representing </w:t>
      </w:r>
      <w:r w:rsidR="005C4F76">
        <w:t>its payment to MPC</w:t>
      </w:r>
      <w:r w:rsidRPr="00322836">
        <w:t>?</w:t>
      </w:r>
    </w:p>
    <w:p w14:paraId="00BAC6D7" w14:textId="77777777" w:rsidR="00FF2E56" w:rsidRPr="004C3641" w:rsidRDefault="00FF2E56">
      <w:pPr>
        <w:pStyle w:val="IssueSubsectionHeading"/>
        <w:rPr>
          <w:vanish/>
          <w:specVanish/>
        </w:rPr>
      </w:pPr>
      <w:r w:rsidRPr="004C3641">
        <w:t>Recommendation: </w:t>
      </w:r>
    </w:p>
    <w:p w14:paraId="186AD636" w14:textId="375C134D" w:rsidR="00FF2E56" w:rsidRDefault="00FF2E56">
      <w:pPr>
        <w:pStyle w:val="BodyText"/>
      </w:pPr>
      <w:r>
        <w:t> </w:t>
      </w:r>
      <w:r w:rsidR="00322836" w:rsidRPr="00322836">
        <w:t xml:space="preserve">Yes, the Commission </w:t>
      </w:r>
      <w:r w:rsidR="00D4677E">
        <w:t xml:space="preserve">should </w:t>
      </w:r>
      <w:r w:rsidR="00322836" w:rsidRPr="00322836">
        <w:t>approve FPL's request to create a regulatory asset</w:t>
      </w:r>
      <w:r w:rsidR="0000775F">
        <w:t>, in the amount of $31.04 million,</w:t>
      </w:r>
      <w:r w:rsidR="00322836" w:rsidRPr="00322836">
        <w:t xml:space="preserve"> representing the base rate portion of the </w:t>
      </w:r>
      <w:r w:rsidR="005C4F76">
        <w:t>transfer price</w:t>
      </w:r>
      <w:r w:rsidR="005C4F76" w:rsidRPr="00322836">
        <w:t xml:space="preserve"> </w:t>
      </w:r>
      <w:r w:rsidR="00322836" w:rsidRPr="00322836">
        <w:t>and allow recovery to begin</w:t>
      </w:r>
      <w:r w:rsidR="00322836">
        <w:t xml:space="preserve"> when base rates are next reset</w:t>
      </w:r>
      <w:r w:rsidR="005C4F76">
        <w:t>. The Commission should also authorize the creation of a separate regulatory asset</w:t>
      </w:r>
      <w:r w:rsidR="0000775F">
        <w:t>, in the amount of $4.98 million,</w:t>
      </w:r>
      <w:r w:rsidR="005C4F76">
        <w:t xml:space="preserve"> representing the portion that would have been recovered through the ECRC, to be recovered through the ECRC beginning January 1, 2026</w:t>
      </w:r>
      <w:r w:rsidR="00322836">
        <w:t>.</w:t>
      </w:r>
      <w:r w:rsidR="005C4F76">
        <w:t xml:space="preserve"> Both regulatory assets should be amortized over a period of 10 years.</w:t>
      </w:r>
      <w:r w:rsidR="00CB11F7" w:rsidRPr="00CB11F7">
        <w:t xml:space="preserve"> Furthermore, staff recommends allowing FPL to begin recovery at its next base rate reset, which has been filed as Docket No. 20250011-EI, with a recovery period of 10 years, as well as earn a return on the unamortized asset balance at the Company’s overall we</w:t>
      </w:r>
      <w:r w:rsidR="00CB11F7">
        <w:t>ighted average cost of capital.</w:t>
      </w:r>
      <w:r w:rsidR="00322836">
        <w:t xml:space="preserve"> </w:t>
      </w:r>
      <w:r>
        <w:t>(Mason)</w:t>
      </w:r>
    </w:p>
    <w:p w14:paraId="55A8A09F" w14:textId="77777777" w:rsidR="00FF2E56" w:rsidRPr="004C3641" w:rsidRDefault="00FF2E56">
      <w:pPr>
        <w:pStyle w:val="IssueSubsectionHeading"/>
        <w:rPr>
          <w:vanish/>
          <w:specVanish/>
        </w:rPr>
      </w:pPr>
      <w:r w:rsidRPr="004C3641">
        <w:t>Staff Analysis: </w:t>
      </w:r>
    </w:p>
    <w:p w14:paraId="4126D249" w14:textId="6D1EC5A1" w:rsidR="001910DC" w:rsidRPr="00EB0D38" w:rsidRDefault="00FF2E56">
      <w:pPr>
        <w:pStyle w:val="BodyText"/>
      </w:pPr>
      <w:r>
        <w:t> </w:t>
      </w:r>
      <w:r w:rsidR="007D5FF4">
        <w:t xml:space="preserve"> The amount originally requested by F</w:t>
      </w:r>
      <w:r w:rsidR="00D4677E">
        <w:t>PL to cover the portion of the transfer</w:t>
      </w:r>
      <w:r w:rsidR="007D5FF4">
        <w:t xml:space="preserve"> price related to otherwise recoverable base rate expenses was $39.3 million</w:t>
      </w:r>
      <w:r w:rsidR="005764AE">
        <w:t>. The original amount requested by FPL</w:t>
      </w:r>
      <w:r w:rsidR="00C81419">
        <w:t xml:space="preserve"> related to environmental costs othe</w:t>
      </w:r>
      <w:r w:rsidR="00C81419" w:rsidRPr="00EB0D38">
        <w:t>rwise recovered through the ECRC</w:t>
      </w:r>
      <w:r w:rsidR="005764AE">
        <w:t xml:space="preserve"> was $5.7 million</w:t>
      </w:r>
      <w:r w:rsidR="007D5FF4" w:rsidRPr="00EB0D38">
        <w:t>. FPL has proposed</w:t>
      </w:r>
      <w:r w:rsidR="004C5D4D" w:rsidRPr="00EB0D38">
        <w:t xml:space="preserve"> a recovery period</w:t>
      </w:r>
      <w:r w:rsidR="00C81419" w:rsidRPr="00EB0D38">
        <w:t xml:space="preserve"> of </w:t>
      </w:r>
      <w:r w:rsidR="004C5D4D" w:rsidRPr="00EB0D38">
        <w:t>10 years</w:t>
      </w:r>
      <w:r w:rsidR="00C81419" w:rsidRPr="00EB0D38">
        <w:t xml:space="preserve"> for both the base rate and ECRC regulatory asset</w:t>
      </w:r>
      <w:r w:rsidR="00D4677E">
        <w:t>s</w:t>
      </w:r>
      <w:r w:rsidR="00C81419" w:rsidRPr="00EB0D38">
        <w:t>, commencing at the resetting of base rates and January 1, 2026, respectively</w:t>
      </w:r>
      <w:r w:rsidR="004C5D4D" w:rsidRPr="00EB0D38">
        <w:t xml:space="preserve">. </w:t>
      </w:r>
      <w:r w:rsidR="00EB0D38" w:rsidRPr="00EB0D38">
        <w:t xml:space="preserve">On </w:t>
      </w:r>
      <w:r w:rsidR="005764AE">
        <w:t>February 28</w:t>
      </w:r>
      <w:r w:rsidR="00EB0D38" w:rsidRPr="00EB0D38">
        <w:t xml:space="preserve">, 2025, FPL filed a petition for a </w:t>
      </w:r>
      <w:r w:rsidR="00EB0D38">
        <w:t xml:space="preserve">base </w:t>
      </w:r>
      <w:r w:rsidR="00EB0D38" w:rsidRPr="00EB0D38">
        <w:t>rate increase, with new rates requested to be implemented January 1, 2026.</w:t>
      </w:r>
      <w:r w:rsidR="00EB0D38">
        <w:t xml:space="preserve"> </w:t>
      </w:r>
      <w:r w:rsidR="00C81419" w:rsidRPr="00EB0D38">
        <w:t xml:space="preserve">In its petition, </w:t>
      </w:r>
      <w:r w:rsidR="004C5D4D" w:rsidRPr="00EB0D38">
        <w:t>FPL</w:t>
      </w:r>
      <w:r w:rsidR="00C81419" w:rsidRPr="00EB0D38">
        <w:t xml:space="preserve"> highlighted previous Commission Orders approving settlements that </w:t>
      </w:r>
      <w:r w:rsidR="004C5D4D" w:rsidRPr="00EB0D38">
        <w:t>establish</w:t>
      </w:r>
      <w:r w:rsidR="00C81419" w:rsidRPr="00EB0D38">
        <w:t>ed</w:t>
      </w:r>
      <w:r w:rsidR="004C5D4D" w:rsidRPr="00EB0D38">
        <w:t xml:space="preserve"> regulatory assets</w:t>
      </w:r>
      <w:r w:rsidR="00D4677E">
        <w:t xml:space="preserve"> for the purpose of exiting</w:t>
      </w:r>
      <w:r w:rsidR="00B813D8" w:rsidRPr="00EB0D38">
        <w:t xml:space="preserve"> unprofitable generation agreements and thereby creating cust</w:t>
      </w:r>
      <w:r w:rsidR="002F4CBA" w:rsidRPr="00EB0D38">
        <w:t>o</w:t>
      </w:r>
      <w:r w:rsidR="00B813D8" w:rsidRPr="00EB0D38">
        <w:t>mer savings.</w:t>
      </w:r>
      <w:r w:rsidR="00C81419" w:rsidRPr="00EB0D38">
        <w:rPr>
          <w:rStyle w:val="FootnoteReference"/>
        </w:rPr>
        <w:footnoteReference w:id="3"/>
      </w:r>
    </w:p>
    <w:p w14:paraId="095E0680" w14:textId="318C75D6" w:rsidR="001910DC" w:rsidRPr="00EB0D38" w:rsidRDefault="001910DC">
      <w:pPr>
        <w:pStyle w:val="BodyText"/>
      </w:pPr>
      <w:r w:rsidRPr="00EB0D38">
        <w:t xml:space="preserve">The Commission has cited Financial Accounting Standards Board's Accounting Standards Codification 980 Regulated Operations (FASB ASC 980) in previous decisions regarding the approval of regulatory assets. The recognition and establishment of regulatory assets are addressed in </w:t>
      </w:r>
      <w:r w:rsidR="00984523" w:rsidRPr="00EB0D38">
        <w:t xml:space="preserve">FASB </w:t>
      </w:r>
      <w:r w:rsidRPr="00EB0D38">
        <w:t xml:space="preserve">ASC 980, which allows a regulated entity to capitalize all or part of an incurred cost, provided that: 1) it is probable that future revenue in an amount at least equal to the capitalized cost will result from inclusion of that cost in allowable costs for ratemaking purposes; and 2) based on available evidence, the future revenue will be provided to permit recovery of the previously incurred cost rather than to provide for expected levels of similar future costs. Based on staff’s recommendation on the prudence of the transaction transferring ownership of Units 1 </w:t>
      </w:r>
      <w:r w:rsidR="001B38A0">
        <w:t>&amp;</w:t>
      </w:r>
      <w:r w:rsidRPr="00EB0D38">
        <w:t xml:space="preserve"> 2 to MPC, as addressed in Issue 1, staff believes the recognition and recovery of each regulatory asset should be approved. </w:t>
      </w:r>
    </w:p>
    <w:p w14:paraId="3DB200FA" w14:textId="15F45F0B" w:rsidR="00984523" w:rsidRDefault="00892501">
      <w:pPr>
        <w:pStyle w:val="BodyText"/>
      </w:pPr>
      <w:r w:rsidRPr="00EB0D38">
        <w:t>As FPL stated in its initial petition</w:t>
      </w:r>
      <w:r w:rsidR="0060328F" w:rsidRPr="00EB0D38">
        <w:t>,</w:t>
      </w:r>
      <w:r w:rsidRPr="00EB0D38">
        <w:t xml:space="preserve"> due to the PSA approval going beyond the original requested date of December 31, 2024, the $45 million transfer price has been reduced to approximately $38.1 million to reflect the </w:t>
      </w:r>
      <w:r w:rsidR="0060328F" w:rsidRPr="00EB0D38">
        <w:t xml:space="preserve">$6.9 million in property taxes that FPL was required to pay. Furthermore, FPL has stated that it is responsible for approximately $0.3 million in monthly operating costs, which will also reduce the </w:t>
      </w:r>
      <w:r w:rsidR="00A32D1A" w:rsidRPr="00EB0D38">
        <w:t xml:space="preserve">transfer </w:t>
      </w:r>
      <w:r w:rsidR="0060328F" w:rsidRPr="00EB0D38">
        <w:t xml:space="preserve">price. </w:t>
      </w:r>
      <w:r w:rsidR="002F4CBA" w:rsidRPr="00EB0D38">
        <w:t xml:space="preserve"> According to FPL in </w:t>
      </w:r>
      <w:r w:rsidR="0000775F">
        <w:t>its</w:t>
      </w:r>
      <w:r w:rsidR="002F4CBA" w:rsidRPr="00EB0D38">
        <w:t xml:space="preserve"> response to staff’s second request for data, if approved in April 2025, the PSA would have a price of $36.02 million, with $31.04 million</w:t>
      </w:r>
      <w:r w:rsidR="005764AE">
        <w:t xml:space="preserve"> being the new value for the </w:t>
      </w:r>
      <w:r w:rsidR="002F4CBA" w:rsidRPr="00EB0D38">
        <w:t xml:space="preserve">portion of the </w:t>
      </w:r>
      <w:r w:rsidR="009D4144" w:rsidRPr="00EB0D38">
        <w:t>t</w:t>
      </w:r>
      <w:r w:rsidR="002F4CBA" w:rsidRPr="00EB0D38">
        <w:t>ransfer price that represents base rates</w:t>
      </w:r>
      <w:r w:rsidR="005764AE">
        <w:t xml:space="preserve"> and $4.98 million being the </w:t>
      </w:r>
      <w:r w:rsidR="00A32D1A" w:rsidRPr="00EB0D38">
        <w:t>portion that represents the environmental costs that would otherwise be recovered through the ECRC</w:t>
      </w:r>
      <w:r w:rsidR="002F4CBA" w:rsidRPr="00EB0D38">
        <w:t>.</w:t>
      </w:r>
      <w:r w:rsidR="004548D8" w:rsidRPr="00EB0D38">
        <w:t xml:space="preserve"> Staff agrees that the creation of regulatory asset</w:t>
      </w:r>
      <w:r w:rsidR="00A32D1A" w:rsidRPr="00EB0D38">
        <w:t>s</w:t>
      </w:r>
      <w:r w:rsidR="004548D8" w:rsidRPr="00EB0D38">
        <w:t xml:space="preserve"> worth $31.04 million </w:t>
      </w:r>
      <w:r w:rsidR="00A32D1A" w:rsidRPr="00EB0D38">
        <w:t xml:space="preserve">and $4.98 million </w:t>
      </w:r>
      <w:r w:rsidR="004548D8" w:rsidRPr="00EB0D38">
        <w:t xml:space="preserve">is the appropriate accounting treatment for recovery of </w:t>
      </w:r>
      <w:r w:rsidR="001751F3" w:rsidRPr="00EB0D38">
        <w:t xml:space="preserve">the </w:t>
      </w:r>
      <w:r w:rsidR="009D4144" w:rsidRPr="00EB0D38">
        <w:t>t</w:t>
      </w:r>
      <w:r w:rsidR="001751F3" w:rsidRPr="00EB0D38">
        <w:t>ransfer price related to base rates</w:t>
      </w:r>
      <w:r w:rsidR="00A32D1A" w:rsidRPr="00EB0D38">
        <w:t xml:space="preserve"> and environmental costs, respectively</w:t>
      </w:r>
      <w:r w:rsidR="001751F3" w:rsidRPr="00EB0D38">
        <w:t xml:space="preserve">. </w:t>
      </w:r>
      <w:r w:rsidR="007516AD" w:rsidRPr="007516AD">
        <w:t xml:space="preserve">Furthermore, staff recommends allowing FPL to begin recovery at its next base rate </w:t>
      </w:r>
      <w:r w:rsidR="00F2244B">
        <w:t>reset, which has been filed as</w:t>
      </w:r>
      <w:r w:rsidR="007516AD">
        <w:t xml:space="preserve"> D</w:t>
      </w:r>
      <w:r w:rsidR="007516AD" w:rsidRPr="007516AD">
        <w:t xml:space="preserve">ocket </w:t>
      </w:r>
      <w:r w:rsidR="007516AD">
        <w:t xml:space="preserve">No. </w:t>
      </w:r>
      <w:r w:rsidR="007516AD" w:rsidRPr="007516AD">
        <w:t>20250011</w:t>
      </w:r>
      <w:r w:rsidR="007516AD">
        <w:t>-EI</w:t>
      </w:r>
      <w:r w:rsidR="007516AD" w:rsidRPr="007516AD">
        <w:t>, with a recovery period of 10 years, as well as earn a return on the unamortized asset balance at the Company’s overall weighted average cost of capital.</w:t>
      </w:r>
      <w:r w:rsidR="001751F3">
        <w:t xml:space="preserve"> </w:t>
      </w:r>
    </w:p>
    <w:p w14:paraId="1392EE88" w14:textId="56A5D98E" w:rsidR="009A2B9D" w:rsidRPr="009A2B9D" w:rsidRDefault="00322836" w:rsidP="009A2B9D">
      <w:pPr>
        <w:pStyle w:val="IssueHeading"/>
        <w:rPr>
          <w:b w:val="0"/>
          <w:i w:val="0"/>
          <w:vanish/>
          <w:specVanish/>
        </w:rPr>
      </w:pPr>
      <w:r w:rsidRPr="004C3641">
        <w:br w:type="page"/>
      </w:r>
      <w:r w:rsidRPr="009A2B9D">
        <w:rPr>
          <w:rStyle w:val="IssueHeadingChar"/>
          <w:b/>
          <w:i/>
        </w:rPr>
        <w:t xml:space="preserve">Issue </w:t>
      </w:r>
      <w:r w:rsidRPr="009A2B9D">
        <w:rPr>
          <w:rStyle w:val="IssueHeadingChar"/>
          <w:b/>
          <w:i/>
        </w:rPr>
        <w:fldChar w:fldCharType="begin"/>
      </w:r>
      <w:r w:rsidRPr="009A2B9D">
        <w:rPr>
          <w:rStyle w:val="IssueHeadingChar"/>
          <w:b/>
          <w:i/>
        </w:rPr>
        <w:instrText xml:space="preserve"> SEQ Issue \* MERGEFORMAT </w:instrText>
      </w:r>
      <w:r w:rsidRPr="009A2B9D">
        <w:rPr>
          <w:rStyle w:val="IssueHeadingChar"/>
          <w:b/>
          <w:i/>
        </w:rPr>
        <w:fldChar w:fldCharType="separate"/>
      </w:r>
      <w:r w:rsidR="007A2CB7">
        <w:rPr>
          <w:rStyle w:val="IssueHeadingChar"/>
          <w:b/>
          <w:i/>
          <w:noProof/>
        </w:rPr>
        <w:t>3</w:t>
      </w:r>
      <w:r w:rsidRPr="009A2B9D">
        <w:rPr>
          <w:rStyle w:val="IssueHeadingChar"/>
          <w:b/>
          <w:i/>
        </w:rPr>
        <w:fldChar w:fldCharType="end"/>
      </w:r>
      <w:r w:rsidRPr="009A2B9D">
        <w:rPr>
          <w:rStyle w:val="IssueHeadingChar"/>
          <w:b/>
          <w:i/>
        </w:rPr>
        <w:t>:</w:t>
      </w:r>
      <w:r w:rsidRPr="00413C19">
        <w:fldChar w:fldCharType="begin"/>
      </w:r>
      <w:r w:rsidRPr="00413C19">
        <w:instrText xml:space="preserve"> TC "</w:instrText>
      </w:r>
      <w:r w:rsidRPr="00413C19">
        <w:fldChar w:fldCharType="begin"/>
      </w:r>
      <w:r w:rsidRPr="00413C19">
        <w:instrText xml:space="preserve"> SEQ issue \c </w:instrText>
      </w:r>
      <w:r w:rsidRPr="00413C19">
        <w:fldChar w:fldCharType="separate"/>
      </w:r>
      <w:r w:rsidR="007A2CB7">
        <w:rPr>
          <w:noProof/>
        </w:rPr>
        <w:instrText>3</w:instrText>
      </w:r>
      <w:r w:rsidRPr="00413C19">
        <w:fldChar w:fldCharType="end"/>
      </w:r>
      <w:r w:rsidRPr="00413C19">
        <w:tab/>
        <w:instrText xml:space="preserve">(Ellis)" \l 1 </w:instrText>
      </w:r>
      <w:r w:rsidRPr="00413C19">
        <w:fldChar w:fldCharType="end"/>
      </w:r>
    </w:p>
    <w:p w14:paraId="772C1704" w14:textId="56523C2E" w:rsidR="00322836" w:rsidRDefault="00322836">
      <w:pPr>
        <w:pStyle w:val="BodyText"/>
      </w:pPr>
      <w:r>
        <w:t xml:space="preserve"> Should the </w:t>
      </w:r>
      <w:r w:rsidR="002F4CBA">
        <w:t>Commission</w:t>
      </w:r>
      <w:r>
        <w:t xml:space="preserve"> approve FPL's request to</w:t>
      </w:r>
      <w:r w:rsidR="005C4F76">
        <w:t xml:space="preserve"> continue recovering eligible pre-closing environmental costs through the ECRC</w:t>
      </w:r>
      <w:r>
        <w:t>?</w:t>
      </w:r>
    </w:p>
    <w:p w14:paraId="717BEF55" w14:textId="77777777" w:rsidR="00322836" w:rsidRPr="004C3641" w:rsidRDefault="00322836">
      <w:pPr>
        <w:pStyle w:val="IssueSubsectionHeading"/>
        <w:rPr>
          <w:vanish/>
          <w:specVanish/>
        </w:rPr>
      </w:pPr>
      <w:r w:rsidRPr="004C3641">
        <w:t>Recommendation: </w:t>
      </w:r>
    </w:p>
    <w:p w14:paraId="3A998BE3" w14:textId="46AD1C13" w:rsidR="00322836" w:rsidRDefault="00322836">
      <w:pPr>
        <w:pStyle w:val="BodyText"/>
      </w:pPr>
      <w:r>
        <w:t> </w:t>
      </w:r>
      <w:r w:rsidR="00306F02">
        <w:t>Yes,</w:t>
      </w:r>
      <w:r w:rsidR="00306F02" w:rsidRPr="00306F02">
        <w:t xml:space="preserve"> the Commission</w:t>
      </w:r>
      <w:r w:rsidR="00306F02">
        <w:t xml:space="preserve"> should</w:t>
      </w:r>
      <w:r w:rsidR="00306F02" w:rsidRPr="00306F02">
        <w:t xml:space="preserve"> approve FPL's request </w:t>
      </w:r>
      <w:r w:rsidR="005C4F76">
        <w:t xml:space="preserve">to </w:t>
      </w:r>
      <w:r w:rsidR="005C4F76" w:rsidRPr="005C4F76">
        <w:t xml:space="preserve">continue recovering eligible environmental costs </w:t>
      </w:r>
      <w:r w:rsidR="005C4F76">
        <w:t xml:space="preserve">incurred through the closing date of the PSA </w:t>
      </w:r>
      <w:r w:rsidR="005C4F76" w:rsidRPr="005C4F76">
        <w:t>through the ECRC</w:t>
      </w:r>
      <w:r w:rsidR="005C4F76">
        <w:t>.</w:t>
      </w:r>
      <w:r>
        <w:t xml:space="preserve"> (Mason)</w:t>
      </w:r>
    </w:p>
    <w:p w14:paraId="2F984E9F" w14:textId="77777777" w:rsidR="00322836" w:rsidRPr="004C3641" w:rsidRDefault="00322836">
      <w:pPr>
        <w:pStyle w:val="IssueSubsectionHeading"/>
        <w:rPr>
          <w:vanish/>
          <w:specVanish/>
        </w:rPr>
      </w:pPr>
      <w:r w:rsidRPr="004C3641">
        <w:t>Staff Analysis: </w:t>
      </w:r>
    </w:p>
    <w:p w14:paraId="55E89662" w14:textId="3161976A" w:rsidR="005C4F76" w:rsidRDefault="00322836">
      <w:pPr>
        <w:pStyle w:val="BodyText"/>
      </w:pPr>
      <w:r>
        <w:t> </w:t>
      </w:r>
      <w:r w:rsidR="001910DC">
        <w:t xml:space="preserve">In its petition, FPL requested the Commission’s authorization to continue recovery of eligible prudently incurred pre-closing environmental costs pertaining to FPL’s proportionate share of Units 1 </w:t>
      </w:r>
      <w:r w:rsidR="001B38A0">
        <w:t>&amp;</w:t>
      </w:r>
      <w:r w:rsidR="005764AE">
        <w:t xml:space="preserve"> 2 through the ECRC. While t</w:t>
      </w:r>
      <w:r w:rsidR="001910DC">
        <w:t xml:space="preserve">he PSA shifts most Common Facilities costs to MPC, FPL remains obligated to cover common costs related to </w:t>
      </w:r>
      <w:r w:rsidR="005764AE">
        <w:t>Coal Combustion Residuals</w:t>
      </w:r>
      <w:r w:rsidR="001910DC">
        <w:t xml:space="preserve"> produced prior to the Transaction’s closing date, as well as other environmental liabilities arising from pre-closing activities. </w:t>
      </w:r>
      <w:r w:rsidR="0000775F">
        <w:t>As discussed in Issue 1, staff</w:t>
      </w:r>
      <w:r w:rsidR="001910DC">
        <w:t xml:space="preserve"> believes</w:t>
      </w:r>
      <w:r w:rsidR="001910DC" w:rsidRPr="001910DC">
        <w:t xml:space="preserve"> the transaction transferring ownership of </w:t>
      </w:r>
      <w:r w:rsidR="001910DC">
        <w:t>t</w:t>
      </w:r>
      <w:r w:rsidR="000A50A8">
        <w:t xml:space="preserve">he units is prudent. As such, obligated environmental costs incurred prior to the Transaction’s closing date should be eligible for recovery </w:t>
      </w:r>
      <w:r w:rsidR="0000775F">
        <w:t>through</w:t>
      </w:r>
      <w:r w:rsidR="000A50A8">
        <w:t xml:space="preserve"> the ECRC. Those costs are still reviewed as part of the annual ECRC proceeding. </w:t>
      </w:r>
    </w:p>
    <w:p w14:paraId="1AADBB8E" w14:textId="69511D17" w:rsidR="00E048FE" w:rsidRDefault="00E048FE">
      <w:pPr>
        <w:pStyle w:val="IssueHeading"/>
        <w:rPr>
          <w:vanish/>
          <w:specVanish/>
        </w:rPr>
      </w:pPr>
      <w:r w:rsidRPr="004C3641">
        <w:rPr>
          <w:b w:val="0"/>
          <w:i w:val="0"/>
        </w:rPr>
        <w:br w:type="page"/>
      </w:r>
      <w:r w:rsidRPr="004C3641">
        <w:t xml:space="preserve">Issue </w:t>
      </w:r>
      <w:r w:rsidR="00B46EDA">
        <w:fldChar w:fldCharType="begin"/>
      </w:r>
      <w:r w:rsidR="00B46EDA">
        <w:instrText xml:space="preserve"> SEQ Issue \* MERGEFORMAT </w:instrText>
      </w:r>
      <w:r w:rsidR="00B46EDA">
        <w:fldChar w:fldCharType="separate"/>
      </w:r>
      <w:r w:rsidR="007A2CB7">
        <w:rPr>
          <w:noProof/>
        </w:rPr>
        <w:t>4</w:t>
      </w:r>
      <w:r w:rsidR="00B46ED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A2CB7">
        <w:rPr>
          <w:noProof/>
        </w:rPr>
        <w:instrText>4</w:instrText>
      </w:r>
      <w:r>
        <w:fldChar w:fldCharType="end"/>
      </w:r>
      <w:r>
        <w:tab/>
        <w:instrText xml:space="preserve">" \l 1 </w:instrText>
      </w:r>
      <w:r>
        <w:fldChar w:fldCharType="end"/>
      </w:r>
      <w:r>
        <w:t> </w:t>
      </w:r>
    </w:p>
    <w:p w14:paraId="1600E93E" w14:textId="1C371B79" w:rsidR="00E048FE" w:rsidRDefault="00E048FE">
      <w:pPr>
        <w:pStyle w:val="BodyText"/>
      </w:pPr>
      <w:r>
        <w:t> Should FPL be permitted to accrue Units 1 &amp; 2 dismantlement costs in base rates until the annual accrual is next reset with the support of a dismantlement study?</w:t>
      </w:r>
    </w:p>
    <w:p w14:paraId="3C009AE8" w14:textId="77777777" w:rsidR="00E048FE" w:rsidRPr="004C3641" w:rsidRDefault="00E048FE">
      <w:pPr>
        <w:pStyle w:val="IssueSubsectionHeading"/>
        <w:rPr>
          <w:vanish/>
          <w:specVanish/>
        </w:rPr>
      </w:pPr>
      <w:r w:rsidRPr="004C3641">
        <w:t>Recommendation: </w:t>
      </w:r>
    </w:p>
    <w:p w14:paraId="7E4396A3" w14:textId="5EEEF973" w:rsidR="00E048FE" w:rsidRDefault="00E048FE">
      <w:pPr>
        <w:pStyle w:val="BodyText"/>
      </w:pPr>
      <w:r>
        <w:t> </w:t>
      </w:r>
      <w:r w:rsidR="00F7188C">
        <w:t>Yes. Staff recommends approval of FPL’s request to</w:t>
      </w:r>
      <w:r w:rsidR="00F7188C" w:rsidRPr="00C677E3">
        <w:t xml:space="preserve"> </w:t>
      </w:r>
      <w:r w:rsidR="00F7188C">
        <w:t>continue to accrue its proportionate share of dismantlement costs associated with Plant Daniel Units 1 &amp; 2 in base rates.</w:t>
      </w:r>
      <w:r>
        <w:t xml:space="preserve"> </w:t>
      </w:r>
      <w:r w:rsidR="00AD3CA8">
        <w:t>(Wu)</w:t>
      </w:r>
    </w:p>
    <w:p w14:paraId="765694C6" w14:textId="77777777" w:rsidR="00E048FE" w:rsidRPr="004C3641" w:rsidRDefault="00E048FE">
      <w:pPr>
        <w:pStyle w:val="IssueSubsectionHeading"/>
        <w:rPr>
          <w:vanish/>
          <w:specVanish/>
        </w:rPr>
      </w:pPr>
      <w:r w:rsidRPr="004C3641">
        <w:t>Staff Analysis: </w:t>
      </w:r>
    </w:p>
    <w:p w14:paraId="02E2C55C" w14:textId="5797B38D" w:rsidR="00F7188C" w:rsidRDefault="00E048FE" w:rsidP="00786C09">
      <w:pPr>
        <w:pStyle w:val="BodyText"/>
      </w:pPr>
      <w:r>
        <w:t> </w:t>
      </w:r>
      <w:r w:rsidR="00F7188C">
        <w:t xml:space="preserve">In its Petition, the Company stated that under the </w:t>
      </w:r>
      <w:r w:rsidR="005764AE">
        <w:t>PSA</w:t>
      </w:r>
      <w:r w:rsidR="00F7188C">
        <w:t xml:space="preserve">, FPL will retain dismantlement and asset retirement obligations on the existing plant, including decommissioning liabilities related to dismantling Plant Daniel </w:t>
      </w:r>
      <w:r w:rsidR="00F7188C" w:rsidRPr="00FC7551">
        <w:t>and restoration of the</w:t>
      </w:r>
      <w:r w:rsidR="00F7188C">
        <w:t xml:space="preserve"> plant site. These obligations are calculated as a percentage of FPL’s pre-closing ownership interest.</w:t>
      </w:r>
      <w:r w:rsidR="00F7188C">
        <w:rPr>
          <w:rStyle w:val="FootnoteReference"/>
        </w:rPr>
        <w:footnoteReference w:id="4"/>
      </w:r>
      <w:r w:rsidR="00F7188C">
        <w:t xml:space="preserve"> As such, FPL requests that it be permitted to continue to accrue Units 1 &amp; 2 dismantlement costs in base rates until the annual accrual is next reset with the support of a dismantlement study.</w:t>
      </w:r>
      <w:r w:rsidR="00F7188C" w:rsidDel="00B8478D">
        <w:t xml:space="preserve"> </w:t>
      </w:r>
      <w:r w:rsidR="00F7188C">
        <w:t>The Company claimed that this request is consistent with Paragraph 19 of FPL’s 2021 rate</w:t>
      </w:r>
      <w:r w:rsidR="00A0531F">
        <w:t xml:space="preserve"> case</w:t>
      </w:r>
      <w:r w:rsidR="00F7188C">
        <w:t xml:space="preserve"> settlement agreement </w:t>
      </w:r>
      <w:r w:rsidR="00A0531F">
        <w:t xml:space="preserve">that was </w:t>
      </w:r>
      <w:r w:rsidR="00F7188C">
        <w:t>approved by the Commission.</w:t>
      </w:r>
      <w:r w:rsidR="00F7188C">
        <w:rPr>
          <w:rStyle w:val="FootnoteReference"/>
        </w:rPr>
        <w:footnoteReference w:id="5"/>
      </w:r>
      <w:r w:rsidR="00F7188C">
        <w:t xml:space="preserve"> Both Orders specify that </w:t>
      </w:r>
      <w:r w:rsidR="00F7188C" w:rsidRPr="00FC7551">
        <w:t>the base rates,</w:t>
      </w:r>
      <w:r w:rsidR="00F7188C">
        <w:t xml:space="preserve"> in which the dismantlement accrual </w:t>
      </w:r>
      <w:r w:rsidR="00F7188C" w:rsidRPr="00FC7551">
        <w:t xml:space="preserve">amounts are </w:t>
      </w:r>
      <w:r w:rsidR="00F7188C">
        <w:t>incorporated</w:t>
      </w:r>
      <w:r w:rsidR="00F7188C" w:rsidRPr="00FC7551">
        <w:t>,</w:t>
      </w:r>
      <w:r w:rsidR="00F7188C">
        <w:t xml:space="preserve"> in effect at the beginning of the settlement’s term will remain in effect until FPL’s base rates are next reset in a general base rate proceeding. </w:t>
      </w:r>
    </w:p>
    <w:p w14:paraId="0C46C726" w14:textId="7AAC7FA3" w:rsidR="00F7188C" w:rsidRDefault="00F7188C" w:rsidP="00786C09">
      <w:pPr>
        <w:pStyle w:val="BodyText"/>
      </w:pPr>
      <w:r w:rsidRPr="009668DC">
        <w:t>On</w:t>
      </w:r>
      <w:r>
        <w:t xml:space="preserve"> February 28, 2025, FPL filed a</w:t>
      </w:r>
      <w:r w:rsidR="00C11357">
        <w:t xml:space="preserve"> new</w:t>
      </w:r>
      <w:r>
        <w:t xml:space="preserve"> petition</w:t>
      </w:r>
      <w:r w:rsidRPr="009668DC">
        <w:t xml:space="preserve"> </w:t>
      </w:r>
      <w:r>
        <w:t xml:space="preserve">for </w:t>
      </w:r>
      <w:r w:rsidR="00C11357">
        <w:t>a</w:t>
      </w:r>
      <w:r>
        <w:t xml:space="preserve"> general base rate proceeding.</w:t>
      </w:r>
      <w:r w:rsidR="00A0531F">
        <w:rPr>
          <w:rStyle w:val="FootnoteReference"/>
        </w:rPr>
        <w:footnoteReference w:id="6"/>
      </w:r>
      <w:r>
        <w:t xml:space="preserve"> With </w:t>
      </w:r>
      <w:r w:rsidR="003D480B">
        <w:t xml:space="preserve">the rate case </w:t>
      </w:r>
      <w:r>
        <w:t>petition, the Company also submit</w:t>
      </w:r>
      <w:r w:rsidR="00C11357">
        <w:t>ted an updated</w:t>
      </w:r>
      <w:r>
        <w:t xml:space="preserve"> dismantlement study which includes the updated dismantlement costs and accruals pertaining FPL’s ownership share of Units 1 &amp; 2 for Commission approval.</w:t>
      </w:r>
      <w:r>
        <w:rPr>
          <w:rStyle w:val="FootnoteReference"/>
        </w:rPr>
        <w:footnoteReference w:id="7"/>
      </w:r>
      <w:r>
        <w:t xml:space="preserve"> </w:t>
      </w:r>
    </w:p>
    <w:p w14:paraId="075BC1B0" w14:textId="10AD7ECC" w:rsidR="00F7188C" w:rsidRDefault="00F7188C" w:rsidP="00786C09">
      <w:pPr>
        <w:pStyle w:val="BodyText"/>
      </w:pPr>
      <w:r>
        <w:t xml:space="preserve">Staff believes that FPL’s </w:t>
      </w:r>
      <w:r w:rsidRPr="00D964E1">
        <w:t xml:space="preserve">request </w:t>
      </w:r>
      <w:r>
        <w:t xml:space="preserve">discussed in this issue </w:t>
      </w:r>
      <w:r w:rsidRPr="00D964E1">
        <w:t>is in accordance with Rule 25-</w:t>
      </w:r>
      <w:r>
        <w:t>6</w:t>
      </w:r>
      <w:r w:rsidRPr="00D964E1">
        <w:t>.04</w:t>
      </w:r>
      <w:r>
        <w:t>364</w:t>
      </w:r>
      <w:r w:rsidRPr="00D964E1">
        <w:t>(</w:t>
      </w:r>
      <w:r>
        <w:t>1</w:t>
      </w:r>
      <w:r w:rsidRPr="00D964E1">
        <w:t>), Florida Administrative Code, which provides that</w:t>
      </w:r>
      <w:r>
        <w:t xml:space="preserve"> “[e]</w:t>
      </w:r>
      <w:r w:rsidRPr="00D964E1">
        <w:t>ach utility that owns a generating unit is required to establish a dismantlement accrual as approved by the Commission to accumulate a reserve to meet all expenses at the time of dismantlement.</w:t>
      </w:r>
      <w:r w:rsidR="00F5348D">
        <w:t>” Further, the request</w:t>
      </w:r>
      <w:r>
        <w:t xml:space="preserve"> is inline with </w:t>
      </w:r>
      <w:r w:rsidRPr="00382F43">
        <w:t>Rule 25-6.04364(</w:t>
      </w:r>
      <w:r>
        <w:t>6</w:t>
      </w:r>
      <w:r w:rsidRPr="00382F43">
        <w:t xml:space="preserve">), </w:t>
      </w:r>
      <w:r w:rsidR="00A0531F">
        <w:t>Florida Administrative Code</w:t>
      </w:r>
      <w:r>
        <w:t xml:space="preserve">, </w:t>
      </w:r>
      <w:r w:rsidR="00A0531F">
        <w:t xml:space="preserve">which </w:t>
      </w:r>
      <w:r>
        <w:t>specifies that “[a]</w:t>
      </w:r>
      <w:r w:rsidRPr="00674ABA">
        <w:t xml:space="preserve"> utility shall not establish a new annual dismantlement accrual, revise its annual dismantlement accrual, or transfer a dismantlement reserve without prior Commission approval.</w:t>
      </w:r>
      <w:r>
        <w:t>”</w:t>
      </w:r>
    </w:p>
    <w:p w14:paraId="729665B7" w14:textId="49D77B2D" w:rsidR="00E048FE" w:rsidRDefault="00F7188C">
      <w:pPr>
        <w:pStyle w:val="BodyText"/>
      </w:pPr>
      <w:r>
        <w:t xml:space="preserve">Based on the above, staff recommends </w:t>
      </w:r>
      <w:r w:rsidRPr="00382F43">
        <w:t>approval of FPL’s request to continu</w:t>
      </w:r>
      <w:r>
        <w:t>e to</w:t>
      </w:r>
      <w:r w:rsidRPr="00382F43">
        <w:t xml:space="preserve"> accrue its proportionate share of dismantlement costs associated with Plant Daniel Units 1 &amp; 2 in base rates.</w:t>
      </w:r>
    </w:p>
    <w:p w14:paraId="4D8633A9" w14:textId="7670D3A8" w:rsidR="00E048FE" w:rsidRDefault="00E048FE">
      <w:pPr>
        <w:pStyle w:val="IssueHeading"/>
        <w:rPr>
          <w:vanish/>
          <w:specVanish/>
        </w:rPr>
      </w:pPr>
      <w:r w:rsidRPr="004C3641">
        <w:rPr>
          <w:b w:val="0"/>
          <w:i w:val="0"/>
        </w:rPr>
        <w:br w:type="page"/>
      </w:r>
      <w:r w:rsidRPr="004C3641">
        <w:t xml:space="preserve">Issue </w:t>
      </w:r>
      <w:r w:rsidR="00B46EDA">
        <w:fldChar w:fldCharType="begin"/>
      </w:r>
      <w:r w:rsidR="00B46EDA">
        <w:instrText xml:space="preserve"> SEQ Issue \* MERGEFORMAT </w:instrText>
      </w:r>
      <w:r w:rsidR="00B46EDA">
        <w:fldChar w:fldCharType="separate"/>
      </w:r>
      <w:r w:rsidR="007A2CB7">
        <w:rPr>
          <w:noProof/>
        </w:rPr>
        <w:t>5</w:t>
      </w:r>
      <w:r w:rsidR="00B46ED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A2CB7">
        <w:rPr>
          <w:noProof/>
        </w:rPr>
        <w:instrText>5</w:instrText>
      </w:r>
      <w:r>
        <w:fldChar w:fldCharType="end"/>
      </w:r>
      <w:r>
        <w:tab/>
        <w:instrText xml:space="preserve">" \l 1 </w:instrText>
      </w:r>
      <w:r>
        <w:fldChar w:fldCharType="end"/>
      </w:r>
      <w:r>
        <w:t> </w:t>
      </w:r>
    </w:p>
    <w:p w14:paraId="3078C565" w14:textId="3494052D" w:rsidR="00E048FE" w:rsidRDefault="00E048FE">
      <w:pPr>
        <w:pStyle w:val="BodyText"/>
      </w:pPr>
      <w:r>
        <w:t> Should this docket be closed?</w:t>
      </w:r>
    </w:p>
    <w:p w14:paraId="243975DB" w14:textId="77777777" w:rsidR="00E048FE" w:rsidRPr="004C3641" w:rsidRDefault="00E048FE">
      <w:pPr>
        <w:pStyle w:val="IssueSubsectionHeading"/>
        <w:rPr>
          <w:vanish/>
          <w:specVanish/>
        </w:rPr>
      </w:pPr>
      <w:r w:rsidRPr="004C3641">
        <w:t>Recommendation: </w:t>
      </w:r>
    </w:p>
    <w:p w14:paraId="4B6B14F2" w14:textId="16DDDEAE" w:rsidR="00E048FE" w:rsidRDefault="00E048FE">
      <w:pPr>
        <w:pStyle w:val="BodyText"/>
      </w:pPr>
      <w:r>
        <w:t> </w:t>
      </w:r>
      <w:r w:rsidR="00425C66" w:rsidRPr="00425C66">
        <w:t>If no protest is filed by a person whose substantial interests are affected within 21 days of the issuance of the Order, this docket should be closed upon the issuance of a Consummating Order.</w:t>
      </w:r>
      <w:r>
        <w:t xml:space="preserve"> </w:t>
      </w:r>
      <w:r w:rsidR="00AD3CA8">
        <w:t>(Stiller)</w:t>
      </w:r>
    </w:p>
    <w:p w14:paraId="76C43F2E" w14:textId="77777777" w:rsidR="00E048FE" w:rsidRPr="004C3641" w:rsidRDefault="00E048FE">
      <w:pPr>
        <w:pStyle w:val="IssueSubsectionHeading"/>
        <w:rPr>
          <w:vanish/>
          <w:specVanish/>
        </w:rPr>
      </w:pPr>
      <w:r w:rsidRPr="004C3641">
        <w:t>Staff Analysis: </w:t>
      </w:r>
    </w:p>
    <w:p w14:paraId="61B8BA20" w14:textId="4C0A8A07" w:rsidR="00E048FE" w:rsidRDefault="00425C66">
      <w:pPr>
        <w:pStyle w:val="BodyText"/>
      </w:pPr>
      <w:r w:rsidRPr="00425C66">
        <w:t>If no protest is filed by a person whose substantial interests are affected within 21 days of the issuance of the Order, this docket should be closed upon the issuance of a Consummating Order</w:t>
      </w:r>
    </w:p>
    <w:p w14:paraId="56DE0484" w14:textId="3BE2BB3D" w:rsidR="005C4F76" w:rsidRDefault="005C4F76">
      <w:pPr>
        <w:pStyle w:val="BodyText"/>
      </w:pPr>
    </w:p>
    <w:sectPr w:rsidR="005C4F76"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F32A1" w14:textId="77777777" w:rsidR="00AE1891" w:rsidRDefault="00AE1891">
      <w:r>
        <w:separator/>
      </w:r>
    </w:p>
  </w:endnote>
  <w:endnote w:type="continuationSeparator" w:id="0">
    <w:p w14:paraId="0E072406" w14:textId="77777777" w:rsidR="00AE1891" w:rsidRDefault="00AE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C5E23" w14:textId="1A4F1C2A"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A1771">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6C7F6"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C1517" w14:textId="77777777" w:rsidR="00AE1891" w:rsidRDefault="00AE1891">
      <w:r>
        <w:separator/>
      </w:r>
    </w:p>
  </w:footnote>
  <w:footnote w:type="continuationSeparator" w:id="0">
    <w:p w14:paraId="6AA0B88E" w14:textId="77777777" w:rsidR="00AE1891" w:rsidRDefault="00AE1891">
      <w:r>
        <w:continuationSeparator/>
      </w:r>
    </w:p>
  </w:footnote>
  <w:footnote w:id="1">
    <w:p w14:paraId="1EBC80A0" w14:textId="17BAAFC0" w:rsidR="00B70D4C" w:rsidRDefault="00B70D4C" w:rsidP="00B70D4C">
      <w:pPr>
        <w:pStyle w:val="FootnoteText"/>
      </w:pPr>
      <w:r>
        <w:rPr>
          <w:rStyle w:val="FootnoteReference"/>
        </w:rPr>
        <w:footnoteRef/>
      </w:r>
      <w:r w:rsidR="00020F0B">
        <w:t xml:space="preserve">Order Nos. </w:t>
      </w:r>
      <w:r w:rsidR="00020F0B" w:rsidRPr="00A9136B">
        <w:t>PSC-2021-0446-S-EI</w:t>
      </w:r>
      <w:r w:rsidR="00020F0B">
        <w:t xml:space="preserve"> and PSC-2024-0078-FOF-EI, issued December 2, 2021, and March 3, 2025, respectively, in </w:t>
      </w:r>
      <w:r>
        <w:t xml:space="preserve">Docket No. 20210015-EI, </w:t>
      </w:r>
      <w:r w:rsidRPr="00B70D4C">
        <w:rPr>
          <w:i/>
        </w:rPr>
        <w:t>In re: Petition for rate increase by Florida Power &amp; Light Company</w:t>
      </w:r>
      <w:r>
        <w:rPr>
          <w:i/>
        </w:rPr>
        <w:t>.</w:t>
      </w:r>
    </w:p>
  </w:footnote>
  <w:footnote w:id="2">
    <w:p w14:paraId="091A67BE" w14:textId="558492BE" w:rsidR="001B38A0" w:rsidRDefault="001B38A0" w:rsidP="001B38A0">
      <w:pPr>
        <w:pStyle w:val="FootnoteText"/>
      </w:pPr>
      <w:r>
        <w:rPr>
          <w:rStyle w:val="FootnoteReference"/>
        </w:rPr>
        <w:footnoteRef/>
      </w:r>
      <w:r>
        <w:t>Document No. 00416-2025 in Docket No. 20240155</w:t>
      </w:r>
    </w:p>
  </w:footnote>
  <w:footnote w:id="3">
    <w:p w14:paraId="3A040A22" w14:textId="44FE6A8C" w:rsidR="00C81419" w:rsidRDefault="00C81419" w:rsidP="00984523">
      <w:pPr>
        <w:pStyle w:val="FootnoteText"/>
      </w:pPr>
      <w:r>
        <w:rPr>
          <w:rStyle w:val="FootnoteReference"/>
        </w:rPr>
        <w:footnoteRef/>
      </w:r>
      <w:r w:rsidR="005764AE">
        <w:t xml:space="preserve">See </w:t>
      </w:r>
      <w:r w:rsidR="00441EC7" w:rsidRPr="00441EC7">
        <w:t>Order No. PSC-15-0401-AS-EI issued September 23, 2015 in Docket No.</w:t>
      </w:r>
      <w:r w:rsidR="00441EC7">
        <w:t xml:space="preserve"> </w:t>
      </w:r>
      <w:r w:rsidR="00441EC7" w:rsidRPr="00441EC7">
        <w:t>150075-EI</w:t>
      </w:r>
      <w:r w:rsidR="00441EC7">
        <w:t xml:space="preserve">, </w:t>
      </w:r>
      <w:r w:rsidR="00984523" w:rsidRPr="00984523">
        <w:rPr>
          <w:i/>
        </w:rPr>
        <w:t>I</w:t>
      </w:r>
      <w:r w:rsidR="00984523">
        <w:rPr>
          <w:i/>
        </w:rPr>
        <w:t>n re: P</w:t>
      </w:r>
      <w:r w:rsidR="00441EC7" w:rsidRPr="00441EC7">
        <w:rPr>
          <w:i/>
        </w:rPr>
        <w:t>etition for approval of arrangement to mitigate impact of unfavorable Cedar Bay power purchase obligation, by Florida Power &amp; Light Company</w:t>
      </w:r>
      <w:r w:rsidR="005764AE">
        <w:t>;</w:t>
      </w:r>
      <w:r w:rsidR="00441EC7">
        <w:t xml:space="preserve"> Order No. </w:t>
      </w:r>
      <w:r w:rsidR="00441EC7" w:rsidRPr="00441EC7">
        <w:t>PSC-16-0506-FOF-EI issued November 2, 2016 in Docket</w:t>
      </w:r>
      <w:r w:rsidR="00441EC7">
        <w:t xml:space="preserve"> </w:t>
      </w:r>
      <w:r w:rsidR="00441EC7" w:rsidRPr="00441EC7">
        <w:t>No. 160154-EI</w:t>
      </w:r>
      <w:r w:rsidR="00441EC7">
        <w:t xml:space="preserve">, </w:t>
      </w:r>
      <w:r w:rsidR="00984523" w:rsidRPr="00984523">
        <w:rPr>
          <w:i/>
        </w:rPr>
        <w:t>I</w:t>
      </w:r>
      <w:r w:rsidR="00984523">
        <w:rPr>
          <w:i/>
        </w:rPr>
        <w:t>n re:</w:t>
      </w:r>
      <w:r w:rsidR="00EB0D38">
        <w:rPr>
          <w:i/>
        </w:rPr>
        <w:t xml:space="preserve"> </w:t>
      </w:r>
      <w:r w:rsidR="00984523" w:rsidRPr="00984523">
        <w:rPr>
          <w:i/>
        </w:rPr>
        <w:t>Petition for approval of a purchase and sale agreement between Florida Power &amp; Light Company and Calypso Energy Holdings, LLC, for the ownership of the Indiantown Cogeneration LP and related power purchase agreement</w:t>
      </w:r>
      <w:r w:rsidR="005764AE">
        <w:t>, and</w:t>
      </w:r>
      <w:r w:rsidR="00984523">
        <w:t xml:space="preserve"> Order No. </w:t>
      </w:r>
      <w:r w:rsidR="00984523" w:rsidRPr="00984523">
        <w:t>PSC-2017-0415-AS-EI issued October 24,</w:t>
      </w:r>
      <w:r w:rsidR="00984523">
        <w:t xml:space="preserve"> </w:t>
      </w:r>
      <w:r w:rsidR="00984523" w:rsidRPr="00984523">
        <w:t>2017 in Docket No. 20170123-EI</w:t>
      </w:r>
      <w:r w:rsidR="00984523">
        <w:t xml:space="preserve">, </w:t>
      </w:r>
      <w:r w:rsidR="00984523" w:rsidRPr="00984523">
        <w:rPr>
          <w:i/>
        </w:rPr>
        <w:t>I</w:t>
      </w:r>
      <w:r w:rsidR="00984523">
        <w:rPr>
          <w:i/>
        </w:rPr>
        <w:t>n re:</w:t>
      </w:r>
      <w:r w:rsidR="00EB0D38">
        <w:rPr>
          <w:i/>
        </w:rPr>
        <w:t xml:space="preserve"> </w:t>
      </w:r>
      <w:r w:rsidR="00984523" w:rsidRPr="00984523">
        <w:rPr>
          <w:i/>
        </w:rPr>
        <w:t>Petition for approval of arrangement to mitigate unfavorable impact of St. Johns River Power Park, by Florida Power &amp; Light Company</w:t>
      </w:r>
      <w:r w:rsidR="00984523" w:rsidRPr="00984523">
        <w:t>.</w:t>
      </w:r>
    </w:p>
  </w:footnote>
  <w:footnote w:id="4">
    <w:p w14:paraId="4979FABD" w14:textId="187259C1" w:rsidR="00F7188C" w:rsidRDefault="00F7188C" w:rsidP="00F7188C">
      <w:pPr>
        <w:pStyle w:val="FootnoteText"/>
      </w:pPr>
      <w:r>
        <w:rPr>
          <w:rStyle w:val="FootnoteReference"/>
        </w:rPr>
        <w:footnoteRef/>
      </w:r>
      <w:r>
        <w:t>Document No. 09846-2024, paragraph 12.</w:t>
      </w:r>
    </w:p>
  </w:footnote>
  <w:footnote w:id="5">
    <w:p w14:paraId="6795041E" w14:textId="6A77B6E8" w:rsidR="00F7188C" w:rsidRPr="00A9136B" w:rsidRDefault="00F7188C" w:rsidP="00F7188C">
      <w:pPr>
        <w:pStyle w:val="FootnoteText"/>
      </w:pPr>
      <w:r>
        <w:rPr>
          <w:rStyle w:val="FootnoteReference"/>
        </w:rPr>
        <w:footnoteRef/>
      </w:r>
      <w:r w:rsidRPr="00A9136B">
        <w:t>Order Nos. PSC-2021-0446-S-EI</w:t>
      </w:r>
      <w:r w:rsidRPr="00BF61E2">
        <w:t xml:space="preserve"> </w:t>
      </w:r>
      <w:r>
        <w:t>and</w:t>
      </w:r>
      <w:r w:rsidRPr="00A9136B">
        <w:t xml:space="preserve"> PSC-2024-0078-FOF-EI</w:t>
      </w:r>
      <w:r>
        <w:t>, issued December 2, 2021 and March 25, 2024,</w:t>
      </w:r>
      <w:r w:rsidR="00A0531F">
        <w:t xml:space="preserve"> respectively, in Docket No. 20210015-EI,</w:t>
      </w:r>
      <w:r>
        <w:t xml:space="preserve"> </w:t>
      </w:r>
      <w:r w:rsidRPr="00A9136B">
        <w:rPr>
          <w:i/>
        </w:rPr>
        <w:t>In re: Petition for rate increase by Florida Power &amp; Light Company</w:t>
      </w:r>
      <w:r>
        <w:t>.</w:t>
      </w:r>
    </w:p>
  </w:footnote>
  <w:footnote w:id="6">
    <w:p w14:paraId="48C09BF7" w14:textId="0D394B7A" w:rsidR="00A0531F" w:rsidRDefault="00A0531F">
      <w:pPr>
        <w:pStyle w:val="FootnoteText"/>
      </w:pPr>
      <w:r>
        <w:rPr>
          <w:rStyle w:val="FootnoteReference"/>
        </w:rPr>
        <w:footnoteRef/>
      </w:r>
      <w:r>
        <w:t xml:space="preserve"> Docket No. 2025011-EI, </w:t>
      </w:r>
      <w:r w:rsidRPr="00797462">
        <w:rPr>
          <w:i/>
        </w:rPr>
        <w:t>In re: Petition for rate increase by Florida Power &amp; Light Company.</w:t>
      </w:r>
    </w:p>
  </w:footnote>
  <w:footnote w:id="7">
    <w:p w14:paraId="5ACBDC79" w14:textId="64A4C2FD" w:rsidR="00F7188C" w:rsidRDefault="00F7188C" w:rsidP="00F7188C">
      <w:pPr>
        <w:pStyle w:val="FootnoteText"/>
      </w:pPr>
      <w:r>
        <w:rPr>
          <w:rStyle w:val="FootnoteReference"/>
        </w:rPr>
        <w:footnoteRef/>
      </w:r>
      <w:r>
        <w:t>Document No. 09846-2024, paragraph 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E6B38" w14:textId="77777777" w:rsidR="00BC402E" w:rsidRDefault="00133906"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20240155-EI</w:t>
    </w:r>
    <w:bookmarkEnd w:id="15"/>
  </w:p>
  <w:p w14:paraId="25741E4F" w14:textId="50340034" w:rsidR="00BC402E" w:rsidRDefault="00BC402E">
    <w:pPr>
      <w:pStyle w:val="Header"/>
    </w:pPr>
    <w:r>
      <w:t xml:space="preserve">Date: </w:t>
    </w:r>
    <w:r w:rsidR="00B46EDA">
      <w:fldChar w:fldCharType="begin"/>
    </w:r>
    <w:r w:rsidR="00B46EDA">
      <w:instrText xml:space="preserve"> REF FilingDate </w:instrText>
    </w:r>
    <w:r w:rsidR="00B46EDA">
      <w:fldChar w:fldCharType="separate"/>
    </w:r>
    <w:r w:rsidR="007A2CB7">
      <w:t>March 20, 2025</w:t>
    </w:r>
    <w:r w:rsidR="00B46ED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AA99A" w14:textId="1BA761B8"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7A2CB7">
      <w:t>Docket No.</w:t>
    </w:r>
    <w:r>
      <w:fldChar w:fldCharType="end"/>
    </w:r>
    <w:r>
      <w:t xml:space="preserve"> </w:t>
    </w:r>
    <w:r>
      <w:fldChar w:fldCharType="begin"/>
    </w:r>
    <w:r>
      <w:instrText xml:space="preserve"> REF DocketList</w:instrText>
    </w:r>
    <w:r>
      <w:fldChar w:fldCharType="separate"/>
    </w:r>
    <w:r w:rsidR="007A2CB7">
      <w:t>20240155-EI</w:t>
    </w:r>
    <w:r>
      <w:fldChar w:fldCharType="end"/>
    </w:r>
    <w:r>
      <w:tab/>
      <w:t xml:space="preserve">Issue </w:t>
    </w:r>
    <w:r w:rsidR="00B46EDA">
      <w:fldChar w:fldCharType="begin"/>
    </w:r>
    <w:r w:rsidR="00B46EDA">
      <w:instrText xml:space="preserve"> Seq Issue \c \* Arabic </w:instrText>
    </w:r>
    <w:r w:rsidR="00B46EDA">
      <w:fldChar w:fldCharType="separate"/>
    </w:r>
    <w:r w:rsidR="008A1771">
      <w:rPr>
        <w:noProof/>
      </w:rPr>
      <w:t>5</w:t>
    </w:r>
    <w:r w:rsidR="00B46EDA">
      <w:rPr>
        <w:noProof/>
      </w:rPr>
      <w:fldChar w:fldCharType="end"/>
    </w:r>
  </w:p>
  <w:p w14:paraId="5239691D" w14:textId="17E266A8" w:rsidR="00BC402E" w:rsidRDefault="00BC402E">
    <w:pPr>
      <w:pStyle w:val="Header"/>
    </w:pPr>
    <w:r>
      <w:t xml:space="preserve">Date: </w:t>
    </w:r>
    <w:r w:rsidR="00B46EDA">
      <w:fldChar w:fldCharType="begin"/>
    </w:r>
    <w:r w:rsidR="00B46EDA">
      <w:instrText xml:space="preserve"> REF FilingDate </w:instrText>
    </w:r>
    <w:r w:rsidR="00B46EDA">
      <w:fldChar w:fldCharType="separate"/>
    </w:r>
    <w:r w:rsidR="007A2CB7">
      <w:t>March 20, 2025</w:t>
    </w:r>
    <w:r w:rsidR="00B46ED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614FA"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s-MX" w:vendorID="64" w:dllVersion="6" w:nlCheck="1" w:checkStyle="1"/>
  <w:activeWritingStyle w:appName="MSWord" w:lang="en-US" w:vendorID="64" w:dllVersion="4096" w:nlCheck="1" w:checkStyle="0"/>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33906"/>
    <w:rsid w:val="000043D5"/>
    <w:rsid w:val="00006170"/>
    <w:rsid w:val="0000775F"/>
    <w:rsid w:val="00010E37"/>
    <w:rsid w:val="000172DA"/>
    <w:rsid w:val="00020F0B"/>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A50A8"/>
    <w:rsid w:val="000B0ACE"/>
    <w:rsid w:val="000B0BD7"/>
    <w:rsid w:val="000C4431"/>
    <w:rsid w:val="000C6607"/>
    <w:rsid w:val="000D1C06"/>
    <w:rsid w:val="000D3043"/>
    <w:rsid w:val="000D4319"/>
    <w:rsid w:val="000E24FA"/>
    <w:rsid w:val="000E338A"/>
    <w:rsid w:val="000E4392"/>
    <w:rsid w:val="000F374A"/>
    <w:rsid w:val="000F4DAF"/>
    <w:rsid w:val="00105BA1"/>
    <w:rsid w:val="001076AF"/>
    <w:rsid w:val="001109F6"/>
    <w:rsid w:val="00112D7E"/>
    <w:rsid w:val="00116C6B"/>
    <w:rsid w:val="00117C8C"/>
    <w:rsid w:val="001239F0"/>
    <w:rsid w:val="00124C38"/>
    <w:rsid w:val="00124E2E"/>
    <w:rsid w:val="00125ED4"/>
    <w:rsid w:val="001303BF"/>
    <w:rsid w:val="001305E9"/>
    <w:rsid w:val="001307AF"/>
    <w:rsid w:val="0013347E"/>
    <w:rsid w:val="00133906"/>
    <w:rsid w:val="00135687"/>
    <w:rsid w:val="00136BD1"/>
    <w:rsid w:val="0014146D"/>
    <w:rsid w:val="00146B5D"/>
    <w:rsid w:val="00150ECE"/>
    <w:rsid w:val="0015506E"/>
    <w:rsid w:val="00163031"/>
    <w:rsid w:val="001654C4"/>
    <w:rsid w:val="00171A90"/>
    <w:rsid w:val="001751F3"/>
    <w:rsid w:val="00180254"/>
    <w:rsid w:val="00181795"/>
    <w:rsid w:val="001910DC"/>
    <w:rsid w:val="00191E1F"/>
    <w:rsid w:val="00191EE8"/>
    <w:rsid w:val="00192943"/>
    <w:rsid w:val="00193BAF"/>
    <w:rsid w:val="00194791"/>
    <w:rsid w:val="001A7406"/>
    <w:rsid w:val="001A7AE4"/>
    <w:rsid w:val="001B0D01"/>
    <w:rsid w:val="001B1EDC"/>
    <w:rsid w:val="001B38A0"/>
    <w:rsid w:val="001B4053"/>
    <w:rsid w:val="001B4FEE"/>
    <w:rsid w:val="001B51C5"/>
    <w:rsid w:val="001B672A"/>
    <w:rsid w:val="001B6F3F"/>
    <w:rsid w:val="001C52B5"/>
    <w:rsid w:val="001D0D3E"/>
    <w:rsid w:val="001D13C3"/>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53ED0"/>
    <w:rsid w:val="00263D44"/>
    <w:rsid w:val="002702AD"/>
    <w:rsid w:val="00270D73"/>
    <w:rsid w:val="00281EB4"/>
    <w:rsid w:val="00292D82"/>
    <w:rsid w:val="00293EE7"/>
    <w:rsid w:val="002963CB"/>
    <w:rsid w:val="002B2DAC"/>
    <w:rsid w:val="002B4A01"/>
    <w:rsid w:val="002C291B"/>
    <w:rsid w:val="002C746A"/>
    <w:rsid w:val="002C7E4E"/>
    <w:rsid w:val="002D226D"/>
    <w:rsid w:val="002D74E3"/>
    <w:rsid w:val="002F0634"/>
    <w:rsid w:val="002F4CBA"/>
    <w:rsid w:val="002F6030"/>
    <w:rsid w:val="003001AC"/>
    <w:rsid w:val="003037E1"/>
    <w:rsid w:val="00306F02"/>
    <w:rsid w:val="00307E51"/>
    <w:rsid w:val="003103EC"/>
    <w:rsid w:val="00312132"/>
    <w:rsid w:val="003130BA"/>
    <w:rsid w:val="003144EF"/>
    <w:rsid w:val="0031480E"/>
    <w:rsid w:val="00316877"/>
    <w:rsid w:val="00322836"/>
    <w:rsid w:val="00322F74"/>
    <w:rsid w:val="00325E15"/>
    <w:rsid w:val="00326ABC"/>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1357"/>
    <w:rsid w:val="003915A6"/>
    <w:rsid w:val="003948AE"/>
    <w:rsid w:val="003A08C0"/>
    <w:rsid w:val="003A22A6"/>
    <w:rsid w:val="003A32EB"/>
    <w:rsid w:val="003A5494"/>
    <w:rsid w:val="003B2510"/>
    <w:rsid w:val="003B4355"/>
    <w:rsid w:val="003C2CC4"/>
    <w:rsid w:val="003C3710"/>
    <w:rsid w:val="003C42A3"/>
    <w:rsid w:val="003C48F7"/>
    <w:rsid w:val="003D480B"/>
    <w:rsid w:val="003D71A9"/>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13C19"/>
    <w:rsid w:val="00423BAF"/>
    <w:rsid w:val="004242E6"/>
    <w:rsid w:val="00425C66"/>
    <w:rsid w:val="00427B35"/>
    <w:rsid w:val="00431598"/>
    <w:rsid w:val="004319AD"/>
    <w:rsid w:val="00441EC7"/>
    <w:rsid w:val="004426B8"/>
    <w:rsid w:val="00444432"/>
    <w:rsid w:val="00447D5C"/>
    <w:rsid w:val="00450202"/>
    <w:rsid w:val="004502B2"/>
    <w:rsid w:val="004548D8"/>
    <w:rsid w:val="00455499"/>
    <w:rsid w:val="004649A7"/>
    <w:rsid w:val="00471860"/>
    <w:rsid w:val="00477026"/>
    <w:rsid w:val="00477730"/>
    <w:rsid w:val="004A744D"/>
    <w:rsid w:val="004B60BD"/>
    <w:rsid w:val="004C3150"/>
    <w:rsid w:val="004C3641"/>
    <w:rsid w:val="004C3873"/>
    <w:rsid w:val="004C4390"/>
    <w:rsid w:val="004C4AF7"/>
    <w:rsid w:val="004C5D4D"/>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764AE"/>
    <w:rsid w:val="00580F69"/>
    <w:rsid w:val="00581CA3"/>
    <w:rsid w:val="00585031"/>
    <w:rsid w:val="00586E8B"/>
    <w:rsid w:val="00587090"/>
    <w:rsid w:val="00587A44"/>
    <w:rsid w:val="00597730"/>
    <w:rsid w:val="005977EC"/>
    <w:rsid w:val="00597DE7"/>
    <w:rsid w:val="005A1CD3"/>
    <w:rsid w:val="005A24D6"/>
    <w:rsid w:val="005A4AA2"/>
    <w:rsid w:val="005B34B6"/>
    <w:rsid w:val="005B606A"/>
    <w:rsid w:val="005B6C8F"/>
    <w:rsid w:val="005B6EC3"/>
    <w:rsid w:val="005C17D7"/>
    <w:rsid w:val="005C33CE"/>
    <w:rsid w:val="005C4F76"/>
    <w:rsid w:val="005D0F74"/>
    <w:rsid w:val="005D2E7D"/>
    <w:rsid w:val="005D4A8F"/>
    <w:rsid w:val="005D561B"/>
    <w:rsid w:val="005D578F"/>
    <w:rsid w:val="005D5ECF"/>
    <w:rsid w:val="005F2ABE"/>
    <w:rsid w:val="005F468D"/>
    <w:rsid w:val="005F69A3"/>
    <w:rsid w:val="0060328F"/>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065F"/>
    <w:rsid w:val="00673BDB"/>
    <w:rsid w:val="00674341"/>
    <w:rsid w:val="006771B8"/>
    <w:rsid w:val="00681BC2"/>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01B7"/>
    <w:rsid w:val="0070437D"/>
    <w:rsid w:val="00704CF1"/>
    <w:rsid w:val="00705B04"/>
    <w:rsid w:val="0071040E"/>
    <w:rsid w:val="00717EE9"/>
    <w:rsid w:val="00724992"/>
    <w:rsid w:val="00724F64"/>
    <w:rsid w:val="00727F90"/>
    <w:rsid w:val="00734820"/>
    <w:rsid w:val="007349DC"/>
    <w:rsid w:val="0074365E"/>
    <w:rsid w:val="00744B55"/>
    <w:rsid w:val="007515FD"/>
    <w:rsid w:val="007516AD"/>
    <w:rsid w:val="00760D80"/>
    <w:rsid w:val="00761CB4"/>
    <w:rsid w:val="00762084"/>
    <w:rsid w:val="00771868"/>
    <w:rsid w:val="00780C09"/>
    <w:rsid w:val="00780DDF"/>
    <w:rsid w:val="007834E9"/>
    <w:rsid w:val="00786C09"/>
    <w:rsid w:val="00787DBC"/>
    <w:rsid w:val="0079019A"/>
    <w:rsid w:val="00792935"/>
    <w:rsid w:val="007A04A1"/>
    <w:rsid w:val="007A1840"/>
    <w:rsid w:val="007A2CB7"/>
    <w:rsid w:val="007B730C"/>
    <w:rsid w:val="007C0528"/>
    <w:rsid w:val="007C08EA"/>
    <w:rsid w:val="007C3922"/>
    <w:rsid w:val="007C3D38"/>
    <w:rsid w:val="007D0F35"/>
    <w:rsid w:val="007D1783"/>
    <w:rsid w:val="007D4546"/>
    <w:rsid w:val="007D4FEB"/>
    <w:rsid w:val="007D5FF4"/>
    <w:rsid w:val="007D6146"/>
    <w:rsid w:val="007E0CE7"/>
    <w:rsid w:val="007F1193"/>
    <w:rsid w:val="007F417F"/>
    <w:rsid w:val="007F4CCB"/>
    <w:rsid w:val="007F7644"/>
    <w:rsid w:val="008042BD"/>
    <w:rsid w:val="00804E17"/>
    <w:rsid w:val="008050B3"/>
    <w:rsid w:val="00816624"/>
    <w:rsid w:val="008202B6"/>
    <w:rsid w:val="00822427"/>
    <w:rsid w:val="00822562"/>
    <w:rsid w:val="00823663"/>
    <w:rsid w:val="00823664"/>
    <w:rsid w:val="008236F3"/>
    <w:rsid w:val="008305B7"/>
    <w:rsid w:val="00832DDC"/>
    <w:rsid w:val="00834941"/>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501"/>
    <w:rsid w:val="00892D99"/>
    <w:rsid w:val="00893315"/>
    <w:rsid w:val="00894C09"/>
    <w:rsid w:val="008A1771"/>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4523"/>
    <w:rsid w:val="00984F05"/>
    <w:rsid w:val="009863B0"/>
    <w:rsid w:val="00987DE1"/>
    <w:rsid w:val="00990571"/>
    <w:rsid w:val="00991905"/>
    <w:rsid w:val="009926B2"/>
    <w:rsid w:val="0099673A"/>
    <w:rsid w:val="009A2B9D"/>
    <w:rsid w:val="009A3291"/>
    <w:rsid w:val="009A3330"/>
    <w:rsid w:val="009A548F"/>
    <w:rsid w:val="009A7C96"/>
    <w:rsid w:val="009B61BF"/>
    <w:rsid w:val="009C3253"/>
    <w:rsid w:val="009C3DB9"/>
    <w:rsid w:val="009C5968"/>
    <w:rsid w:val="009D0436"/>
    <w:rsid w:val="009D4144"/>
    <w:rsid w:val="009D46E5"/>
    <w:rsid w:val="009D568A"/>
    <w:rsid w:val="009F04EC"/>
    <w:rsid w:val="009F2A7C"/>
    <w:rsid w:val="009F3B36"/>
    <w:rsid w:val="00A019B9"/>
    <w:rsid w:val="00A03157"/>
    <w:rsid w:val="00A0531F"/>
    <w:rsid w:val="00A11756"/>
    <w:rsid w:val="00A12497"/>
    <w:rsid w:val="00A12508"/>
    <w:rsid w:val="00A1282B"/>
    <w:rsid w:val="00A13A27"/>
    <w:rsid w:val="00A15B7C"/>
    <w:rsid w:val="00A175B6"/>
    <w:rsid w:val="00A21835"/>
    <w:rsid w:val="00A2374B"/>
    <w:rsid w:val="00A23AAB"/>
    <w:rsid w:val="00A27D6E"/>
    <w:rsid w:val="00A328EC"/>
    <w:rsid w:val="00A32D1A"/>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24E5"/>
    <w:rsid w:val="00AB6C5D"/>
    <w:rsid w:val="00AC3401"/>
    <w:rsid w:val="00AC3446"/>
    <w:rsid w:val="00AC51A7"/>
    <w:rsid w:val="00AC603B"/>
    <w:rsid w:val="00AD0E89"/>
    <w:rsid w:val="00AD3CA8"/>
    <w:rsid w:val="00AD444B"/>
    <w:rsid w:val="00AD5614"/>
    <w:rsid w:val="00AD6C78"/>
    <w:rsid w:val="00AE03F0"/>
    <w:rsid w:val="00AE1891"/>
    <w:rsid w:val="00AE2EAB"/>
    <w:rsid w:val="00AE6BBA"/>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94A"/>
    <w:rsid w:val="00B57A6A"/>
    <w:rsid w:val="00B62D0D"/>
    <w:rsid w:val="00B70D4C"/>
    <w:rsid w:val="00B760F1"/>
    <w:rsid w:val="00B7669E"/>
    <w:rsid w:val="00B76EBB"/>
    <w:rsid w:val="00B77DA1"/>
    <w:rsid w:val="00B813D8"/>
    <w:rsid w:val="00B822A0"/>
    <w:rsid w:val="00B82F85"/>
    <w:rsid w:val="00B858AE"/>
    <w:rsid w:val="00B85964"/>
    <w:rsid w:val="00B96250"/>
    <w:rsid w:val="00BA0D55"/>
    <w:rsid w:val="00BA37B3"/>
    <w:rsid w:val="00BA4CC6"/>
    <w:rsid w:val="00BA7F46"/>
    <w:rsid w:val="00BB0F1D"/>
    <w:rsid w:val="00BB1F85"/>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1357"/>
    <w:rsid w:val="00C13791"/>
    <w:rsid w:val="00C210BD"/>
    <w:rsid w:val="00C2575A"/>
    <w:rsid w:val="00C31BB3"/>
    <w:rsid w:val="00C36977"/>
    <w:rsid w:val="00C46628"/>
    <w:rsid w:val="00C467DA"/>
    <w:rsid w:val="00C477D9"/>
    <w:rsid w:val="00C57869"/>
    <w:rsid w:val="00C60BA3"/>
    <w:rsid w:val="00C623F7"/>
    <w:rsid w:val="00C62A81"/>
    <w:rsid w:val="00C67B95"/>
    <w:rsid w:val="00C67CD7"/>
    <w:rsid w:val="00C71E00"/>
    <w:rsid w:val="00C75BC5"/>
    <w:rsid w:val="00C81419"/>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1F7"/>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677E"/>
    <w:rsid w:val="00D479AE"/>
    <w:rsid w:val="00D50FCD"/>
    <w:rsid w:val="00D533E3"/>
    <w:rsid w:val="00D60B16"/>
    <w:rsid w:val="00D60F02"/>
    <w:rsid w:val="00D66E49"/>
    <w:rsid w:val="00D70D71"/>
    <w:rsid w:val="00D716D0"/>
    <w:rsid w:val="00D72F74"/>
    <w:rsid w:val="00D81563"/>
    <w:rsid w:val="00D837C1"/>
    <w:rsid w:val="00D85907"/>
    <w:rsid w:val="00D860AC"/>
    <w:rsid w:val="00D9073E"/>
    <w:rsid w:val="00D9221D"/>
    <w:rsid w:val="00D9253C"/>
    <w:rsid w:val="00D958DF"/>
    <w:rsid w:val="00D96DA1"/>
    <w:rsid w:val="00DA51E7"/>
    <w:rsid w:val="00DB0260"/>
    <w:rsid w:val="00DB1C78"/>
    <w:rsid w:val="00DB5CA6"/>
    <w:rsid w:val="00DB7D96"/>
    <w:rsid w:val="00DC23FE"/>
    <w:rsid w:val="00DC59E6"/>
    <w:rsid w:val="00DD150B"/>
    <w:rsid w:val="00DD3356"/>
    <w:rsid w:val="00DD5025"/>
    <w:rsid w:val="00DD5464"/>
    <w:rsid w:val="00DD6F85"/>
    <w:rsid w:val="00DE254E"/>
    <w:rsid w:val="00DE32C0"/>
    <w:rsid w:val="00DE76A7"/>
    <w:rsid w:val="00DF1510"/>
    <w:rsid w:val="00E02F1F"/>
    <w:rsid w:val="00E048FE"/>
    <w:rsid w:val="00E05454"/>
    <w:rsid w:val="00E06484"/>
    <w:rsid w:val="00E06B24"/>
    <w:rsid w:val="00E105C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114A"/>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5329"/>
    <w:rsid w:val="00EA7C3C"/>
    <w:rsid w:val="00EB0D38"/>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44B"/>
    <w:rsid w:val="00F227DC"/>
    <w:rsid w:val="00F263B9"/>
    <w:rsid w:val="00F30701"/>
    <w:rsid w:val="00F32978"/>
    <w:rsid w:val="00F44CB9"/>
    <w:rsid w:val="00F45CB2"/>
    <w:rsid w:val="00F511F3"/>
    <w:rsid w:val="00F5348D"/>
    <w:rsid w:val="00F544C0"/>
    <w:rsid w:val="00F55332"/>
    <w:rsid w:val="00F6156E"/>
    <w:rsid w:val="00F6504A"/>
    <w:rsid w:val="00F65519"/>
    <w:rsid w:val="00F66D9F"/>
    <w:rsid w:val="00F713C0"/>
    <w:rsid w:val="00F7188C"/>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D7E7C"/>
    <w:rsid w:val="00FE00C8"/>
    <w:rsid w:val="00FE0577"/>
    <w:rsid w:val="00FE2FF8"/>
    <w:rsid w:val="00FE59EC"/>
    <w:rsid w:val="00FE5B67"/>
    <w:rsid w:val="00FE60D6"/>
    <w:rsid w:val="00FF2E56"/>
    <w:rsid w:val="00FF4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47296"/>
  <w15:docId w15:val="{3746104C-E77B-41AE-A795-E028977B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36CE2"/>
    <w:pPr>
      <w:spacing w:after="240"/>
      <w:jc w:val="both"/>
    </w:pPr>
  </w:style>
  <w:style w:type="character" w:customStyle="1" w:styleId="BodyTextChar">
    <w:name w:val="Body Text Char"/>
    <w:link w:val="BodyText"/>
    <w:uiPriority w:val="99"/>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C81419"/>
    <w:rPr>
      <w:vertAlign w:val="superscript"/>
    </w:rPr>
  </w:style>
  <w:style w:type="character" w:styleId="CommentReference">
    <w:name w:val="annotation reference"/>
    <w:basedOn w:val="DefaultParagraphFont"/>
    <w:semiHidden/>
    <w:unhideWhenUsed/>
    <w:rsid w:val="00C81419"/>
    <w:rPr>
      <w:sz w:val="16"/>
      <w:szCs w:val="16"/>
    </w:rPr>
  </w:style>
  <w:style w:type="character" w:customStyle="1" w:styleId="FootnoteTextChar">
    <w:name w:val="Footnote Text Char"/>
    <w:basedOn w:val="DefaultParagraphFont"/>
    <w:link w:val="FootnoteText"/>
    <w:uiPriority w:val="99"/>
    <w:rsid w:val="00F7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A148A-114B-4BF4-8378-001C9B27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10</Pages>
  <Words>3387</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Ian Mason</dc:creator>
  <cp:lastModifiedBy>Suzanne Hawkes</cp:lastModifiedBy>
  <cp:revision>2</cp:revision>
  <cp:lastPrinted>2025-03-19T16:16:00Z</cp:lastPrinted>
  <dcterms:created xsi:type="dcterms:W3CDTF">2025-03-20T11:54:00Z</dcterms:created>
  <dcterms:modified xsi:type="dcterms:W3CDTF">2025-03-20T11:54:00Z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20240155-EI</vt:lpwstr>
  </property>
  <property fmtid="{D5CDD505-2E9C-101B-9397-08002B2CF9AE}" pid="3" name="MasterDocument">
    <vt:bool>false</vt:bool>
  </property>
</Properties>
</file>