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6CCC">
            <w:pPr>
              <w:pStyle w:val="MemoHeading"/>
            </w:pPr>
            <w:bookmarkStart w:id="1" w:name="FilingDate"/>
            <w:r>
              <w:t>April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6CCC" w:rsidRDefault="00386CCC">
            <w:pPr>
              <w:pStyle w:val="MemoHeading"/>
            </w:pPr>
            <w:bookmarkStart w:id="2" w:name="From"/>
            <w:r>
              <w:t>Division of Economics (Bruce, Bethea, Hudson, Richards)</w:t>
            </w:r>
          </w:p>
          <w:p w:rsidR="00386CCC" w:rsidRDefault="00386CCC">
            <w:pPr>
              <w:pStyle w:val="MemoHeading"/>
            </w:pPr>
            <w:r>
              <w:t>Division of Accounting and Finance (Higgins)</w:t>
            </w:r>
          </w:p>
          <w:p w:rsidR="007C0528" w:rsidRDefault="00386CCC">
            <w:pPr>
              <w:pStyle w:val="MemoHeading"/>
            </w:pPr>
            <w:r>
              <w:t>Office of the General Counsel (Sparks, Harper)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6CCC">
            <w:pPr>
              <w:pStyle w:val="MemoHeadingRe"/>
            </w:pPr>
            <w:bookmarkStart w:id="3" w:name="Re"/>
            <w:r>
              <w:t>Docket No. 20220185-WS – Application for limited alternative rate increase in Hardee, Manatee, Marion, Polk, and Pasco Counties, by Charlie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6CCC">
            <w:pPr>
              <w:pStyle w:val="MemoHeading"/>
            </w:pPr>
            <w:bookmarkStart w:id="4" w:name="AgendaDate"/>
            <w:r>
              <w:t>05/06/25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6CC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86CCC">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86CC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6CC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386CCC">
      <w:pPr>
        <w:pStyle w:val="BodyText"/>
      </w:pPr>
      <w:r w:rsidRPr="00386CCC">
        <w:t xml:space="preserve">On November 4, 2022, Florida Utility Services 1, LLC (FUS1) filed an application for a limited alternative rate increase (LARI) pursuant to Rule 25-30.457, Florida Administrative Code (F.A.C.) for the following systems:  Charlie Creek Utilities, LLC (Charlie Creek); Crestridge Utilities, LLC (Crestridge); East Marion, LLC (East Marion); Heather Hills Utilities, LLC (Heather Hills); Holiday Gardens Utilities, LLC (Holiday Gardens); Lake Yale Utilities, LLC (Lake Yale); McLeod Gardens, LLC (McLeod Gardens); Orange Land Utilities, LLC (Orange </w:t>
      </w:r>
      <w:r w:rsidRPr="00386CCC">
        <w:lastRenderedPageBreak/>
        <w:t>Land); Sunny Shores Utilities, LLC (Sunny Shores); Sunrise Water, LLC (Sunrise); and West Lakeland Wastewater, LLC (West Lakeland).</w:t>
      </w:r>
    </w:p>
    <w:p w:rsidR="000C169A" w:rsidRDefault="00386CCC" w:rsidP="006A1F57">
      <w:pPr>
        <w:jc w:val="both"/>
        <w:rPr>
          <w:rFonts w:eastAsiaTheme="minorHAnsi" w:cstheme="minorBidi"/>
          <w:szCs w:val="22"/>
        </w:rPr>
      </w:pPr>
      <w:r>
        <w:t xml:space="preserve">By Order No. PSC-2023-0192-PAA-WS, issued June 30, 2023, the Commission approved </w:t>
      </w:r>
      <w:r w:rsidR="00AE3C48">
        <w:t xml:space="preserve">a </w:t>
      </w:r>
      <w:r>
        <w:t>limited alternative rate increase</w:t>
      </w:r>
      <w:r w:rsidR="00AE3C48">
        <w:t xml:space="preserve"> for the above-referenced systems</w:t>
      </w:r>
      <w:r>
        <w:t xml:space="preserve">. </w:t>
      </w:r>
      <w:r w:rsidR="006A1F57">
        <w:t>Each utility was required to hold any revenue increase granted subject to refund with interest in accordance with Rule 25-30.360(4), F.A.C.</w:t>
      </w:r>
      <w:r w:rsidR="001C53F7">
        <w:t xml:space="preserve"> </w:t>
      </w:r>
      <w:r w:rsidR="006A1F57">
        <w:t xml:space="preserve">In order to ensure overearnings did not occur </w:t>
      </w:r>
      <w:r w:rsidR="007B2AB8">
        <w:t>with</w:t>
      </w:r>
      <w:r w:rsidR="006A1F57">
        <w:t xml:space="preserve"> the implementation of the rate increases, staff conduct</w:t>
      </w:r>
      <w:r w:rsidR="00917E09">
        <w:t>ed</w:t>
      </w:r>
      <w:r w:rsidR="006A1F57">
        <w:t xml:space="preserve"> an earnings review of the 12-month </w:t>
      </w:r>
      <w:r w:rsidR="00D06A1B">
        <w:t xml:space="preserve">period </w:t>
      </w:r>
      <w:r w:rsidR="006A1F57">
        <w:t>following the implementation of the revenue increases</w:t>
      </w:r>
      <w:r w:rsidR="001C53F7">
        <w:t xml:space="preserve">. </w:t>
      </w:r>
      <w:r w:rsidR="006A1F57">
        <w:t xml:space="preserve">At the end of the 12-month period, each utility had 90 days to complete and </w:t>
      </w:r>
      <w:r w:rsidR="006A1F57">
        <w:rPr>
          <w:rFonts w:eastAsiaTheme="minorHAnsi" w:cstheme="minorBidi"/>
          <w:szCs w:val="22"/>
        </w:rPr>
        <w:t xml:space="preserve">file Form PSC 1025 (03/20), </w:t>
      </w:r>
      <w:r w:rsidR="006A1F57" w:rsidRPr="008F16BE">
        <w:rPr>
          <w:rFonts w:eastAsiaTheme="minorHAnsi" w:cstheme="minorBidi"/>
          <w:szCs w:val="22"/>
        </w:rPr>
        <w:t>titled: “Limited Alternative Rate Increase Earnings Review.”</w:t>
      </w:r>
      <w:r w:rsidR="006C0F0F">
        <w:rPr>
          <w:rFonts w:eastAsiaTheme="minorHAnsi" w:cstheme="minorBidi"/>
          <w:szCs w:val="22"/>
        </w:rPr>
        <w:t xml:space="preserve"> On August 22, 2024, by email, FUS1 indicated that for all systems</w:t>
      </w:r>
      <w:r w:rsidR="00EB45CE">
        <w:rPr>
          <w:rFonts w:eastAsiaTheme="minorHAnsi" w:cstheme="minorBidi"/>
          <w:szCs w:val="22"/>
        </w:rPr>
        <w:t xml:space="preserve">, </w:t>
      </w:r>
      <w:r w:rsidR="006C0F0F">
        <w:rPr>
          <w:rFonts w:eastAsiaTheme="minorHAnsi" w:cstheme="minorBidi"/>
          <w:szCs w:val="22"/>
        </w:rPr>
        <w:t>except Heather Hills and Sunny Shores</w:t>
      </w:r>
      <w:r w:rsidR="00EB45CE">
        <w:rPr>
          <w:rFonts w:eastAsiaTheme="minorHAnsi" w:cstheme="minorBidi"/>
          <w:szCs w:val="22"/>
        </w:rPr>
        <w:t>,</w:t>
      </w:r>
      <w:r w:rsidR="006C0F0F">
        <w:rPr>
          <w:rFonts w:eastAsiaTheme="minorHAnsi" w:cstheme="minorBidi"/>
          <w:szCs w:val="22"/>
        </w:rPr>
        <w:t xml:space="preserve"> the earnings review period would be from September 2023 to August 2024 </w:t>
      </w:r>
      <w:r w:rsidR="00D06A1B">
        <w:rPr>
          <w:rFonts w:eastAsiaTheme="minorHAnsi" w:cstheme="minorBidi"/>
          <w:szCs w:val="22"/>
        </w:rPr>
        <w:t>because</w:t>
      </w:r>
      <w:r w:rsidR="006C0F0F">
        <w:rPr>
          <w:rFonts w:eastAsiaTheme="minorHAnsi" w:cstheme="minorBidi"/>
          <w:szCs w:val="22"/>
        </w:rPr>
        <w:t xml:space="preserve"> the LARI rates were billed starting with the September 2023 usage. </w:t>
      </w:r>
      <w:r w:rsidR="00D06A1B">
        <w:rPr>
          <w:rFonts w:eastAsiaTheme="minorHAnsi" w:cstheme="minorBidi"/>
          <w:szCs w:val="22"/>
        </w:rPr>
        <w:t>Because</w:t>
      </w:r>
      <w:r w:rsidR="006C0F0F">
        <w:rPr>
          <w:rFonts w:eastAsiaTheme="minorHAnsi" w:cstheme="minorBidi"/>
          <w:szCs w:val="22"/>
        </w:rPr>
        <w:t xml:space="preserve"> Heather Hills and Sunny Shores bill quarterly, the LARI rates were billed starting with the October 2023 usage</w:t>
      </w:r>
      <w:r w:rsidR="00EB45CE">
        <w:rPr>
          <w:rFonts w:eastAsiaTheme="minorHAnsi" w:cstheme="minorBidi"/>
          <w:szCs w:val="22"/>
        </w:rPr>
        <w:t>,</w:t>
      </w:r>
      <w:r w:rsidR="006C0F0F">
        <w:rPr>
          <w:rFonts w:eastAsiaTheme="minorHAnsi" w:cstheme="minorBidi"/>
          <w:szCs w:val="22"/>
        </w:rPr>
        <w:t xml:space="preserve"> </w:t>
      </w:r>
      <w:r w:rsidR="00A25F59">
        <w:rPr>
          <w:rFonts w:eastAsiaTheme="minorHAnsi" w:cstheme="minorBidi"/>
          <w:szCs w:val="22"/>
        </w:rPr>
        <w:t xml:space="preserve">and </w:t>
      </w:r>
      <w:r w:rsidR="006C0F0F">
        <w:rPr>
          <w:rFonts w:eastAsiaTheme="minorHAnsi" w:cstheme="minorBidi"/>
          <w:szCs w:val="22"/>
        </w:rPr>
        <w:t xml:space="preserve">as </w:t>
      </w:r>
      <w:r w:rsidR="00A25F59">
        <w:rPr>
          <w:rFonts w:eastAsiaTheme="minorHAnsi" w:cstheme="minorBidi"/>
          <w:szCs w:val="22"/>
        </w:rPr>
        <w:t xml:space="preserve">a </w:t>
      </w:r>
      <w:r w:rsidR="006C0F0F">
        <w:rPr>
          <w:rFonts w:eastAsiaTheme="minorHAnsi" w:cstheme="minorBidi"/>
          <w:szCs w:val="22"/>
        </w:rPr>
        <w:t>result</w:t>
      </w:r>
      <w:r w:rsidR="00EB45CE">
        <w:rPr>
          <w:rFonts w:eastAsiaTheme="minorHAnsi" w:cstheme="minorBidi"/>
          <w:szCs w:val="22"/>
        </w:rPr>
        <w:t>,</w:t>
      </w:r>
      <w:r w:rsidR="006C0F0F">
        <w:rPr>
          <w:rFonts w:eastAsiaTheme="minorHAnsi" w:cstheme="minorBidi"/>
          <w:szCs w:val="22"/>
        </w:rPr>
        <w:t xml:space="preserve"> the earnings review period would be October 2023 to September 2024.</w:t>
      </w:r>
      <w:r w:rsidR="00CD7F26">
        <w:rPr>
          <w:rStyle w:val="FootnoteReference"/>
          <w:rFonts w:eastAsiaTheme="minorHAnsi" w:cstheme="minorBidi"/>
          <w:szCs w:val="22"/>
        </w:rPr>
        <w:footnoteReference w:id="1"/>
      </w:r>
      <w:r w:rsidR="00CD7F26">
        <w:rPr>
          <w:rFonts w:eastAsiaTheme="minorHAnsi" w:cstheme="minorBidi"/>
          <w:szCs w:val="22"/>
        </w:rPr>
        <w:t xml:space="preserve"> </w:t>
      </w:r>
      <w:r w:rsidR="000747DF">
        <w:rPr>
          <w:rFonts w:eastAsiaTheme="minorHAnsi" w:cstheme="minorBidi"/>
          <w:szCs w:val="22"/>
        </w:rPr>
        <w:t xml:space="preserve">The forms for each of the utilities </w:t>
      </w:r>
      <w:r w:rsidR="007B2AB8">
        <w:rPr>
          <w:rFonts w:eastAsiaTheme="minorHAnsi" w:cstheme="minorBidi"/>
          <w:szCs w:val="22"/>
        </w:rPr>
        <w:t xml:space="preserve">were submitted </w:t>
      </w:r>
      <w:r w:rsidR="000747DF">
        <w:rPr>
          <w:rFonts w:eastAsiaTheme="minorHAnsi" w:cstheme="minorBidi"/>
          <w:szCs w:val="22"/>
        </w:rPr>
        <w:t>on December 2, 2024.</w:t>
      </w:r>
      <w:r w:rsidR="006A1F57" w:rsidRPr="008F16BE">
        <w:rPr>
          <w:rFonts w:eastAsiaTheme="minorHAnsi" w:cstheme="minorBidi"/>
          <w:szCs w:val="22"/>
        </w:rPr>
        <w:t xml:space="preserve"> </w:t>
      </w:r>
    </w:p>
    <w:p w:rsidR="000C169A" w:rsidRDefault="000C169A" w:rsidP="006A1F57">
      <w:pPr>
        <w:jc w:val="both"/>
        <w:rPr>
          <w:rFonts w:eastAsiaTheme="minorHAnsi" w:cstheme="minorBidi"/>
          <w:szCs w:val="22"/>
        </w:rPr>
      </w:pPr>
    </w:p>
    <w:p w:rsidR="007C0528" w:rsidRDefault="000747DF" w:rsidP="006A1F57">
      <w:pPr>
        <w:jc w:val="both"/>
        <w:rPr>
          <w:rFonts w:eastAsiaTheme="minorHAnsi" w:cstheme="minorBidi"/>
          <w:szCs w:val="22"/>
        </w:rPr>
      </w:pPr>
      <w:r>
        <w:rPr>
          <w:rFonts w:eastAsiaTheme="minorHAnsi" w:cstheme="minorBidi"/>
          <w:szCs w:val="22"/>
        </w:rPr>
        <w:t>Pursuant to Rule 25-30.457, F.A.C., if</w:t>
      </w:r>
      <w:r w:rsidR="006A1F57" w:rsidRPr="008F16BE">
        <w:rPr>
          <w:rFonts w:eastAsiaTheme="minorHAnsi" w:cstheme="minorBidi"/>
          <w:szCs w:val="22"/>
        </w:rPr>
        <w:t xml:space="preserve"> the earning reviews demonstrate that the utility exceeded the range of its last authorized rate of return on equity, such overearnings, up to the amount held subject to refund, with interest, shall be disposed of for the benefit of the customers. If </w:t>
      </w:r>
      <w:r>
        <w:rPr>
          <w:rFonts w:eastAsiaTheme="minorHAnsi" w:cstheme="minorBidi"/>
          <w:szCs w:val="22"/>
        </w:rPr>
        <w:t>staff</w:t>
      </w:r>
      <w:r w:rsidR="006A1F57" w:rsidRPr="008F16BE">
        <w:rPr>
          <w:rFonts w:eastAsiaTheme="minorHAnsi" w:cstheme="minorBidi"/>
          <w:szCs w:val="22"/>
        </w:rPr>
        <w:t xml:space="preserve"> determine</w:t>
      </w:r>
      <w:r>
        <w:rPr>
          <w:rFonts w:eastAsiaTheme="minorHAnsi" w:cstheme="minorBidi"/>
          <w:szCs w:val="22"/>
        </w:rPr>
        <w:t>s</w:t>
      </w:r>
      <w:r w:rsidR="006A1F57" w:rsidRPr="008F16BE">
        <w:rPr>
          <w:rFonts w:eastAsiaTheme="minorHAnsi" w:cstheme="minorBidi"/>
          <w:szCs w:val="22"/>
        </w:rPr>
        <w:t xml:space="preserve"> that the utility did not exceed the range of its last authorized return on equity, the revenue increase will no longer be held subject to refund.</w:t>
      </w:r>
      <w:r w:rsidR="006A1F57">
        <w:rPr>
          <w:rFonts w:eastAsiaTheme="minorHAnsi" w:cstheme="minorBidi"/>
          <w:szCs w:val="22"/>
        </w:rPr>
        <w:t xml:space="preserve"> </w:t>
      </w:r>
      <w:r w:rsidR="00FE6659">
        <w:rPr>
          <w:rFonts w:eastAsiaTheme="minorHAnsi" w:cstheme="minorBidi"/>
          <w:szCs w:val="22"/>
        </w:rPr>
        <w:t xml:space="preserve">Based on review of the earnings review form, </w:t>
      </w:r>
      <w:r w:rsidR="00FE6659" w:rsidRPr="00CB424E">
        <w:rPr>
          <w:rFonts w:eastAsiaTheme="minorHAnsi" w:cstheme="minorBidi"/>
          <w:color w:val="000000" w:themeColor="text1"/>
          <w:szCs w:val="22"/>
        </w:rPr>
        <w:t>three</w:t>
      </w:r>
      <w:r w:rsidR="00FE6659">
        <w:rPr>
          <w:rFonts w:eastAsiaTheme="minorHAnsi" w:cstheme="minorBidi"/>
          <w:szCs w:val="22"/>
        </w:rPr>
        <w:t xml:space="preserve"> of the systems </w:t>
      </w:r>
      <w:r w:rsidR="00D06A1B">
        <w:rPr>
          <w:rFonts w:eastAsiaTheme="minorHAnsi" w:cstheme="minorBidi"/>
          <w:szCs w:val="22"/>
        </w:rPr>
        <w:t>reported</w:t>
      </w:r>
      <w:r w:rsidR="00FE6659">
        <w:rPr>
          <w:rFonts w:eastAsiaTheme="minorHAnsi" w:cstheme="minorBidi"/>
          <w:szCs w:val="22"/>
        </w:rPr>
        <w:t xml:space="preserve"> overearning</w:t>
      </w:r>
      <w:r w:rsidR="00D06A1B">
        <w:rPr>
          <w:rFonts w:eastAsiaTheme="minorHAnsi" w:cstheme="minorBidi"/>
          <w:szCs w:val="22"/>
        </w:rPr>
        <w:t>s</w:t>
      </w:r>
      <w:r w:rsidR="00FE6659">
        <w:rPr>
          <w:rFonts w:eastAsiaTheme="minorHAnsi" w:cstheme="minorBidi"/>
          <w:szCs w:val="22"/>
        </w:rPr>
        <w:t>.</w:t>
      </w:r>
    </w:p>
    <w:p w:rsidR="00DC1053" w:rsidRDefault="00DC1053" w:rsidP="006A1F57">
      <w:pPr>
        <w:jc w:val="both"/>
        <w:rPr>
          <w:rFonts w:eastAsiaTheme="minorHAnsi" w:cstheme="minorBidi"/>
          <w:szCs w:val="22"/>
        </w:rPr>
      </w:pPr>
    </w:p>
    <w:p w:rsidR="00DC1053" w:rsidRDefault="00DC1053" w:rsidP="006A1F57">
      <w:pPr>
        <w:jc w:val="both"/>
        <w:rPr>
          <w:rFonts w:eastAsiaTheme="minorHAnsi" w:cstheme="minorBidi"/>
          <w:szCs w:val="22"/>
        </w:rPr>
      </w:pPr>
      <w:r>
        <w:rPr>
          <w:rFonts w:eastAsiaTheme="minorHAnsi" w:cstheme="minorBidi"/>
          <w:szCs w:val="22"/>
        </w:rPr>
        <w:t xml:space="preserve">On April 9, 2025, East Marion and the Office of Public Counsel (OPC) </w:t>
      </w:r>
      <w:r w:rsidR="001B55E2">
        <w:rPr>
          <w:rFonts w:eastAsiaTheme="minorHAnsi" w:cstheme="minorBidi"/>
          <w:szCs w:val="22"/>
        </w:rPr>
        <w:t xml:space="preserve">filed an agreement </w:t>
      </w:r>
      <w:r>
        <w:rPr>
          <w:rFonts w:eastAsiaTheme="minorHAnsi" w:cstheme="minorBidi"/>
          <w:szCs w:val="22"/>
        </w:rPr>
        <w:t xml:space="preserve">in regards to the disposition of the </w:t>
      </w:r>
      <w:r w:rsidR="00A25F59">
        <w:rPr>
          <w:rFonts w:eastAsiaTheme="minorHAnsi" w:cstheme="minorBidi"/>
          <w:szCs w:val="22"/>
        </w:rPr>
        <w:t>over</w:t>
      </w:r>
      <w:r>
        <w:rPr>
          <w:rFonts w:eastAsiaTheme="minorHAnsi" w:cstheme="minorBidi"/>
          <w:szCs w:val="22"/>
        </w:rPr>
        <w:t>earnings for its system.</w:t>
      </w:r>
      <w:r w:rsidR="003233A0">
        <w:rPr>
          <w:rStyle w:val="FootnoteReference"/>
          <w:rFonts w:eastAsiaTheme="minorHAnsi" w:cstheme="minorBidi"/>
          <w:szCs w:val="22"/>
        </w:rPr>
        <w:footnoteReference w:id="2"/>
      </w:r>
      <w:r>
        <w:rPr>
          <w:rFonts w:eastAsiaTheme="minorHAnsi" w:cstheme="minorBidi"/>
          <w:szCs w:val="22"/>
        </w:rPr>
        <w:t xml:space="preserve">  Both East Marion and OPC agreed that the overearnings associated with East Marion system should be booked to CIAC due to the expense of making such </w:t>
      </w:r>
      <w:r w:rsidR="00A25F59">
        <w:rPr>
          <w:rFonts w:eastAsiaTheme="minorHAnsi" w:cstheme="minorBidi"/>
          <w:szCs w:val="22"/>
        </w:rPr>
        <w:t xml:space="preserve">a </w:t>
      </w:r>
      <w:r>
        <w:rPr>
          <w:rFonts w:eastAsiaTheme="minorHAnsi" w:cstheme="minorBidi"/>
          <w:szCs w:val="22"/>
        </w:rPr>
        <w:t>small refund exceeding the amount of the refund.</w:t>
      </w:r>
    </w:p>
    <w:p w:rsidR="00FE6659" w:rsidRDefault="00FE6659" w:rsidP="006A1F57">
      <w:pPr>
        <w:jc w:val="both"/>
        <w:rPr>
          <w:rFonts w:eastAsiaTheme="minorHAnsi" w:cstheme="minorBidi"/>
          <w:szCs w:val="22"/>
        </w:rPr>
      </w:pPr>
    </w:p>
    <w:p w:rsidR="00FE6659" w:rsidRDefault="00FE6659" w:rsidP="006A1F57">
      <w:pPr>
        <w:jc w:val="both"/>
      </w:pPr>
      <w:r>
        <w:rPr>
          <w:rFonts w:eastAsiaTheme="minorHAnsi" w:cstheme="minorBidi"/>
          <w:szCs w:val="22"/>
        </w:rPr>
        <w:t>This recommendation address</w:t>
      </w:r>
      <w:r w:rsidR="003233A0">
        <w:rPr>
          <w:rFonts w:eastAsiaTheme="minorHAnsi" w:cstheme="minorBidi"/>
          <w:szCs w:val="22"/>
        </w:rPr>
        <w:t>es</w:t>
      </w:r>
      <w:r>
        <w:rPr>
          <w:rFonts w:eastAsiaTheme="minorHAnsi" w:cstheme="minorBidi"/>
          <w:szCs w:val="22"/>
        </w:rPr>
        <w:t xml:space="preserve"> the </w:t>
      </w:r>
      <w:r w:rsidR="003233A0">
        <w:rPr>
          <w:rFonts w:eastAsiaTheme="minorHAnsi" w:cstheme="minorBidi"/>
          <w:szCs w:val="22"/>
        </w:rPr>
        <w:t>earnings review.</w:t>
      </w:r>
      <w:r>
        <w:rPr>
          <w:rFonts w:eastAsiaTheme="minorHAnsi" w:cstheme="minorBidi"/>
          <w:szCs w:val="22"/>
        </w:rPr>
        <w:t xml:space="preserve"> The Commission has jurisdiction pursuant to Section 367.0814(9) and 367.121(1), Florida Statutes</w:t>
      </w:r>
      <w:r w:rsidR="00EB45CE">
        <w:rPr>
          <w:rFonts w:eastAsiaTheme="minorHAnsi" w:cstheme="minorBidi"/>
          <w:szCs w:val="22"/>
        </w:rPr>
        <w:t xml:space="preserve"> (F.S.)</w:t>
      </w:r>
      <w:r>
        <w:rPr>
          <w:rFonts w:eastAsiaTheme="minorHAnsi" w:cstheme="minorBidi"/>
          <w:szCs w:val="22"/>
        </w:rPr>
        <w:t>.</w:t>
      </w:r>
    </w:p>
    <w:bookmarkEnd w:id="12"/>
    <w:p w:rsidR="00EA2273" w:rsidRDefault="006A1F57">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t xml:space="preserve"> </w:t>
      </w:r>
    </w:p>
    <w:p w:rsidR="007C0528" w:rsidRDefault="007C0528">
      <w:pPr>
        <w:pStyle w:val="RecommendationMajorSectionHeading"/>
      </w:pPr>
      <w:bookmarkStart w:id="16" w:name="DiscussionOfIssues"/>
      <w:r>
        <w:lastRenderedPageBreak/>
        <w:t>Discussion of Issues</w:t>
      </w:r>
    </w:p>
    <w:bookmarkEnd w:id="16"/>
    <w:p w:rsidR="00386CCC" w:rsidRDefault="00386CCC">
      <w:pPr>
        <w:pStyle w:val="IssueHeading"/>
        <w:rPr>
          <w:vanish/>
          <w:specVanish/>
        </w:rPr>
      </w:pPr>
      <w:r w:rsidRPr="004C3641">
        <w:t xml:space="preserve">Issue </w:t>
      </w:r>
      <w:r w:rsidR="00596A73">
        <w:fldChar w:fldCharType="begin"/>
      </w:r>
      <w:r w:rsidR="00596A73">
        <w:instrText xml:space="preserve"> SEQ Issue \* MERGEFORMAT </w:instrText>
      </w:r>
      <w:r w:rsidR="00596A73">
        <w:fldChar w:fldCharType="separate"/>
      </w:r>
      <w:r w:rsidR="00990BBC">
        <w:rPr>
          <w:noProof/>
        </w:rPr>
        <w:t>1</w:t>
      </w:r>
      <w:r w:rsidR="00596A7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90BBC">
        <w:rPr>
          <w:noProof/>
        </w:rPr>
        <w:instrText>1</w:instrText>
      </w:r>
      <w:r>
        <w:fldChar w:fldCharType="end"/>
      </w:r>
      <w:r>
        <w:tab/>
        <w:instrText xml:space="preserve">Systems Overearning and Refund(Richards)" \l 1 </w:instrText>
      </w:r>
      <w:r>
        <w:fldChar w:fldCharType="end"/>
      </w:r>
      <w:r>
        <w:t> </w:t>
      </w:r>
    </w:p>
    <w:p w:rsidR="00386CCC" w:rsidRDefault="00386CCC">
      <w:pPr>
        <w:pStyle w:val="BodyText"/>
      </w:pPr>
      <w:r>
        <w:t> Are any systems that were granted a Limited Alternative Rate Increase overearning, and if so, what are the appropriate revenue requirements going forward?</w:t>
      </w:r>
    </w:p>
    <w:p w:rsidR="00386CCC" w:rsidRPr="004C3641" w:rsidRDefault="00386CCC">
      <w:pPr>
        <w:pStyle w:val="IssueSubsectionHeading"/>
        <w:rPr>
          <w:vanish/>
          <w:specVanish/>
        </w:rPr>
      </w:pPr>
      <w:r w:rsidRPr="004C3641">
        <w:t>Recommendation: </w:t>
      </w:r>
    </w:p>
    <w:p w:rsidR="00386CCC" w:rsidRDefault="00386CCC">
      <w:pPr>
        <w:pStyle w:val="BodyText"/>
      </w:pPr>
      <w:r>
        <w:t> </w:t>
      </w:r>
      <w:r w:rsidR="00430B01">
        <w:t xml:space="preserve">Three of the fourteen systems included in FUS1 LARI docket were found to be overearning. Those three systems are </w:t>
      </w:r>
      <w:r w:rsidR="003233A0">
        <w:t>C</w:t>
      </w:r>
      <w:r w:rsidR="00430B01">
        <w:t xml:space="preserve">restridge, the water system for East Marion, and the wastewater system for Lake Yale. </w:t>
      </w:r>
      <w:r w:rsidR="005444DF">
        <w:t>T</w:t>
      </w:r>
      <w:r w:rsidR="00BA2111">
        <w:t>he appropriate</w:t>
      </w:r>
      <w:r w:rsidR="00430B01">
        <w:t xml:space="preserve"> revenue requirement </w:t>
      </w:r>
      <w:r w:rsidR="00BA2111">
        <w:t xml:space="preserve">should be </w:t>
      </w:r>
      <w:r w:rsidR="00430B01">
        <w:t>$251,161 for Crestridge; $50,5</w:t>
      </w:r>
      <w:r w:rsidR="00A25F59">
        <w:t>1</w:t>
      </w:r>
      <w:r w:rsidR="00430B01">
        <w:t xml:space="preserve">9 for East Marion’s water system; and $98,961 for Lake Yale’s wastewater system. </w:t>
      </w:r>
      <w:r>
        <w:t>(Richards)</w:t>
      </w:r>
    </w:p>
    <w:p w:rsidR="00386CCC" w:rsidRPr="004C3641" w:rsidRDefault="00386CCC">
      <w:pPr>
        <w:pStyle w:val="IssueSubsectionHeading"/>
        <w:rPr>
          <w:vanish/>
          <w:specVanish/>
        </w:rPr>
      </w:pPr>
      <w:r w:rsidRPr="004C3641">
        <w:t>Staff Analysis: </w:t>
      </w:r>
    </w:p>
    <w:p w:rsidR="00430B01" w:rsidRDefault="00386CCC" w:rsidP="00430B01">
      <w:pPr>
        <w:jc w:val="both"/>
        <w:rPr>
          <w:rFonts w:eastAsiaTheme="minorHAnsi"/>
          <w:szCs w:val="22"/>
        </w:rPr>
      </w:pPr>
      <w:r>
        <w:t> </w:t>
      </w:r>
      <w:r w:rsidR="00430B01" w:rsidRPr="00430B01">
        <w:rPr>
          <w:rFonts w:eastAsiaTheme="minorHAnsi" w:cstheme="minorBidi"/>
          <w:szCs w:val="22"/>
        </w:rPr>
        <w:t>P</w:t>
      </w:r>
      <w:r w:rsidR="00430B01" w:rsidRPr="00430B01">
        <w:rPr>
          <w:rFonts w:eastAsiaTheme="minorHAnsi"/>
          <w:szCs w:val="22"/>
        </w:rPr>
        <w:t>ursuant to Rule 25-30.457(8), F.A.C., FUS1 filed its earnings review of the fourteen systems included in the LARI on December 2, 2024.</w:t>
      </w:r>
      <w:r w:rsidR="00430B01" w:rsidRPr="00430B01">
        <w:rPr>
          <w:rFonts w:eastAsiaTheme="minorHAnsi"/>
          <w:szCs w:val="22"/>
          <w:vertAlign w:val="superscript"/>
        </w:rPr>
        <w:footnoteReference w:id="3"/>
      </w:r>
      <w:r w:rsidR="00430B01" w:rsidRPr="00430B01">
        <w:rPr>
          <w:rFonts w:eastAsiaTheme="minorHAnsi"/>
          <w:szCs w:val="22"/>
        </w:rPr>
        <w:t xml:space="preserve"> After discussion with </w:t>
      </w:r>
      <w:r w:rsidR="004E36CF">
        <w:rPr>
          <w:rFonts w:eastAsiaTheme="minorHAnsi"/>
          <w:szCs w:val="22"/>
        </w:rPr>
        <w:t>OPC</w:t>
      </w:r>
      <w:r w:rsidR="00430B01" w:rsidRPr="00430B01">
        <w:rPr>
          <w:rFonts w:eastAsiaTheme="minorHAnsi"/>
          <w:szCs w:val="22"/>
        </w:rPr>
        <w:t xml:space="preserve"> in a telephone conference on February 28, 2025, FUS1 filed revisions to its Schedule No. 2 for each system.</w:t>
      </w:r>
      <w:r w:rsidR="00430B01" w:rsidRPr="00430B01">
        <w:rPr>
          <w:rFonts w:eastAsiaTheme="minorHAnsi"/>
          <w:szCs w:val="22"/>
          <w:vertAlign w:val="superscript"/>
        </w:rPr>
        <w:footnoteReference w:id="4"/>
      </w:r>
      <w:r w:rsidR="00430B01" w:rsidRPr="00430B01">
        <w:rPr>
          <w:rFonts w:eastAsiaTheme="minorHAnsi"/>
          <w:szCs w:val="22"/>
        </w:rPr>
        <w:t xml:space="preserve"> Three of those systems were found to be overearning as shown below in Table 1-1.</w:t>
      </w:r>
    </w:p>
    <w:p w:rsidR="004E36CF" w:rsidRPr="00430B01" w:rsidRDefault="004E36CF" w:rsidP="00430B01">
      <w:pPr>
        <w:jc w:val="both"/>
        <w:rPr>
          <w:rFonts w:eastAsiaTheme="minorHAnsi"/>
          <w:szCs w:val="22"/>
        </w:rPr>
      </w:pPr>
    </w:p>
    <w:p w:rsidR="00430B01" w:rsidRPr="004E36CF" w:rsidRDefault="00430B01" w:rsidP="00430B01">
      <w:pPr>
        <w:spacing w:line="276" w:lineRule="auto"/>
        <w:jc w:val="center"/>
        <w:rPr>
          <w:rFonts w:ascii="Arial" w:eastAsiaTheme="minorHAnsi" w:hAnsi="Arial" w:cs="Arial"/>
          <w:b/>
          <w:szCs w:val="22"/>
        </w:rPr>
      </w:pPr>
      <w:r w:rsidRPr="004E36CF">
        <w:rPr>
          <w:rFonts w:ascii="Arial" w:eastAsiaTheme="minorHAnsi" w:hAnsi="Arial" w:cs="Arial"/>
          <w:b/>
          <w:szCs w:val="22"/>
        </w:rPr>
        <w:t>Table 1-1</w:t>
      </w:r>
    </w:p>
    <w:p w:rsidR="00430B01" w:rsidRPr="00430B01" w:rsidRDefault="00430B01" w:rsidP="00430B01">
      <w:pPr>
        <w:spacing w:line="276" w:lineRule="auto"/>
        <w:jc w:val="center"/>
        <w:rPr>
          <w:rFonts w:eastAsiaTheme="minorHAnsi"/>
          <w:b/>
          <w:szCs w:val="22"/>
        </w:rPr>
      </w:pPr>
      <w:r w:rsidRPr="004E36CF">
        <w:rPr>
          <w:rFonts w:ascii="Arial" w:eastAsiaTheme="minorHAnsi" w:hAnsi="Arial" w:cs="Arial"/>
          <w:b/>
          <w:szCs w:val="22"/>
        </w:rPr>
        <w:t>Results of Earnings Review</w:t>
      </w:r>
      <w:r w:rsidRPr="00430B01">
        <w:rPr>
          <w:rFonts w:eastAsiaTheme="minorHAnsi"/>
          <w:b/>
          <w:szCs w:val="22"/>
          <w:vertAlign w:val="superscript"/>
        </w:rPr>
        <w:footnoteReference w:id="5"/>
      </w:r>
    </w:p>
    <w:tbl>
      <w:tblPr>
        <w:tblStyle w:val="TableGrid1"/>
        <w:tblW w:w="5000" w:type="pct"/>
        <w:jc w:val="center"/>
        <w:tblLook w:val="04A0" w:firstRow="1" w:lastRow="0" w:firstColumn="1" w:lastColumn="0" w:noHBand="0" w:noVBand="1"/>
      </w:tblPr>
      <w:tblGrid>
        <w:gridCol w:w="4821"/>
        <w:gridCol w:w="1863"/>
        <w:gridCol w:w="1459"/>
        <w:gridCol w:w="1433"/>
      </w:tblGrid>
      <w:tr w:rsidR="00430B01" w:rsidRPr="00430B01" w:rsidTr="007B2AB8">
        <w:trPr>
          <w:jc w:val="center"/>
        </w:trPr>
        <w:tc>
          <w:tcPr>
            <w:tcW w:w="2517" w:type="pct"/>
          </w:tcPr>
          <w:p w:rsidR="00430B01" w:rsidRPr="00430B01" w:rsidRDefault="00430B01" w:rsidP="00430B01">
            <w:pPr>
              <w:jc w:val="center"/>
              <w:rPr>
                <w:rFonts w:ascii="Times New Roman" w:hAnsi="Times New Roman" w:cs="Times New Roman"/>
                <w:b/>
                <w:szCs w:val="22"/>
                <w:u w:val="single"/>
              </w:rPr>
            </w:pPr>
            <w:r w:rsidRPr="00430B01">
              <w:rPr>
                <w:rFonts w:ascii="Times New Roman" w:hAnsi="Times New Roman" w:cs="Times New Roman"/>
                <w:b/>
                <w:szCs w:val="22"/>
                <w:u w:val="single"/>
              </w:rPr>
              <w:t>Utility</w:t>
            </w:r>
          </w:p>
        </w:tc>
        <w:tc>
          <w:tcPr>
            <w:tcW w:w="973" w:type="pct"/>
          </w:tcPr>
          <w:p w:rsidR="00430B01" w:rsidRPr="00430B01" w:rsidRDefault="00430B01" w:rsidP="00430B01">
            <w:pPr>
              <w:jc w:val="center"/>
              <w:rPr>
                <w:rFonts w:ascii="Times New Roman" w:hAnsi="Times New Roman" w:cs="Times New Roman"/>
                <w:b/>
                <w:szCs w:val="22"/>
                <w:u w:val="single"/>
              </w:rPr>
            </w:pPr>
            <w:r w:rsidRPr="00430B01">
              <w:rPr>
                <w:rFonts w:ascii="Times New Roman" w:hAnsi="Times New Roman" w:cs="Times New Roman"/>
                <w:b/>
                <w:szCs w:val="22"/>
                <w:u w:val="single"/>
              </w:rPr>
              <w:t>System</w:t>
            </w:r>
          </w:p>
        </w:tc>
        <w:tc>
          <w:tcPr>
            <w:tcW w:w="762" w:type="pct"/>
          </w:tcPr>
          <w:p w:rsidR="00430B01" w:rsidRPr="00430B01" w:rsidRDefault="00430B01" w:rsidP="00430B01">
            <w:pPr>
              <w:jc w:val="center"/>
              <w:rPr>
                <w:rFonts w:ascii="Times New Roman" w:hAnsi="Times New Roman" w:cs="Times New Roman"/>
                <w:b/>
                <w:szCs w:val="22"/>
                <w:u w:val="single"/>
              </w:rPr>
            </w:pPr>
            <w:r w:rsidRPr="00430B01">
              <w:rPr>
                <w:rFonts w:ascii="Times New Roman" w:hAnsi="Times New Roman" w:cs="Times New Roman"/>
                <w:b/>
                <w:szCs w:val="22"/>
                <w:u w:val="single"/>
              </w:rPr>
              <w:t>Allowed</w:t>
            </w:r>
          </w:p>
        </w:tc>
        <w:tc>
          <w:tcPr>
            <w:tcW w:w="748" w:type="pct"/>
          </w:tcPr>
          <w:p w:rsidR="00430B01" w:rsidRPr="00430B01" w:rsidRDefault="00430B01" w:rsidP="00430B01">
            <w:pPr>
              <w:jc w:val="center"/>
              <w:rPr>
                <w:rFonts w:ascii="Times New Roman" w:hAnsi="Times New Roman" w:cs="Times New Roman"/>
                <w:b/>
                <w:szCs w:val="22"/>
                <w:u w:val="single"/>
              </w:rPr>
            </w:pPr>
            <w:r w:rsidRPr="00430B01">
              <w:rPr>
                <w:rFonts w:ascii="Times New Roman" w:hAnsi="Times New Roman" w:cs="Times New Roman"/>
                <w:b/>
                <w:szCs w:val="22"/>
                <w:u w:val="single"/>
              </w:rPr>
              <w:t>Earned</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Charlie Creek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10.00%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9.85%</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Crestridge Utilities **</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10.77%</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43.17%</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East Marion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10.00%</w:t>
            </w:r>
          </w:p>
        </w:tc>
        <w:tc>
          <w:tcPr>
            <w:tcW w:w="748" w:type="pct"/>
          </w:tcPr>
          <w:p w:rsidR="00430B01" w:rsidRPr="00430B01" w:rsidRDefault="00430B01" w:rsidP="00B30F31">
            <w:pPr>
              <w:jc w:val="right"/>
              <w:rPr>
                <w:rFonts w:ascii="Times New Roman" w:hAnsi="Times New Roman" w:cs="Times New Roman"/>
                <w:szCs w:val="22"/>
              </w:rPr>
            </w:pPr>
            <w:r w:rsidRPr="00430B01">
              <w:rPr>
                <w:rFonts w:ascii="Times New Roman" w:hAnsi="Times New Roman" w:cs="Times New Roman"/>
                <w:szCs w:val="22"/>
              </w:rPr>
              <w:t>10.</w:t>
            </w:r>
            <w:r w:rsidR="00640B88">
              <w:rPr>
                <w:rFonts w:ascii="Times New Roman" w:hAnsi="Times New Roman" w:cs="Times New Roman"/>
                <w:szCs w:val="22"/>
              </w:rPr>
              <w:t>5</w:t>
            </w:r>
            <w:r w:rsidR="00B30F31">
              <w:rPr>
                <w:rFonts w:ascii="Times New Roman" w:hAnsi="Times New Roman" w:cs="Times New Roman"/>
                <w:szCs w:val="22"/>
              </w:rPr>
              <w:t>2</w:t>
            </w:r>
            <w:r w:rsidRPr="00430B01">
              <w:rPr>
                <w:rFonts w:ascii="Times New Roman" w:hAnsi="Times New Roman" w:cs="Times New Roman"/>
                <w:szCs w:val="22"/>
              </w:rPr>
              <w:t>%</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East Marion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Wastewater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10.00%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-3.15%</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Heather Hills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12.00%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11.19%</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Heather Hills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Wastewater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12.00%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6.51%</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Holiday Gardens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8.24%</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1.77%</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Lake Yale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7.04%</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5.80%</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Lake Yale Utilities **</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Wastewater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12.00%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44.01%</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McLeod Gardens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12.00%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11.54%</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Orange Land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8.93%</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-19.87%</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Sunny Shores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12.00%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4.99%</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Sunrise Utilities</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10.00%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-1.36%</w:t>
            </w:r>
          </w:p>
        </w:tc>
      </w:tr>
      <w:tr w:rsidR="00430B01" w:rsidRPr="00430B01" w:rsidTr="007B2AB8">
        <w:trPr>
          <w:jc w:val="center"/>
        </w:trPr>
        <w:tc>
          <w:tcPr>
            <w:tcW w:w="2517" w:type="pct"/>
          </w:tcPr>
          <w:p w:rsidR="00430B01" w:rsidRPr="00430B01" w:rsidRDefault="00430B01" w:rsidP="001B55E2">
            <w:pPr>
              <w:rPr>
                <w:rFonts w:ascii="Times New Roman" w:hAnsi="Times New Roman" w:cs="Times New Roman"/>
                <w:szCs w:val="22"/>
              </w:rPr>
            </w:pPr>
            <w:r w:rsidRPr="00430B01">
              <w:rPr>
                <w:rFonts w:ascii="Times New Roman" w:hAnsi="Times New Roman" w:cs="Times New Roman"/>
                <w:szCs w:val="22"/>
              </w:rPr>
              <w:t>West Lakeland Wastewater</w:t>
            </w:r>
          </w:p>
        </w:tc>
        <w:tc>
          <w:tcPr>
            <w:tcW w:w="973" w:type="pct"/>
          </w:tcPr>
          <w:p w:rsidR="00430B01" w:rsidRPr="00430B01" w:rsidRDefault="00430B01" w:rsidP="00430B01">
            <w:pPr>
              <w:rPr>
                <w:rFonts w:ascii="Times New Roman" w:hAnsi="Times New Roman" w:cs="Times New Roman"/>
                <w:szCs w:val="22"/>
              </w:rPr>
            </w:pPr>
            <w:r w:rsidRPr="00430B01">
              <w:rPr>
                <w:rFonts w:ascii="Times New Roman" w:hAnsi="Times New Roman" w:cs="Times New Roman"/>
                <w:szCs w:val="22"/>
              </w:rPr>
              <w:t>Wastewater</w:t>
            </w:r>
          </w:p>
        </w:tc>
        <w:tc>
          <w:tcPr>
            <w:tcW w:w="762"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12.00%</w:t>
            </w:r>
          </w:p>
        </w:tc>
        <w:tc>
          <w:tcPr>
            <w:tcW w:w="748" w:type="pct"/>
          </w:tcPr>
          <w:p w:rsidR="00430B01" w:rsidRPr="00430B01" w:rsidRDefault="00430B01" w:rsidP="00430B01">
            <w:pPr>
              <w:jc w:val="right"/>
              <w:rPr>
                <w:rFonts w:ascii="Times New Roman" w:hAnsi="Times New Roman" w:cs="Times New Roman"/>
                <w:szCs w:val="22"/>
              </w:rPr>
            </w:pPr>
            <w:r w:rsidRPr="00430B01">
              <w:rPr>
                <w:rFonts w:ascii="Times New Roman" w:hAnsi="Times New Roman" w:cs="Times New Roman"/>
                <w:szCs w:val="22"/>
              </w:rPr>
              <w:t>1.41%</w:t>
            </w:r>
          </w:p>
        </w:tc>
      </w:tr>
    </w:tbl>
    <w:p w:rsidR="00386CCC" w:rsidRDefault="00430B01">
      <w:pPr>
        <w:pStyle w:val="BodyText"/>
        <w:rPr>
          <w:rFonts w:eastAsiaTheme="minorHAnsi"/>
          <w:szCs w:val="22"/>
        </w:rPr>
      </w:pPr>
      <w:r w:rsidRPr="00430B01">
        <w:rPr>
          <w:rFonts w:eastAsiaTheme="minorHAnsi"/>
          <w:szCs w:val="22"/>
        </w:rPr>
        <w:t>Sources: Prior Commission Orders and Document Nos. 10075-2024, 00421-2025, 01340-2025.</w:t>
      </w:r>
    </w:p>
    <w:p w:rsidR="00430B01" w:rsidRPr="00430B01" w:rsidRDefault="00430B01" w:rsidP="00430B01">
      <w:pPr>
        <w:spacing w:line="276" w:lineRule="auto"/>
        <w:jc w:val="both"/>
        <w:rPr>
          <w:rFonts w:ascii="Arial" w:eastAsiaTheme="minorHAnsi" w:hAnsi="Arial" w:cs="Arial"/>
          <w:b/>
          <w:szCs w:val="22"/>
        </w:rPr>
      </w:pPr>
      <w:r w:rsidRPr="00430B01">
        <w:rPr>
          <w:rFonts w:ascii="Arial" w:eastAsiaTheme="minorHAnsi" w:hAnsi="Arial" w:cs="Arial"/>
          <w:b/>
          <w:szCs w:val="22"/>
        </w:rPr>
        <w:t>Crestridge Utilities, LLC.</w:t>
      </w:r>
    </w:p>
    <w:p w:rsidR="00430B01" w:rsidRDefault="00430B01" w:rsidP="00430B01">
      <w:pPr>
        <w:jc w:val="both"/>
        <w:rPr>
          <w:rFonts w:eastAsiaTheme="minorHAnsi" w:cstheme="minorBidi"/>
          <w:szCs w:val="22"/>
        </w:rPr>
      </w:pPr>
      <w:r w:rsidRPr="00430B01">
        <w:rPr>
          <w:rFonts w:eastAsiaTheme="minorHAnsi" w:cstheme="minorBidi"/>
          <w:szCs w:val="22"/>
        </w:rPr>
        <w:t xml:space="preserve">In its earnings review, Crestridge reported a rate base of $117,631, a net operating income of $50,781 and annual revenues of $289,273. This resulted in earnings of 43.17 percent ($50,781 </w:t>
      </w:r>
      <w:r w:rsidRPr="00430B01">
        <w:rPr>
          <w:rFonts w:eastAsiaTheme="minorHAnsi"/>
          <w:szCs w:val="22"/>
        </w:rPr>
        <w:t>÷</w:t>
      </w:r>
      <w:r w:rsidRPr="00430B01">
        <w:rPr>
          <w:rFonts w:eastAsiaTheme="minorHAnsi" w:cstheme="minorBidi"/>
          <w:szCs w:val="22"/>
        </w:rPr>
        <w:t xml:space="preserve"> $117,631). In Crestridge’s previous rate case, the Commission approved a </w:t>
      </w:r>
      <w:r w:rsidR="007B2AB8">
        <w:rPr>
          <w:rFonts w:eastAsiaTheme="minorHAnsi" w:cstheme="minorBidi"/>
          <w:szCs w:val="22"/>
        </w:rPr>
        <w:t>r</w:t>
      </w:r>
      <w:r w:rsidRPr="00430B01">
        <w:rPr>
          <w:rFonts w:eastAsiaTheme="minorHAnsi" w:cstheme="minorBidi"/>
          <w:szCs w:val="22"/>
        </w:rPr>
        <w:t xml:space="preserve">eturn on </w:t>
      </w:r>
      <w:r w:rsidR="007B2AB8">
        <w:rPr>
          <w:rFonts w:eastAsiaTheme="minorHAnsi" w:cstheme="minorBidi"/>
          <w:szCs w:val="22"/>
        </w:rPr>
        <w:t>e</w:t>
      </w:r>
      <w:r w:rsidRPr="00430B01">
        <w:rPr>
          <w:rFonts w:eastAsiaTheme="minorHAnsi" w:cstheme="minorBidi"/>
          <w:szCs w:val="22"/>
        </w:rPr>
        <w:t>quity (ROE) of 11.16 percent with a range of 10.16 percent to 12.16 percent.</w:t>
      </w:r>
      <w:r w:rsidRPr="00430B01">
        <w:rPr>
          <w:rFonts w:eastAsiaTheme="minorHAnsi" w:cstheme="minorBidi"/>
          <w:szCs w:val="22"/>
          <w:vertAlign w:val="superscript"/>
        </w:rPr>
        <w:footnoteReference w:id="6"/>
      </w:r>
      <w:r w:rsidRPr="00430B01">
        <w:rPr>
          <w:rFonts w:eastAsiaTheme="minorHAnsi" w:cstheme="minorBidi"/>
          <w:szCs w:val="22"/>
        </w:rPr>
        <w:t xml:space="preserve"> Based on Crestridge’s </w:t>
      </w:r>
      <w:r w:rsidRPr="00430B01">
        <w:rPr>
          <w:rFonts w:eastAsiaTheme="minorHAnsi" w:cstheme="minorBidi"/>
          <w:szCs w:val="22"/>
        </w:rPr>
        <w:lastRenderedPageBreak/>
        <w:t xml:space="preserve">updated Schedule No. 2, filed on March 5, 2025, Crestridge had an allowed rate of return of 10.77 percent. </w:t>
      </w:r>
      <w:r w:rsidR="00CB424E" w:rsidRPr="00CB424E">
        <w:rPr>
          <w:rFonts w:eastAsiaTheme="minorHAnsi" w:cstheme="minorBidi"/>
          <w:szCs w:val="22"/>
        </w:rPr>
        <w:t>This resulted in overearnings of approximately $38,112, or 13.18 percent ($38,112 ÷ $289,273) for the 12-month period ended August 31, 2024.</w:t>
      </w:r>
      <w:r w:rsidRPr="00430B01">
        <w:rPr>
          <w:rFonts w:eastAsiaTheme="minorHAnsi" w:cstheme="minorBidi"/>
          <w:szCs w:val="22"/>
        </w:rPr>
        <w:t xml:space="preserve"> As such, staff recommends an adjusted revenue requirement for Crestridge of $251,161 ($289,273 - $38,112).</w:t>
      </w:r>
    </w:p>
    <w:p w:rsidR="00430B01" w:rsidRPr="00430B01" w:rsidRDefault="00430B01" w:rsidP="00430B01">
      <w:pPr>
        <w:jc w:val="both"/>
        <w:rPr>
          <w:rFonts w:eastAsiaTheme="minorHAnsi" w:cstheme="minorBidi"/>
          <w:szCs w:val="22"/>
        </w:rPr>
      </w:pPr>
    </w:p>
    <w:p w:rsidR="00430B01" w:rsidRPr="00430B01" w:rsidRDefault="00430B01" w:rsidP="00430B01">
      <w:pPr>
        <w:jc w:val="both"/>
        <w:rPr>
          <w:rFonts w:ascii="Arial" w:eastAsiaTheme="minorHAnsi" w:hAnsi="Arial" w:cs="Arial"/>
          <w:b/>
          <w:szCs w:val="22"/>
        </w:rPr>
      </w:pPr>
      <w:r w:rsidRPr="00430B01">
        <w:rPr>
          <w:rFonts w:ascii="Arial" w:eastAsiaTheme="minorHAnsi" w:hAnsi="Arial" w:cs="Arial"/>
          <w:b/>
          <w:szCs w:val="22"/>
        </w:rPr>
        <w:t>East Marion Utilities, LLC.</w:t>
      </w:r>
    </w:p>
    <w:p w:rsidR="00430B01" w:rsidRDefault="00430B01" w:rsidP="00430B01">
      <w:pPr>
        <w:jc w:val="both"/>
        <w:rPr>
          <w:rFonts w:eastAsiaTheme="minorHAnsi" w:cstheme="minorBidi"/>
          <w:szCs w:val="22"/>
        </w:rPr>
      </w:pPr>
      <w:r w:rsidRPr="00430B01">
        <w:rPr>
          <w:rFonts w:eastAsiaTheme="minorHAnsi" w:cstheme="minorBidi"/>
          <w:szCs w:val="22"/>
        </w:rPr>
        <w:t xml:space="preserve">In its earnings review, </w:t>
      </w:r>
      <w:r w:rsidR="005E190C">
        <w:rPr>
          <w:rFonts w:eastAsiaTheme="minorHAnsi" w:cstheme="minorBidi"/>
          <w:szCs w:val="22"/>
        </w:rPr>
        <w:t xml:space="preserve">the water system for </w:t>
      </w:r>
      <w:r w:rsidRPr="00430B01">
        <w:rPr>
          <w:rFonts w:eastAsiaTheme="minorHAnsi" w:cstheme="minorBidi"/>
          <w:szCs w:val="22"/>
        </w:rPr>
        <w:t xml:space="preserve">East Marion recorded a net operating income of $4,061; annual revenues of $50,720; and </w:t>
      </w:r>
      <w:r w:rsidR="001304FD" w:rsidRPr="001304FD">
        <w:rPr>
          <w:rFonts w:eastAsiaTheme="minorHAnsi" w:cstheme="minorBidi"/>
          <w:szCs w:val="22"/>
        </w:rPr>
        <w:t xml:space="preserve">an adjusted operations and maintenance (O&amp;M) expense of $38,598. Pursuant to Section 367.081(4)(b)(1)(e), </w:t>
      </w:r>
      <w:r w:rsidR="00EB45CE">
        <w:rPr>
          <w:rFonts w:eastAsiaTheme="minorHAnsi" w:cstheme="minorBidi"/>
          <w:szCs w:val="22"/>
        </w:rPr>
        <w:t>F.S.</w:t>
      </w:r>
      <w:r w:rsidR="001304FD" w:rsidRPr="001304FD">
        <w:rPr>
          <w:rFonts w:eastAsiaTheme="minorHAnsi" w:cstheme="minorBidi"/>
          <w:szCs w:val="22"/>
        </w:rPr>
        <w:t xml:space="preserve">, staff removed the rate case expense of $499 from the overall O&amp;M expense of $39,097. This resulted in earnings of 10.52 percent ($4,061 </w:t>
      </w:r>
      <w:r w:rsidR="001304FD" w:rsidRPr="001304FD">
        <w:rPr>
          <w:rFonts w:eastAsiaTheme="minorHAnsi"/>
          <w:szCs w:val="22"/>
        </w:rPr>
        <w:t>÷</w:t>
      </w:r>
      <w:r w:rsidR="001304FD" w:rsidRPr="001304FD">
        <w:rPr>
          <w:rFonts w:eastAsiaTheme="minorHAnsi" w:cstheme="minorBidi"/>
          <w:szCs w:val="22"/>
        </w:rPr>
        <w:t xml:space="preserve"> $38,598).</w:t>
      </w:r>
      <w:r w:rsidRPr="00430B01">
        <w:rPr>
          <w:rFonts w:eastAsiaTheme="minorHAnsi" w:cstheme="minorBidi"/>
          <w:szCs w:val="22"/>
        </w:rPr>
        <w:t xml:space="preserve"> </w:t>
      </w:r>
    </w:p>
    <w:p w:rsidR="00430B01" w:rsidRPr="00430B01" w:rsidRDefault="00430B01" w:rsidP="00430B01">
      <w:pPr>
        <w:jc w:val="both"/>
        <w:rPr>
          <w:rFonts w:eastAsiaTheme="minorHAnsi" w:cstheme="minorBidi"/>
          <w:szCs w:val="22"/>
        </w:rPr>
      </w:pPr>
    </w:p>
    <w:p w:rsidR="00430B01" w:rsidRDefault="00430B01" w:rsidP="00430B01">
      <w:pPr>
        <w:jc w:val="both"/>
        <w:rPr>
          <w:rFonts w:eastAsiaTheme="minorHAnsi" w:cstheme="minorBidi"/>
          <w:szCs w:val="22"/>
        </w:rPr>
      </w:pPr>
      <w:r w:rsidRPr="00430B01">
        <w:rPr>
          <w:rFonts w:eastAsiaTheme="minorHAnsi" w:cstheme="minorBidi"/>
          <w:szCs w:val="22"/>
        </w:rPr>
        <w:t>Using the operating ratio methodology approved at the time, the Commission approved an operating margin of 10.00 percent in East Marion’s prior rate case.</w:t>
      </w:r>
      <w:r w:rsidRPr="00430B01">
        <w:rPr>
          <w:rFonts w:eastAsiaTheme="minorHAnsi" w:cstheme="minorBidi"/>
          <w:szCs w:val="22"/>
          <w:vertAlign w:val="superscript"/>
        </w:rPr>
        <w:footnoteReference w:id="7"/>
      </w:r>
      <w:r w:rsidRPr="00430B01">
        <w:rPr>
          <w:rFonts w:eastAsiaTheme="minorHAnsi" w:cstheme="minorBidi"/>
          <w:szCs w:val="22"/>
        </w:rPr>
        <w:t xml:space="preserve"> </w:t>
      </w:r>
      <w:r w:rsidR="00CB424E" w:rsidRPr="00CB424E">
        <w:t>This resulted in overearnings of approximately $</w:t>
      </w:r>
      <w:r w:rsidR="001304FD">
        <w:t>201</w:t>
      </w:r>
      <w:r w:rsidR="00CB424E" w:rsidRPr="00CB424E">
        <w:t>, or 0.</w:t>
      </w:r>
      <w:r w:rsidR="001304FD">
        <w:t>40</w:t>
      </w:r>
      <w:r w:rsidR="00CB424E" w:rsidRPr="00CB424E">
        <w:t xml:space="preserve"> percent ($</w:t>
      </w:r>
      <w:r w:rsidR="001304FD">
        <w:t>201</w:t>
      </w:r>
      <w:r w:rsidR="00CB424E" w:rsidRPr="00CB424E">
        <w:t xml:space="preserve"> ÷ $50,720) for the 12-month period ended August 31, 2024.</w:t>
      </w:r>
      <w:r w:rsidRPr="00430B01">
        <w:rPr>
          <w:rFonts w:eastAsiaTheme="minorHAnsi" w:cstheme="minorBidi"/>
          <w:szCs w:val="22"/>
        </w:rPr>
        <w:t xml:space="preserve"> As such, staff recommends an adjusted revenue requirement for East Marion’s water system of $50,</w:t>
      </w:r>
      <w:r w:rsidR="001304FD">
        <w:rPr>
          <w:rFonts w:eastAsiaTheme="minorHAnsi" w:cstheme="minorBidi"/>
          <w:szCs w:val="22"/>
        </w:rPr>
        <w:t>519</w:t>
      </w:r>
      <w:r w:rsidRPr="00430B01">
        <w:rPr>
          <w:rFonts w:eastAsiaTheme="minorHAnsi" w:cstheme="minorBidi"/>
          <w:szCs w:val="22"/>
        </w:rPr>
        <w:t xml:space="preserve"> ($50,720 - $</w:t>
      </w:r>
      <w:r w:rsidR="001304FD">
        <w:rPr>
          <w:rFonts w:eastAsiaTheme="minorHAnsi" w:cstheme="minorBidi"/>
          <w:szCs w:val="22"/>
        </w:rPr>
        <w:t>201</w:t>
      </w:r>
      <w:r w:rsidRPr="00430B01">
        <w:rPr>
          <w:rFonts w:eastAsiaTheme="minorHAnsi" w:cstheme="minorBidi"/>
          <w:szCs w:val="22"/>
        </w:rPr>
        <w:t xml:space="preserve">). No adjustment to the revenue requirement for the East Marion wastewater system is necessary. </w:t>
      </w:r>
    </w:p>
    <w:p w:rsidR="00430B01" w:rsidRPr="00430B01" w:rsidRDefault="00430B01" w:rsidP="00430B01">
      <w:pPr>
        <w:jc w:val="both"/>
        <w:rPr>
          <w:rFonts w:eastAsiaTheme="minorHAnsi" w:cstheme="minorBidi"/>
          <w:szCs w:val="22"/>
        </w:rPr>
      </w:pPr>
    </w:p>
    <w:p w:rsidR="00430B01" w:rsidRPr="00430B01" w:rsidRDefault="00430B01" w:rsidP="00430B01">
      <w:pPr>
        <w:jc w:val="both"/>
        <w:rPr>
          <w:rFonts w:ascii="Arial" w:eastAsiaTheme="minorHAnsi" w:hAnsi="Arial" w:cs="Arial"/>
          <w:b/>
          <w:szCs w:val="22"/>
        </w:rPr>
      </w:pPr>
      <w:r w:rsidRPr="00430B01">
        <w:rPr>
          <w:rFonts w:ascii="Arial" w:eastAsiaTheme="minorHAnsi" w:hAnsi="Arial" w:cs="Arial"/>
          <w:b/>
          <w:szCs w:val="22"/>
        </w:rPr>
        <w:t>Lake Yale Utilities, LLC.</w:t>
      </w:r>
    </w:p>
    <w:p w:rsidR="00430B01" w:rsidRDefault="00430B01" w:rsidP="00430B01">
      <w:pPr>
        <w:jc w:val="both"/>
        <w:rPr>
          <w:rFonts w:eastAsiaTheme="minorHAnsi" w:cstheme="minorBidi"/>
          <w:szCs w:val="22"/>
        </w:rPr>
      </w:pPr>
      <w:r w:rsidRPr="00430B01">
        <w:rPr>
          <w:rFonts w:eastAsiaTheme="minorHAnsi" w:cstheme="minorBidi"/>
          <w:szCs w:val="22"/>
        </w:rPr>
        <w:t xml:space="preserve">In its earnings review, </w:t>
      </w:r>
      <w:r w:rsidR="005E190C">
        <w:rPr>
          <w:rFonts w:eastAsiaTheme="minorHAnsi" w:cstheme="minorBidi"/>
          <w:szCs w:val="22"/>
        </w:rPr>
        <w:t xml:space="preserve">the wastewater system for </w:t>
      </w:r>
      <w:r w:rsidRPr="00430B01">
        <w:rPr>
          <w:rFonts w:eastAsiaTheme="minorHAnsi" w:cstheme="minorBidi"/>
          <w:szCs w:val="22"/>
        </w:rPr>
        <w:t xml:space="preserve">Lake Yale recorded net operating income of $34,639; annual revenues of $124,155; and an adjusted O&amp;M expense of $78,711. Pursuant to Section 367.081(4)(b)(1)(e), </w:t>
      </w:r>
      <w:r w:rsidR="00EB45CE">
        <w:rPr>
          <w:rFonts w:eastAsiaTheme="minorHAnsi" w:cstheme="minorBidi"/>
          <w:szCs w:val="22"/>
        </w:rPr>
        <w:t>F.S.</w:t>
      </w:r>
      <w:r w:rsidRPr="00430B01">
        <w:rPr>
          <w:rFonts w:eastAsiaTheme="minorHAnsi" w:cstheme="minorBidi"/>
          <w:szCs w:val="22"/>
        </w:rPr>
        <w:t xml:space="preserve">, staff removed the rate case expense of $188 from the overall O&amp;M expense of $78,899. There was no purchased wastewater expense for the Lake Yale wastewater system. This resulted in earnings of 44.01 percent ($34,639 </w:t>
      </w:r>
      <w:r w:rsidRPr="00430B01">
        <w:rPr>
          <w:rFonts w:eastAsiaTheme="minorHAnsi"/>
          <w:szCs w:val="22"/>
        </w:rPr>
        <w:t>÷</w:t>
      </w:r>
      <w:r w:rsidRPr="00430B01">
        <w:rPr>
          <w:rFonts w:eastAsiaTheme="minorHAnsi" w:cstheme="minorBidi"/>
          <w:szCs w:val="22"/>
        </w:rPr>
        <w:t xml:space="preserve"> $78,711). </w:t>
      </w:r>
    </w:p>
    <w:p w:rsidR="00430B01" w:rsidRPr="00430B01" w:rsidRDefault="00430B01" w:rsidP="00430B01">
      <w:pPr>
        <w:jc w:val="both"/>
        <w:rPr>
          <w:rFonts w:eastAsiaTheme="minorHAnsi" w:cstheme="minorBidi"/>
          <w:szCs w:val="22"/>
        </w:rPr>
      </w:pPr>
    </w:p>
    <w:p w:rsidR="00430B01" w:rsidRDefault="00430B01" w:rsidP="00430B01">
      <w:pPr>
        <w:jc w:val="both"/>
        <w:rPr>
          <w:rFonts w:eastAsiaTheme="minorHAnsi" w:cstheme="minorBidi"/>
          <w:szCs w:val="22"/>
        </w:rPr>
      </w:pPr>
      <w:r w:rsidRPr="00430B01">
        <w:rPr>
          <w:rFonts w:eastAsiaTheme="minorHAnsi" w:cstheme="minorBidi"/>
          <w:szCs w:val="22"/>
        </w:rPr>
        <w:t>Using the operating ratio methodology approved at the time, the Commission approved an operating margin of 12.00 percent in Lake Yale’s prior rate case.</w:t>
      </w:r>
      <w:r w:rsidRPr="00430B01">
        <w:rPr>
          <w:rFonts w:eastAsiaTheme="minorHAnsi" w:cstheme="minorBidi"/>
          <w:szCs w:val="22"/>
          <w:vertAlign w:val="superscript"/>
        </w:rPr>
        <w:footnoteReference w:id="8"/>
      </w:r>
      <w:r w:rsidRPr="00430B01">
        <w:rPr>
          <w:rFonts w:eastAsiaTheme="minorHAnsi" w:cstheme="minorBidi"/>
          <w:szCs w:val="22"/>
        </w:rPr>
        <w:t xml:space="preserve"> </w:t>
      </w:r>
      <w:r w:rsidR="00CB424E" w:rsidRPr="00CB424E">
        <w:t>This resulted in overearnings of approximately $25,194, or 20.29 percent ($25,194 ÷ $124,155) for the 12-month period ended August 31, 2024.</w:t>
      </w:r>
      <w:r w:rsidRPr="00430B01">
        <w:rPr>
          <w:rFonts w:eastAsiaTheme="minorHAnsi" w:cstheme="minorBidi"/>
          <w:szCs w:val="22"/>
        </w:rPr>
        <w:t xml:space="preserve"> As such, staff recommends an adjusted revenue requirement for Lake Yale’s wastewater system of $98,961 ($124,155 - $25,194). No adjustment to the revenue requirement for the Lake Yale water system is necessary.</w:t>
      </w:r>
    </w:p>
    <w:p w:rsidR="00BA2111" w:rsidRDefault="00BA2111" w:rsidP="00430B01">
      <w:pPr>
        <w:jc w:val="both"/>
        <w:rPr>
          <w:rFonts w:eastAsiaTheme="minorHAnsi" w:cstheme="minorBidi"/>
          <w:szCs w:val="22"/>
        </w:rPr>
      </w:pPr>
    </w:p>
    <w:p w:rsidR="00BA2111" w:rsidRDefault="00BA2111" w:rsidP="00BA2111">
      <w:pPr>
        <w:pStyle w:val="First-LevelSubheading"/>
        <w:rPr>
          <w:rFonts w:eastAsiaTheme="minorHAnsi"/>
        </w:rPr>
      </w:pPr>
      <w:r>
        <w:rPr>
          <w:rFonts w:eastAsiaTheme="minorHAnsi"/>
        </w:rPr>
        <w:t>Conclusion</w:t>
      </w:r>
    </w:p>
    <w:p w:rsidR="00430B01" w:rsidRDefault="00BA2111" w:rsidP="00430B01">
      <w:pPr>
        <w:pStyle w:val="BodyText"/>
        <w:spacing w:after="0"/>
      </w:pPr>
      <w:r>
        <w:t xml:space="preserve">Based on the above, three of the fourteen systems included in </w:t>
      </w:r>
      <w:r w:rsidR="00871E18">
        <w:t xml:space="preserve">the </w:t>
      </w:r>
      <w:r>
        <w:t xml:space="preserve">FUS1 LARI docket were found to be overearning. Those three systems are Crestridge, the water system for East Marion, and the wastewater system for Lake Yale. </w:t>
      </w:r>
      <w:r w:rsidR="000D6937">
        <w:t>T</w:t>
      </w:r>
      <w:r>
        <w:t>he appropriate revenue requirement</w:t>
      </w:r>
      <w:r w:rsidR="00871E18">
        <w:t>s</w:t>
      </w:r>
      <w:r>
        <w:t xml:space="preserve"> should be $251,161 for Crestridge; $50,5</w:t>
      </w:r>
      <w:r w:rsidR="00D06A1B">
        <w:t>1</w:t>
      </w:r>
      <w:r>
        <w:t>9 for East Marion’s water system; and $98,961 for Lake Yale’s wastewater system.</w:t>
      </w:r>
    </w:p>
    <w:p w:rsidR="00FE6659" w:rsidRDefault="00FE6659">
      <w:pPr>
        <w:pStyle w:val="IssueHeading"/>
        <w:rPr>
          <w:vanish/>
          <w:specVanish/>
        </w:rPr>
      </w:pPr>
      <w:r w:rsidRPr="004C3641">
        <w:rPr>
          <w:b w:val="0"/>
          <w:i w:val="0"/>
        </w:rPr>
        <w:br w:type="page"/>
      </w:r>
      <w:r w:rsidRPr="004C3641">
        <w:lastRenderedPageBreak/>
        <w:t xml:space="preserve">Issue </w:t>
      </w:r>
      <w:r w:rsidR="00596A73">
        <w:fldChar w:fldCharType="begin"/>
      </w:r>
      <w:r w:rsidR="00596A73">
        <w:instrText xml:space="preserve"> SEQ Issue \* MERGEFORMAT </w:instrText>
      </w:r>
      <w:r w:rsidR="00596A73">
        <w:fldChar w:fldCharType="separate"/>
      </w:r>
      <w:r w:rsidR="00990BBC">
        <w:rPr>
          <w:noProof/>
        </w:rPr>
        <w:t>2</w:t>
      </w:r>
      <w:r w:rsidR="00596A7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90BBC">
        <w:rPr>
          <w:noProof/>
        </w:rPr>
        <w:instrText>2</w:instrText>
      </w:r>
      <w:r>
        <w:fldChar w:fldCharType="end"/>
      </w:r>
      <w:r>
        <w:tab/>
        <w:instrText xml:space="preserve">Rates" \l 1 </w:instrText>
      </w:r>
      <w:r>
        <w:fldChar w:fldCharType="end"/>
      </w:r>
      <w:r>
        <w:t> </w:t>
      </w:r>
    </w:p>
    <w:p w:rsidR="00FE6659" w:rsidRDefault="00FE6659">
      <w:pPr>
        <w:pStyle w:val="BodyText"/>
      </w:pPr>
      <w:r>
        <w:t> </w:t>
      </w:r>
      <w:r w:rsidR="00993E7D">
        <w:t xml:space="preserve">What are the appropriate monthly service rates for the </w:t>
      </w:r>
      <w:r w:rsidR="009829F9">
        <w:t xml:space="preserve">three systems </w:t>
      </w:r>
      <w:r w:rsidR="00871E18">
        <w:t xml:space="preserve">that are </w:t>
      </w:r>
      <w:r w:rsidR="00441178">
        <w:t>overearning</w:t>
      </w:r>
      <w:r w:rsidR="00993E7D">
        <w:t>?</w:t>
      </w:r>
    </w:p>
    <w:p w:rsidR="00FE6659" w:rsidRPr="004C3641" w:rsidRDefault="00FE6659">
      <w:pPr>
        <w:pStyle w:val="IssueSubsectionHeading"/>
        <w:rPr>
          <w:vanish/>
          <w:specVanish/>
        </w:rPr>
      </w:pPr>
      <w:r w:rsidRPr="004C3641">
        <w:t>Recommendation: </w:t>
      </w:r>
    </w:p>
    <w:p w:rsidR="00FE6659" w:rsidRDefault="00FE6659">
      <w:pPr>
        <w:pStyle w:val="BodyText"/>
      </w:pPr>
      <w:r>
        <w:t> </w:t>
      </w:r>
      <w:r w:rsidR="00993E7D">
        <w:t xml:space="preserve">The appropriate service rates are shown on Schedule No. 1. </w:t>
      </w:r>
      <w:r w:rsidR="0096543B">
        <w:t>Crestridge</w:t>
      </w:r>
      <w:r w:rsidR="00863892">
        <w:t xml:space="preserve"> and Lake Yale</w:t>
      </w:r>
      <w:r w:rsidR="00993E7D">
        <w:t xml:space="preserve"> should file tariff sheets and proposed customer notices to reflect the Commission-approved rates. </w:t>
      </w:r>
      <w:r w:rsidR="00863892">
        <w:t xml:space="preserve">East Marion’s rates should remain unchanged. </w:t>
      </w:r>
      <w:r w:rsidR="00993E7D">
        <w:t xml:space="preserve">The approved rates should be effective for service rendered on or after the stamped approval date on the tariff sheets pursuant to Rule 25-30.475(1), F.A.C. In addition, the rates should not be implemented until staff has approved the proposed customer notice. </w:t>
      </w:r>
      <w:r w:rsidR="00D06A1B">
        <w:t>Crestridge</w:t>
      </w:r>
      <w:r w:rsidR="003233A0">
        <w:t xml:space="preserve"> and Lake Yale</w:t>
      </w:r>
      <w:r w:rsidR="00993E7D">
        <w:t xml:space="preserve"> should provide proof of the date notice was given no less than 10 days after the date of the notice.</w:t>
      </w:r>
      <w:r>
        <w:t xml:space="preserve"> (</w:t>
      </w:r>
      <w:r w:rsidR="00993E7D">
        <w:t xml:space="preserve">Bethea, </w:t>
      </w:r>
      <w:r>
        <w:t>Hudson)</w:t>
      </w:r>
    </w:p>
    <w:p w:rsidR="00FE6659" w:rsidRPr="004C3641" w:rsidRDefault="00FE6659">
      <w:pPr>
        <w:pStyle w:val="IssueSubsectionHeading"/>
        <w:rPr>
          <w:vanish/>
          <w:specVanish/>
        </w:rPr>
      </w:pPr>
      <w:r w:rsidRPr="004C3641">
        <w:t>Staff Analysis: </w:t>
      </w:r>
    </w:p>
    <w:p w:rsidR="00FE6659" w:rsidRDefault="00FE6659">
      <w:pPr>
        <w:pStyle w:val="BodyText"/>
      </w:pPr>
      <w:r>
        <w:t> </w:t>
      </w:r>
      <w:r w:rsidR="0096543B">
        <w:t>Crestridge</w:t>
      </w:r>
      <w:r w:rsidR="00455A15">
        <w:t xml:space="preserve"> and Lake Yale had price index rate increases </w:t>
      </w:r>
      <w:r w:rsidR="0096543B">
        <w:t xml:space="preserve">effective June 1, 2024, </w:t>
      </w:r>
      <w:r w:rsidR="00455A15">
        <w:t xml:space="preserve">during their earnings review period. </w:t>
      </w:r>
      <w:r w:rsidR="00AE21EB">
        <w:t xml:space="preserve">In order to determine the appropriate percentage reduction to the rates for removal of overearnings, </w:t>
      </w:r>
      <w:r w:rsidR="0096543B">
        <w:t>revenues</w:t>
      </w:r>
      <w:r w:rsidR="00AE21EB">
        <w:t xml:space="preserve"> should be annualized and compared to the adjusted revenue requirements in Issue 1.</w:t>
      </w:r>
      <w:r w:rsidR="003E297C">
        <w:t xml:space="preserve"> </w:t>
      </w:r>
      <w:r w:rsidR="003E297C" w:rsidRPr="00D952B8">
        <w:t xml:space="preserve">For East Marion, </w:t>
      </w:r>
      <w:r w:rsidR="00D952B8" w:rsidRPr="00D952B8">
        <w:t>d</w:t>
      </w:r>
      <w:r w:rsidR="00D952B8">
        <w:t xml:space="preserve">ue to the less than one percent reduction to rates, staff recommends that the rates remain unchanged. </w:t>
      </w:r>
      <w:r w:rsidR="00AE21EB">
        <w:t>T</w:t>
      </w:r>
      <w:r w:rsidR="00993E7D">
        <w:t xml:space="preserve">he existing service rates for </w:t>
      </w:r>
      <w:r w:rsidR="003E297C">
        <w:t xml:space="preserve">Crestridge and Lake Yale </w:t>
      </w:r>
      <w:r w:rsidR="00993E7D">
        <w:t>shoul</w:t>
      </w:r>
      <w:r w:rsidR="00B44B93">
        <w:t>d be decreased</w:t>
      </w:r>
      <w:r w:rsidR="00993E7D">
        <w:t xml:space="preserve"> by </w:t>
      </w:r>
      <w:r w:rsidR="003233A0">
        <w:t>its</w:t>
      </w:r>
      <w:r w:rsidR="00430BBC">
        <w:t xml:space="preserve"> respective </w:t>
      </w:r>
      <w:r w:rsidR="00B44B93">
        <w:t xml:space="preserve">percentage </w:t>
      </w:r>
      <w:r w:rsidR="00993E7D">
        <w:t>shown in Table 2-1.</w:t>
      </w:r>
    </w:p>
    <w:p w:rsidR="00B44B93" w:rsidRPr="00964D52" w:rsidRDefault="00B44B93" w:rsidP="00B44B93">
      <w:pPr>
        <w:pStyle w:val="BodyText"/>
        <w:spacing w:after="0"/>
        <w:jc w:val="center"/>
        <w:rPr>
          <w:rFonts w:ascii="Arial" w:hAnsi="Arial" w:cs="Arial"/>
          <w:b/>
        </w:rPr>
      </w:pPr>
      <w:r w:rsidRPr="00964D52">
        <w:rPr>
          <w:rFonts w:ascii="Arial" w:hAnsi="Arial" w:cs="Arial"/>
          <w:b/>
        </w:rPr>
        <w:t>Table 2-1</w:t>
      </w:r>
    </w:p>
    <w:p w:rsidR="00B44B93" w:rsidRDefault="00B44B93" w:rsidP="00B44B93">
      <w:pPr>
        <w:pStyle w:val="BodyText"/>
        <w:spacing w:after="0"/>
        <w:jc w:val="center"/>
      </w:pPr>
      <w:r w:rsidRPr="00964D52">
        <w:rPr>
          <w:rFonts w:ascii="Arial" w:hAnsi="Arial" w:cs="Arial"/>
          <w:b/>
        </w:rPr>
        <w:t>Staf</w:t>
      </w:r>
      <w:r>
        <w:rPr>
          <w:rFonts w:ascii="Arial" w:hAnsi="Arial" w:cs="Arial"/>
          <w:b/>
        </w:rPr>
        <w:t>f Recommended Percentage Rate De</w:t>
      </w:r>
      <w:r w:rsidRPr="00964D52">
        <w:rPr>
          <w:rFonts w:ascii="Arial" w:hAnsi="Arial" w:cs="Arial"/>
          <w:b/>
        </w:rPr>
        <w:t>crease</w:t>
      </w:r>
    </w:p>
    <w:tbl>
      <w:tblPr>
        <w:tblW w:w="8919" w:type="dxa"/>
        <w:jc w:val="center"/>
        <w:tblLook w:val="04A0" w:firstRow="1" w:lastRow="0" w:firstColumn="1" w:lastColumn="0" w:noHBand="0" w:noVBand="1"/>
      </w:tblPr>
      <w:tblGrid>
        <w:gridCol w:w="2840"/>
        <w:gridCol w:w="1440"/>
        <w:gridCol w:w="1669"/>
        <w:gridCol w:w="1530"/>
        <w:gridCol w:w="1440"/>
      </w:tblGrid>
      <w:tr w:rsidR="00CF2B2D" w:rsidTr="00CF2B2D">
        <w:trPr>
          <w:trHeight w:val="309"/>
          <w:jc w:val="center"/>
        </w:trPr>
        <w:tc>
          <w:tcPr>
            <w:tcW w:w="2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2B2D" w:rsidRDefault="00CF2B2D" w:rsidP="007B2AB8">
            <w:pPr>
              <w:jc w:val="center"/>
              <w:rPr>
                <w:b/>
                <w:bCs/>
                <w:color w:val="000000"/>
              </w:rPr>
            </w:pPr>
            <w:r>
              <w:rPr>
                <w:b/>
                <w:bCs/>
                <w:color w:val="000000"/>
              </w:rPr>
              <w:t>Utility</w:t>
            </w:r>
          </w:p>
        </w:tc>
        <w:tc>
          <w:tcPr>
            <w:tcW w:w="1440" w:type="dxa"/>
            <w:tcBorders>
              <w:top w:val="single" w:sz="8" w:space="0" w:color="auto"/>
              <w:left w:val="nil"/>
              <w:bottom w:val="single" w:sz="8" w:space="0" w:color="auto"/>
              <w:right w:val="single" w:sz="8" w:space="0" w:color="auto"/>
            </w:tcBorders>
            <w:vAlign w:val="bottom"/>
          </w:tcPr>
          <w:p w:rsidR="008A38AA" w:rsidRDefault="008A38AA" w:rsidP="007B2AB8">
            <w:pPr>
              <w:jc w:val="center"/>
              <w:rPr>
                <w:b/>
                <w:bCs/>
                <w:color w:val="000000"/>
              </w:rPr>
            </w:pPr>
            <w:r>
              <w:rPr>
                <w:b/>
                <w:bCs/>
                <w:color w:val="000000"/>
              </w:rPr>
              <w:t>(1)</w:t>
            </w:r>
          </w:p>
          <w:p w:rsidR="008A38AA" w:rsidRDefault="008A38AA" w:rsidP="007B2AB8">
            <w:pPr>
              <w:jc w:val="center"/>
              <w:rPr>
                <w:b/>
                <w:bCs/>
                <w:color w:val="000000"/>
              </w:rPr>
            </w:pPr>
          </w:p>
          <w:p w:rsidR="001B55E2" w:rsidRDefault="00CF2B2D" w:rsidP="008A38AA">
            <w:pPr>
              <w:jc w:val="center"/>
              <w:rPr>
                <w:b/>
                <w:bCs/>
                <w:color w:val="000000"/>
              </w:rPr>
            </w:pPr>
            <w:r>
              <w:rPr>
                <w:b/>
                <w:bCs/>
                <w:color w:val="000000"/>
              </w:rPr>
              <w:t>Annualize</w:t>
            </w:r>
            <w:r w:rsidR="00881363">
              <w:rPr>
                <w:b/>
                <w:bCs/>
                <w:color w:val="000000"/>
              </w:rPr>
              <w:t>d</w:t>
            </w:r>
            <w:r>
              <w:rPr>
                <w:b/>
                <w:bCs/>
                <w:color w:val="000000"/>
              </w:rPr>
              <w:t xml:space="preserve"> Revenues</w:t>
            </w:r>
          </w:p>
        </w:tc>
        <w:tc>
          <w:tcPr>
            <w:tcW w:w="1669" w:type="dxa"/>
            <w:tcBorders>
              <w:top w:val="single" w:sz="8" w:space="0" w:color="auto"/>
              <w:left w:val="single" w:sz="8" w:space="0" w:color="auto"/>
              <w:bottom w:val="single" w:sz="8" w:space="0" w:color="auto"/>
              <w:right w:val="single" w:sz="8" w:space="0" w:color="auto"/>
            </w:tcBorders>
            <w:vAlign w:val="bottom"/>
          </w:tcPr>
          <w:p w:rsidR="008A38AA" w:rsidRDefault="008A38AA" w:rsidP="007B2AB8">
            <w:pPr>
              <w:jc w:val="center"/>
              <w:rPr>
                <w:b/>
                <w:bCs/>
                <w:color w:val="000000"/>
              </w:rPr>
            </w:pPr>
            <w:r>
              <w:rPr>
                <w:b/>
                <w:bCs/>
                <w:color w:val="000000"/>
              </w:rPr>
              <w:t>(2)</w:t>
            </w:r>
          </w:p>
          <w:p w:rsidR="00CF2B2D" w:rsidRDefault="00CF2B2D" w:rsidP="008A38AA">
            <w:pPr>
              <w:jc w:val="center"/>
              <w:rPr>
                <w:b/>
                <w:bCs/>
                <w:color w:val="000000"/>
              </w:rPr>
            </w:pPr>
            <w:r>
              <w:rPr>
                <w:b/>
                <w:bCs/>
                <w:color w:val="000000"/>
              </w:rPr>
              <w:t>Adjusted Revenue Requirement</w:t>
            </w:r>
          </w:p>
        </w:tc>
        <w:tc>
          <w:tcPr>
            <w:tcW w:w="1530" w:type="dxa"/>
            <w:tcBorders>
              <w:top w:val="single" w:sz="8" w:space="0" w:color="auto"/>
              <w:left w:val="single" w:sz="8" w:space="0" w:color="auto"/>
              <w:bottom w:val="single" w:sz="8" w:space="0" w:color="auto"/>
              <w:right w:val="single" w:sz="8" w:space="0" w:color="auto"/>
            </w:tcBorders>
            <w:vAlign w:val="bottom"/>
          </w:tcPr>
          <w:p w:rsidR="008A38AA" w:rsidRDefault="008A38AA" w:rsidP="008A38AA">
            <w:pPr>
              <w:jc w:val="center"/>
              <w:rPr>
                <w:b/>
                <w:bCs/>
                <w:color w:val="000000"/>
              </w:rPr>
            </w:pPr>
            <w:r>
              <w:rPr>
                <w:b/>
                <w:bCs/>
                <w:color w:val="000000"/>
              </w:rPr>
              <w:t xml:space="preserve"> (3) </w:t>
            </w:r>
          </w:p>
          <w:p w:rsidR="008A38AA" w:rsidRDefault="008A38AA" w:rsidP="008A38AA">
            <w:pPr>
              <w:jc w:val="center"/>
              <w:rPr>
                <w:b/>
                <w:bCs/>
                <w:color w:val="000000"/>
              </w:rPr>
            </w:pPr>
            <w:r>
              <w:rPr>
                <w:b/>
                <w:bCs/>
                <w:color w:val="000000"/>
              </w:rPr>
              <w:t>(2) – (1)</w:t>
            </w:r>
          </w:p>
          <w:p w:rsidR="00CF2B2D" w:rsidRDefault="00CF2B2D" w:rsidP="008A38AA">
            <w:pPr>
              <w:jc w:val="center"/>
              <w:rPr>
                <w:b/>
                <w:bCs/>
                <w:color w:val="000000"/>
              </w:rPr>
            </w:pPr>
            <w:r>
              <w:rPr>
                <w:b/>
                <w:bCs/>
                <w:color w:val="000000"/>
              </w:rPr>
              <w:t>Annual Overearning</w:t>
            </w:r>
            <w:r w:rsidR="001B55E2">
              <w:rPr>
                <w:b/>
                <w:bCs/>
                <w:color w:val="000000"/>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A38AA" w:rsidRDefault="008A38AA" w:rsidP="008A38AA">
            <w:pPr>
              <w:jc w:val="center"/>
              <w:rPr>
                <w:b/>
                <w:bCs/>
                <w:color w:val="000000"/>
              </w:rPr>
            </w:pPr>
            <w:r>
              <w:rPr>
                <w:b/>
                <w:bCs/>
                <w:color w:val="000000"/>
              </w:rPr>
              <w:t xml:space="preserve">(4) </w:t>
            </w:r>
          </w:p>
          <w:p w:rsidR="008A38AA" w:rsidRDefault="008A38AA" w:rsidP="008A38AA">
            <w:pPr>
              <w:jc w:val="center"/>
              <w:rPr>
                <w:b/>
                <w:bCs/>
                <w:color w:val="000000"/>
              </w:rPr>
            </w:pPr>
            <w:r>
              <w:rPr>
                <w:b/>
                <w:bCs/>
                <w:color w:val="000000"/>
              </w:rPr>
              <w:t>(3)/(</w:t>
            </w:r>
            <w:r w:rsidR="0096543B">
              <w:rPr>
                <w:b/>
                <w:bCs/>
                <w:color w:val="000000"/>
              </w:rPr>
              <w:t>1</w:t>
            </w:r>
            <w:r>
              <w:rPr>
                <w:b/>
                <w:bCs/>
                <w:color w:val="000000"/>
              </w:rPr>
              <w:t>)</w:t>
            </w:r>
          </w:p>
          <w:p w:rsidR="001B55E2" w:rsidRDefault="00CF2B2D" w:rsidP="008A38AA">
            <w:pPr>
              <w:jc w:val="center"/>
              <w:rPr>
                <w:b/>
                <w:bCs/>
                <w:color w:val="000000"/>
              </w:rPr>
            </w:pPr>
            <w:r>
              <w:rPr>
                <w:b/>
                <w:bCs/>
                <w:color w:val="000000"/>
              </w:rPr>
              <w:t>% Rate Decrease</w:t>
            </w:r>
          </w:p>
        </w:tc>
      </w:tr>
      <w:tr w:rsidR="00CF2B2D" w:rsidTr="00CF2B2D">
        <w:trPr>
          <w:trHeight w:val="318"/>
          <w:jc w:val="center"/>
        </w:trPr>
        <w:tc>
          <w:tcPr>
            <w:tcW w:w="2840" w:type="dxa"/>
            <w:tcBorders>
              <w:top w:val="nil"/>
              <w:left w:val="single" w:sz="8" w:space="0" w:color="auto"/>
              <w:bottom w:val="single" w:sz="8" w:space="0" w:color="auto"/>
              <w:right w:val="single" w:sz="8" w:space="0" w:color="auto"/>
            </w:tcBorders>
            <w:shd w:val="clear" w:color="auto" w:fill="auto"/>
            <w:noWrap/>
            <w:vAlign w:val="center"/>
            <w:hideMark/>
          </w:tcPr>
          <w:p w:rsidR="00CF2B2D" w:rsidRDefault="00CF2B2D" w:rsidP="007B2AB8">
            <w:pPr>
              <w:rPr>
                <w:color w:val="000000"/>
              </w:rPr>
            </w:pPr>
            <w:r>
              <w:rPr>
                <w:color w:val="000000"/>
              </w:rPr>
              <w:t>Crestridge</w:t>
            </w:r>
          </w:p>
        </w:tc>
        <w:tc>
          <w:tcPr>
            <w:tcW w:w="1440" w:type="dxa"/>
            <w:tcBorders>
              <w:top w:val="single" w:sz="8" w:space="0" w:color="auto"/>
              <w:left w:val="nil"/>
              <w:bottom w:val="single" w:sz="8" w:space="0" w:color="auto"/>
              <w:right w:val="single" w:sz="8" w:space="0" w:color="auto"/>
            </w:tcBorders>
          </w:tcPr>
          <w:p w:rsidR="00CF2B2D" w:rsidRDefault="00CF2B2D" w:rsidP="007B2AB8">
            <w:pPr>
              <w:jc w:val="right"/>
              <w:rPr>
                <w:color w:val="000000"/>
              </w:rPr>
            </w:pPr>
            <w:r>
              <w:rPr>
                <w:color w:val="000000"/>
              </w:rPr>
              <w:t>$290,885</w:t>
            </w:r>
          </w:p>
        </w:tc>
        <w:tc>
          <w:tcPr>
            <w:tcW w:w="1669" w:type="dxa"/>
            <w:tcBorders>
              <w:top w:val="single" w:sz="8" w:space="0" w:color="auto"/>
              <w:left w:val="single" w:sz="8" w:space="0" w:color="auto"/>
              <w:bottom w:val="single" w:sz="8" w:space="0" w:color="auto"/>
              <w:right w:val="single" w:sz="8" w:space="0" w:color="auto"/>
            </w:tcBorders>
          </w:tcPr>
          <w:p w:rsidR="00CF2B2D" w:rsidRDefault="00CF2B2D" w:rsidP="007B2AB8">
            <w:pPr>
              <w:jc w:val="right"/>
              <w:rPr>
                <w:color w:val="000000"/>
              </w:rPr>
            </w:pPr>
            <w:r>
              <w:rPr>
                <w:color w:val="000000"/>
              </w:rPr>
              <w:t>$251,161</w:t>
            </w:r>
          </w:p>
        </w:tc>
        <w:tc>
          <w:tcPr>
            <w:tcW w:w="1530" w:type="dxa"/>
            <w:tcBorders>
              <w:top w:val="nil"/>
              <w:left w:val="single" w:sz="8" w:space="0" w:color="auto"/>
              <w:bottom w:val="single" w:sz="8" w:space="0" w:color="auto"/>
              <w:right w:val="single" w:sz="8" w:space="0" w:color="auto"/>
            </w:tcBorders>
          </w:tcPr>
          <w:p w:rsidR="00CF2B2D" w:rsidRDefault="001B55E2" w:rsidP="007B2AB8">
            <w:pPr>
              <w:jc w:val="right"/>
              <w:rPr>
                <w:color w:val="000000"/>
              </w:rPr>
            </w:pPr>
            <w:r>
              <w:rPr>
                <w:color w:val="000000"/>
              </w:rPr>
              <w:t>-</w:t>
            </w:r>
            <w:r w:rsidR="00CF2B2D">
              <w:rPr>
                <w:color w:val="000000"/>
              </w:rPr>
              <w:t>$39,724</w:t>
            </w:r>
          </w:p>
        </w:tc>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CF2B2D" w:rsidRDefault="00CF2B2D" w:rsidP="00CF2B2D">
            <w:pPr>
              <w:jc w:val="right"/>
              <w:rPr>
                <w:color w:val="000000"/>
              </w:rPr>
            </w:pPr>
            <w:r>
              <w:rPr>
                <w:color w:val="000000"/>
              </w:rPr>
              <w:t>-13.66%</w:t>
            </w:r>
          </w:p>
        </w:tc>
      </w:tr>
      <w:tr w:rsidR="00CF2B2D" w:rsidTr="00CF2B2D">
        <w:trPr>
          <w:trHeight w:val="318"/>
          <w:jc w:val="center"/>
        </w:trPr>
        <w:tc>
          <w:tcPr>
            <w:tcW w:w="2840" w:type="dxa"/>
            <w:tcBorders>
              <w:top w:val="nil"/>
              <w:left w:val="single" w:sz="8" w:space="0" w:color="auto"/>
              <w:bottom w:val="single" w:sz="8" w:space="0" w:color="auto"/>
              <w:right w:val="single" w:sz="8" w:space="0" w:color="auto"/>
            </w:tcBorders>
            <w:shd w:val="clear" w:color="auto" w:fill="auto"/>
            <w:noWrap/>
            <w:vAlign w:val="center"/>
            <w:hideMark/>
          </w:tcPr>
          <w:p w:rsidR="00CF2B2D" w:rsidRDefault="00CF2B2D" w:rsidP="007B2AB8">
            <w:pPr>
              <w:rPr>
                <w:color w:val="000000"/>
              </w:rPr>
            </w:pPr>
            <w:r>
              <w:rPr>
                <w:color w:val="000000"/>
              </w:rPr>
              <w:t xml:space="preserve">Lake Yale (wastewater) </w:t>
            </w:r>
          </w:p>
        </w:tc>
        <w:tc>
          <w:tcPr>
            <w:tcW w:w="1440" w:type="dxa"/>
            <w:tcBorders>
              <w:top w:val="single" w:sz="8" w:space="0" w:color="auto"/>
              <w:left w:val="nil"/>
              <w:bottom w:val="single" w:sz="8" w:space="0" w:color="auto"/>
              <w:right w:val="single" w:sz="8" w:space="0" w:color="auto"/>
            </w:tcBorders>
          </w:tcPr>
          <w:p w:rsidR="00CF2B2D" w:rsidRDefault="00CF2B2D" w:rsidP="007B2AB8">
            <w:pPr>
              <w:jc w:val="right"/>
              <w:rPr>
                <w:color w:val="000000"/>
              </w:rPr>
            </w:pPr>
            <w:r>
              <w:rPr>
                <w:color w:val="000000"/>
              </w:rPr>
              <w:t>$127,429</w:t>
            </w:r>
          </w:p>
        </w:tc>
        <w:tc>
          <w:tcPr>
            <w:tcW w:w="1669" w:type="dxa"/>
            <w:tcBorders>
              <w:top w:val="single" w:sz="8" w:space="0" w:color="auto"/>
              <w:left w:val="single" w:sz="8" w:space="0" w:color="auto"/>
              <w:bottom w:val="single" w:sz="8" w:space="0" w:color="auto"/>
              <w:right w:val="single" w:sz="8" w:space="0" w:color="auto"/>
            </w:tcBorders>
          </w:tcPr>
          <w:p w:rsidR="00CF2B2D" w:rsidRDefault="00CF2B2D" w:rsidP="007B2AB8">
            <w:pPr>
              <w:jc w:val="right"/>
              <w:rPr>
                <w:color w:val="000000"/>
              </w:rPr>
            </w:pPr>
            <w:r>
              <w:rPr>
                <w:color w:val="000000"/>
              </w:rPr>
              <w:t>$98,961</w:t>
            </w:r>
          </w:p>
        </w:tc>
        <w:tc>
          <w:tcPr>
            <w:tcW w:w="1530" w:type="dxa"/>
            <w:tcBorders>
              <w:top w:val="nil"/>
              <w:left w:val="single" w:sz="8" w:space="0" w:color="auto"/>
              <w:bottom w:val="single" w:sz="8" w:space="0" w:color="auto"/>
              <w:right w:val="single" w:sz="8" w:space="0" w:color="auto"/>
            </w:tcBorders>
          </w:tcPr>
          <w:p w:rsidR="00CF2B2D" w:rsidRDefault="001B55E2" w:rsidP="007B2AB8">
            <w:pPr>
              <w:jc w:val="right"/>
              <w:rPr>
                <w:color w:val="000000"/>
              </w:rPr>
            </w:pPr>
            <w:r>
              <w:rPr>
                <w:color w:val="000000"/>
              </w:rPr>
              <w:t>-</w:t>
            </w:r>
            <w:r w:rsidR="00CF2B2D">
              <w:rPr>
                <w:color w:val="000000"/>
              </w:rPr>
              <w:t>$28,468</w:t>
            </w:r>
          </w:p>
        </w:tc>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CF2B2D" w:rsidRDefault="00CF2B2D" w:rsidP="00CF2B2D">
            <w:pPr>
              <w:jc w:val="right"/>
              <w:rPr>
                <w:color w:val="000000"/>
              </w:rPr>
            </w:pPr>
            <w:r>
              <w:rPr>
                <w:color w:val="000000"/>
              </w:rPr>
              <w:t>-22.34%</w:t>
            </w:r>
          </w:p>
        </w:tc>
      </w:tr>
    </w:tbl>
    <w:p w:rsidR="00B44B93" w:rsidRDefault="005E190C" w:rsidP="005E190C">
      <w:pPr>
        <w:pStyle w:val="BodyText"/>
        <w:spacing w:after="0"/>
        <w:jc w:val="left"/>
      </w:pPr>
      <w:r>
        <w:t xml:space="preserve">      Source: Staff’s calculations</w:t>
      </w:r>
    </w:p>
    <w:p w:rsidR="005E190C" w:rsidRDefault="005E190C" w:rsidP="00B44B93">
      <w:pPr>
        <w:pStyle w:val="BodyText"/>
        <w:spacing w:after="0"/>
        <w:jc w:val="center"/>
      </w:pPr>
    </w:p>
    <w:p w:rsidR="00992EB2" w:rsidRDefault="00B44B93" w:rsidP="00B44B93">
      <w:pPr>
        <w:pStyle w:val="BodyText"/>
        <w:spacing w:after="0"/>
      </w:pPr>
      <w:r>
        <w:t xml:space="preserve">Staff calculated rates by applying the percentage rate decreases across-the-board to the existing </w:t>
      </w:r>
      <w:r w:rsidR="00992EB2">
        <w:t xml:space="preserve">rates </w:t>
      </w:r>
      <w:r>
        <w:t xml:space="preserve">for each utility. </w:t>
      </w:r>
      <w:r w:rsidR="00286708" w:rsidRPr="00D06A1B">
        <w:t xml:space="preserve">Further, </w:t>
      </w:r>
      <w:r w:rsidR="00871E18" w:rsidRPr="00D06A1B">
        <w:t xml:space="preserve">Lake Yale wastewater </w:t>
      </w:r>
      <w:r w:rsidR="00992EB2" w:rsidRPr="00D06A1B">
        <w:t xml:space="preserve">rates include </w:t>
      </w:r>
      <w:r w:rsidR="00871E18" w:rsidRPr="00D06A1B">
        <w:t>amortized r</w:t>
      </w:r>
      <w:r w:rsidR="00044808" w:rsidRPr="00D06A1B">
        <w:t xml:space="preserve">ate case expense </w:t>
      </w:r>
      <w:r w:rsidR="00E45A66" w:rsidRPr="00D06A1B">
        <w:t xml:space="preserve">that </w:t>
      </w:r>
      <w:r w:rsidR="00044808" w:rsidRPr="00D06A1B">
        <w:t>expire</w:t>
      </w:r>
      <w:r w:rsidR="00E45A66" w:rsidRPr="00D06A1B">
        <w:t>d on April 17, 2025</w:t>
      </w:r>
      <w:r w:rsidR="00044808" w:rsidRPr="00D06A1B">
        <w:t>.</w:t>
      </w:r>
      <w:r w:rsidR="00C33E66" w:rsidRPr="00D06A1B">
        <w:t xml:space="preserve"> </w:t>
      </w:r>
      <w:r w:rsidR="0036307A" w:rsidRPr="00D06A1B">
        <w:t>The rates which implemented the rate case amortization were effective Ap</w:t>
      </w:r>
      <w:r w:rsidR="00C33E66" w:rsidRPr="00D06A1B">
        <w:t>ril 17, 2021. However, they were</w:t>
      </w:r>
      <w:r w:rsidR="0036307A" w:rsidRPr="00D06A1B">
        <w:t xml:space="preserve"> first billed with the May 2021 usage.</w:t>
      </w:r>
      <w:r w:rsidR="00C33E66">
        <w:t xml:space="preserve"> </w:t>
      </w:r>
      <w:r w:rsidR="00286708">
        <w:t>Typically, the removal of rate case expense is processed administratively by staff based on reductions approved by the Commission</w:t>
      </w:r>
      <w:r w:rsidR="001C53F7">
        <w:t xml:space="preserve">. </w:t>
      </w:r>
      <w:r w:rsidR="00286708">
        <w:t>However, due to</w:t>
      </w:r>
      <w:r w:rsidR="00992EB2">
        <w:t xml:space="preserve"> the</w:t>
      </w:r>
      <w:r w:rsidR="00286708">
        <w:t xml:space="preserve"> tim</w:t>
      </w:r>
      <w:r w:rsidR="00992EB2">
        <w:t>ing</w:t>
      </w:r>
      <w:r w:rsidR="00286708">
        <w:t xml:space="preserve"> of reducing the rates for the overearnings, </w:t>
      </w:r>
      <w:r w:rsidR="00044808" w:rsidRPr="00992EB2">
        <w:t xml:space="preserve">staff believes it is appropriate to </w:t>
      </w:r>
      <w:r w:rsidR="00286708" w:rsidRPr="00992EB2">
        <w:t xml:space="preserve">remove the rate case expense from the staff’s recommended decreased rates in order to avoid two rate </w:t>
      </w:r>
      <w:r w:rsidR="00992EB2" w:rsidRPr="00992EB2">
        <w:t>changes</w:t>
      </w:r>
      <w:r w:rsidR="00286708" w:rsidRPr="00992EB2">
        <w:t xml:space="preserve"> in a short time frame and </w:t>
      </w:r>
      <w:r w:rsidR="00992EB2" w:rsidRPr="00992EB2">
        <w:t>any confusion it may create on the customers</w:t>
      </w:r>
      <w:r w:rsidR="00044808" w:rsidRPr="00992EB2">
        <w:t>.</w:t>
      </w:r>
      <w:r w:rsidR="004E36CF" w:rsidRPr="00992EB2">
        <w:t xml:space="preserve"> </w:t>
      </w:r>
      <w:r w:rsidR="00992EB2" w:rsidRPr="00992EB2">
        <w:t xml:space="preserve">As a result, the staff recommended decreased rates due to the overearnings should be </w:t>
      </w:r>
      <w:r w:rsidR="00992EB2">
        <w:t xml:space="preserve">also </w:t>
      </w:r>
      <w:r w:rsidR="00992EB2" w:rsidRPr="00992EB2">
        <w:t>reduc</w:t>
      </w:r>
      <w:r w:rsidR="00992EB2">
        <w:t xml:space="preserve">ed by the </w:t>
      </w:r>
      <w:r w:rsidR="003233A0">
        <w:t>rate case expense</w:t>
      </w:r>
      <w:r w:rsidR="00992EB2">
        <w:t xml:space="preserve"> reductions </w:t>
      </w:r>
      <w:r w:rsidR="003233A0">
        <w:t xml:space="preserve">approved </w:t>
      </w:r>
      <w:r w:rsidR="00992EB2">
        <w:t>in Order No. PSC-2021-0106-PAA-WS.</w:t>
      </w:r>
      <w:r w:rsidR="00992EB2">
        <w:rPr>
          <w:rStyle w:val="FootnoteReference"/>
        </w:rPr>
        <w:footnoteReference w:id="9"/>
      </w:r>
    </w:p>
    <w:p w:rsidR="00430BBC" w:rsidRDefault="00430BBC" w:rsidP="00B44B93">
      <w:pPr>
        <w:pStyle w:val="BodyText"/>
        <w:spacing w:after="0"/>
      </w:pPr>
    </w:p>
    <w:p w:rsidR="00430BBC" w:rsidRDefault="00430BBC" w:rsidP="00B44B93">
      <w:pPr>
        <w:pStyle w:val="BodyText"/>
        <w:spacing w:after="0"/>
      </w:pPr>
      <w:r>
        <w:t xml:space="preserve">In addition, staff acknowledges that </w:t>
      </w:r>
      <w:r w:rsidR="004F1087">
        <w:t xml:space="preserve">FUS1 provided reduced rates </w:t>
      </w:r>
      <w:r w:rsidR="00863892">
        <w:t xml:space="preserve">to remove the overearnings </w:t>
      </w:r>
      <w:r w:rsidR="004F1087">
        <w:t>for staff’s review.</w:t>
      </w:r>
      <w:r w:rsidR="003233A0">
        <w:rPr>
          <w:rStyle w:val="FootnoteReference"/>
        </w:rPr>
        <w:footnoteReference w:id="10"/>
      </w:r>
      <w:r w:rsidR="004F1087">
        <w:t xml:space="preserve">  Upon review, staff determined that the proposed rates created an underearning </w:t>
      </w:r>
      <w:r w:rsidR="003233A0">
        <w:lastRenderedPageBreak/>
        <w:t>of</w:t>
      </w:r>
      <w:r w:rsidR="004F1087">
        <w:t xml:space="preserve"> staff’s recommended adjusted revenue requirement</w:t>
      </w:r>
      <w:r w:rsidR="001C53F7">
        <w:t xml:space="preserve">. </w:t>
      </w:r>
      <w:r w:rsidR="004F1087">
        <w:t xml:space="preserve">Therefore, staff believes </w:t>
      </w:r>
      <w:r w:rsidR="00863892">
        <w:t>FUS1’s</w:t>
      </w:r>
      <w:r w:rsidR="004F1087">
        <w:t xml:space="preserve"> proposed rates were inappropriate. </w:t>
      </w:r>
    </w:p>
    <w:p w:rsidR="00992EB2" w:rsidRDefault="00992EB2" w:rsidP="00B44B93">
      <w:pPr>
        <w:pStyle w:val="BodyText"/>
        <w:spacing w:after="0"/>
      </w:pPr>
    </w:p>
    <w:p w:rsidR="00992EB2" w:rsidRDefault="00992EB2" w:rsidP="00992EB2">
      <w:pPr>
        <w:pStyle w:val="First-LevelSubheading"/>
      </w:pPr>
      <w:r>
        <w:t>Conclusion</w:t>
      </w:r>
    </w:p>
    <w:p w:rsidR="00B44B93" w:rsidRDefault="00B44B93" w:rsidP="00863892">
      <w:pPr>
        <w:pStyle w:val="BodyText"/>
        <w:spacing w:after="0"/>
      </w:pPr>
      <w:r>
        <w:t xml:space="preserve">The appropriate staff recommended service rates are shown on Schedule No. 1. </w:t>
      </w:r>
      <w:r w:rsidR="0096543B">
        <w:t>Crestridge</w:t>
      </w:r>
      <w:r w:rsidR="00863892">
        <w:t xml:space="preserve"> and Lake Yale should file tariff sheets and proposed customer notices to reflect the Commission-approved rates. East Marion’s rates should remain unchanged.</w:t>
      </w:r>
      <w:r w:rsidR="003233A0">
        <w:t xml:space="preserve"> </w:t>
      </w:r>
      <w:r w:rsidR="009829F9">
        <w:t>The utility</w:t>
      </w:r>
      <w:r>
        <w:t xml:space="preserve"> should file tariff sheets and proposed customer notices to reflect</w:t>
      </w:r>
      <w:r w:rsidR="00863892">
        <w:t xml:space="preserve"> the Commission-approved rates. </w:t>
      </w:r>
      <w:r>
        <w:t>The approved rates should be effective for service rendered on or after the stamped approval date on the tariff sheets pursuant to Rule 25-30.475(1), F.A.C. In addition, the rates should not be implemented until staff has approved the proposed customer notices. The utilities should provide proof of the date notice was given no less than 10 days after the date of the notice.</w:t>
      </w:r>
    </w:p>
    <w:p w:rsidR="00FE6659" w:rsidRDefault="00FE6659">
      <w:pPr>
        <w:pStyle w:val="IssueHeading"/>
        <w:rPr>
          <w:vanish/>
          <w:specVanish/>
        </w:rPr>
      </w:pPr>
      <w:r w:rsidRPr="004C3641">
        <w:rPr>
          <w:b w:val="0"/>
          <w:i w:val="0"/>
        </w:rPr>
        <w:br w:type="page"/>
      </w:r>
      <w:r w:rsidRPr="004C3641">
        <w:lastRenderedPageBreak/>
        <w:t xml:space="preserve">Issue </w:t>
      </w:r>
      <w:r w:rsidR="00596A73">
        <w:fldChar w:fldCharType="begin"/>
      </w:r>
      <w:r w:rsidR="00596A73">
        <w:instrText xml:space="preserve"> SEQ Issue \* MERGEFORMAT </w:instrText>
      </w:r>
      <w:r w:rsidR="00596A73">
        <w:fldChar w:fldCharType="separate"/>
      </w:r>
      <w:r w:rsidR="00990BBC">
        <w:rPr>
          <w:noProof/>
        </w:rPr>
        <w:t>3</w:t>
      </w:r>
      <w:r w:rsidR="00596A7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90BBC">
        <w:rPr>
          <w:noProof/>
        </w:rPr>
        <w:instrText>3</w:instrText>
      </w:r>
      <w:r>
        <w:fldChar w:fldCharType="end"/>
      </w:r>
      <w:r>
        <w:tab/>
        <w:instrText xml:space="preserve">Four Year Rate Reduction" \l 1 </w:instrText>
      </w:r>
      <w:r>
        <w:fldChar w:fldCharType="end"/>
      </w:r>
      <w:r>
        <w:t> </w:t>
      </w:r>
    </w:p>
    <w:p w:rsidR="00FE6659" w:rsidRDefault="00FE6659">
      <w:pPr>
        <w:pStyle w:val="BodyText"/>
      </w:pPr>
      <w:r>
        <w:t> </w:t>
      </w:r>
      <w:r w:rsidR="004829CF">
        <w:t>What is the appropriate disposition of the overearnings</w:t>
      </w:r>
      <w:r w:rsidR="00990BBC">
        <w:t>?</w:t>
      </w:r>
    </w:p>
    <w:p w:rsidR="00FE6659" w:rsidRPr="004C3641" w:rsidRDefault="00FE6659">
      <w:pPr>
        <w:pStyle w:val="IssueSubsectionHeading"/>
        <w:rPr>
          <w:vanish/>
          <w:specVanish/>
        </w:rPr>
      </w:pPr>
      <w:r w:rsidRPr="004C3641">
        <w:t>Recommendation: </w:t>
      </w:r>
    </w:p>
    <w:p w:rsidR="00FE6659" w:rsidRDefault="00FE6659">
      <w:pPr>
        <w:pStyle w:val="BodyText"/>
      </w:pPr>
      <w:r>
        <w:t> </w:t>
      </w:r>
      <w:r w:rsidR="00007217">
        <w:t>For Crestridge and Lake Yale, the customers should be provided a refund pursuant to Rule 25-30.360(4), F.A.C</w:t>
      </w:r>
      <w:r w:rsidR="001C53F7">
        <w:t xml:space="preserve">. </w:t>
      </w:r>
      <w:r w:rsidR="00007217">
        <w:t xml:space="preserve">For East Marion, the refund </w:t>
      </w:r>
      <w:r w:rsidR="002146A1">
        <w:t xml:space="preserve">should be recorded </w:t>
      </w:r>
      <w:r w:rsidR="00007217">
        <w:t>as contributions</w:t>
      </w:r>
      <w:r w:rsidR="003233A0">
        <w:t>-</w:t>
      </w:r>
      <w:r w:rsidR="00007217">
        <w:t>in</w:t>
      </w:r>
      <w:r w:rsidR="003233A0">
        <w:t>-</w:t>
      </w:r>
      <w:r w:rsidR="00007217">
        <w:t>aid</w:t>
      </w:r>
      <w:r w:rsidR="003233A0">
        <w:t>-</w:t>
      </w:r>
      <w:r w:rsidR="00007217">
        <w:t>of</w:t>
      </w:r>
      <w:r w:rsidR="003233A0">
        <w:t>-</w:t>
      </w:r>
      <w:r w:rsidR="00007217">
        <w:t>construction</w:t>
      </w:r>
      <w:r w:rsidR="003233A0">
        <w:t xml:space="preserve"> (CIAC)</w:t>
      </w:r>
      <w:r w:rsidR="00992EB2">
        <w:t xml:space="preserve"> pursuant to the agreement with OPC</w:t>
      </w:r>
      <w:r w:rsidR="00007217">
        <w:t xml:space="preserve">. </w:t>
      </w:r>
      <w:r w:rsidR="004F1087">
        <w:t>In determining the appropriate</w:t>
      </w:r>
      <w:r w:rsidR="002146A1">
        <w:t xml:space="preserve"> refu</w:t>
      </w:r>
      <w:r w:rsidR="00931396">
        <w:t>n</w:t>
      </w:r>
      <w:r w:rsidR="002146A1">
        <w:t xml:space="preserve">d, </w:t>
      </w:r>
      <w:r w:rsidR="00931396">
        <w:t xml:space="preserve">for the refund period, </w:t>
      </w:r>
      <w:r w:rsidR="002146A1">
        <w:t xml:space="preserve">the </w:t>
      </w:r>
      <w:r w:rsidR="00931396">
        <w:t xml:space="preserve">revenues calculated using the reduced rates should be </w:t>
      </w:r>
      <w:r w:rsidR="001C53F7">
        <w:t>subtracted</w:t>
      </w:r>
      <w:r w:rsidR="00931396">
        <w:t xml:space="preserve"> from the revenues collected</w:t>
      </w:r>
      <w:r w:rsidR="001C53F7">
        <w:t xml:space="preserve">. </w:t>
      </w:r>
      <w:r w:rsidR="00007217" w:rsidRPr="00931396">
        <w:t>Staff should be given administrative authority to approve the refund amount based on the aforementioned calculation</w:t>
      </w:r>
      <w:r w:rsidR="00455A15">
        <w:t xml:space="preserve"> prior to the commenc</w:t>
      </w:r>
      <w:r w:rsidR="00D06A1B">
        <w:t>ement</w:t>
      </w:r>
      <w:r w:rsidR="00455A15">
        <w:t xml:space="preserve"> of the refund.</w:t>
      </w:r>
      <w:r w:rsidR="001C53F7">
        <w:t xml:space="preserve"> </w:t>
      </w:r>
      <w:r w:rsidR="00007217">
        <w:t>The refunds should be made with interest in accordance with Rule 25-30.360(4) F.A.C. Pursuant to Rule 25-30.360(7), the refund should be made within 90 days of the Commission’s order</w:t>
      </w:r>
      <w:r w:rsidR="001C53F7">
        <w:t xml:space="preserve">. </w:t>
      </w:r>
      <w:r w:rsidR="00007217">
        <w:t>During the process of the refund, monthly reports on the status of the refund should be made by the 20</w:t>
      </w:r>
      <w:r w:rsidR="00007217" w:rsidRPr="00007217">
        <w:t>th</w:t>
      </w:r>
      <w:r w:rsidR="00007217">
        <w:rPr>
          <w:vertAlign w:val="superscript"/>
        </w:rPr>
        <w:t xml:space="preserve"> </w:t>
      </w:r>
      <w:r w:rsidR="00007217">
        <w:t xml:space="preserve">of the following month. </w:t>
      </w:r>
      <w:r w:rsidRPr="00597EFC">
        <w:t>(</w:t>
      </w:r>
      <w:r w:rsidR="00DC1053">
        <w:t xml:space="preserve">Bethea, </w:t>
      </w:r>
      <w:r>
        <w:t>Hudson)</w:t>
      </w:r>
    </w:p>
    <w:p w:rsidR="00FE6659" w:rsidRPr="004C3641" w:rsidRDefault="00FE6659">
      <w:pPr>
        <w:pStyle w:val="IssueSubsectionHeading"/>
        <w:rPr>
          <w:vanish/>
          <w:specVanish/>
        </w:rPr>
      </w:pPr>
      <w:r w:rsidRPr="004C3641">
        <w:t>Staff Analysis: </w:t>
      </w:r>
    </w:p>
    <w:p w:rsidR="00404EB1" w:rsidRDefault="00FE6659" w:rsidP="00832056">
      <w:pPr>
        <w:pStyle w:val="BodyText"/>
      </w:pPr>
      <w:r>
        <w:t> </w:t>
      </w:r>
      <w:r w:rsidR="005444DF">
        <w:t>Pursuant to Rule 25-30.457(8)(c), F.A.C., if staff’s earnings review demonstrates that the utility exceeded the range of its last authorized rate of return on equity, the amount held subject to refund, with interest, shall be disposed of for the benefit of the customers</w:t>
      </w:r>
      <w:r w:rsidR="00992EB2">
        <w:t>.</w:t>
      </w:r>
      <w:r w:rsidR="00863892">
        <w:t xml:space="preserve"> </w:t>
      </w:r>
      <w:r w:rsidR="006E2965">
        <w:t xml:space="preserve">In determining the appropriate refund for East Marion and Lake Yale, for the refund period of July 1, 2023, to the implementation of the reduced rates, the revenues calculated using </w:t>
      </w:r>
      <w:r w:rsidR="001C53F7">
        <w:t>the reduced rates should be sub</w:t>
      </w:r>
      <w:r w:rsidR="006E2965">
        <w:t>tracted from the revenues collected. For Lake Yale, the rates prior to removing the rate case expense should be used to calculate the refund</w:t>
      </w:r>
      <w:r w:rsidR="001C53F7">
        <w:t xml:space="preserve">. </w:t>
      </w:r>
      <w:r w:rsidR="00281F0F">
        <w:t xml:space="preserve">The refund for Crestridge and Lake Yale should be conducted pursuant to Rule 25-30.360, F.A.C. For East Marion, the refund should be recorded as </w:t>
      </w:r>
      <w:r w:rsidR="003233A0">
        <w:t>CIAC</w:t>
      </w:r>
      <w:r w:rsidR="00281F0F">
        <w:t xml:space="preserve"> pursuant to the agreement with OPC</w:t>
      </w:r>
      <w:r w:rsidR="001C53F7">
        <w:t xml:space="preserve">. </w:t>
      </w:r>
    </w:p>
    <w:p w:rsidR="00346756" w:rsidRDefault="00346756" w:rsidP="00346756">
      <w:pPr>
        <w:pStyle w:val="First-LevelSubheading"/>
      </w:pPr>
      <w:r>
        <w:t>Conclusion</w:t>
      </w:r>
    </w:p>
    <w:p w:rsidR="00346756" w:rsidRPr="00404EB1" w:rsidRDefault="00281F0F" w:rsidP="00832056">
      <w:pPr>
        <w:pStyle w:val="BodyText"/>
      </w:pPr>
      <w:r>
        <w:t>Based on the above, f</w:t>
      </w:r>
      <w:r w:rsidR="00346756">
        <w:t>or Crestridge and Lake Yale, the customers should be provided a refund pursuant to Rule 25-30.360(4), F.A.C.</w:t>
      </w:r>
      <w:r>
        <w:t xml:space="preserve"> </w:t>
      </w:r>
      <w:r w:rsidR="00863892">
        <w:t xml:space="preserve">For East Marion, the refund should be recorded as </w:t>
      </w:r>
      <w:r w:rsidR="003233A0">
        <w:t>CIAC</w:t>
      </w:r>
      <w:r w:rsidR="00863892">
        <w:t xml:space="preserve"> pursuant to the agreement with OPC. In determining the appropriate refund, for the refund period, the revenues calculated using the reduced rates from removing the overearnings should be </w:t>
      </w:r>
      <w:r w:rsidR="001C53F7">
        <w:t>subtract</w:t>
      </w:r>
      <w:r w:rsidR="00863892">
        <w:t xml:space="preserve"> from the revenues collected. </w:t>
      </w:r>
      <w:r w:rsidR="00455A15" w:rsidRPr="00931396">
        <w:t>Staff should be given administrative authority to approve the refund amount based on the aforementioned calculation</w:t>
      </w:r>
      <w:r w:rsidR="00455A15">
        <w:t xml:space="preserve"> prior to the commencing of the refund.</w:t>
      </w:r>
      <w:r w:rsidR="001C53F7">
        <w:t xml:space="preserve"> </w:t>
      </w:r>
      <w:r w:rsidR="00863892">
        <w:t>The refunds should be made with interest in accordance with Rule 25-30.360(4) F.A.C. Pursuant to Rule 25-30.360(7), the refund should be made within 90 days of the Commission’s order</w:t>
      </w:r>
      <w:r w:rsidR="001C53F7">
        <w:t xml:space="preserve">. </w:t>
      </w:r>
      <w:r w:rsidR="00863892">
        <w:t>During the process of the refund, monthly reports on the status of the refund should be made by the 20</w:t>
      </w:r>
      <w:r w:rsidR="00863892" w:rsidRPr="00007217">
        <w:t>th</w:t>
      </w:r>
      <w:r w:rsidR="00863892">
        <w:rPr>
          <w:vertAlign w:val="superscript"/>
        </w:rPr>
        <w:t xml:space="preserve"> </w:t>
      </w:r>
      <w:r w:rsidR="00863892">
        <w:t>of the following month.</w:t>
      </w:r>
    </w:p>
    <w:p w:rsidR="00FE6659" w:rsidRDefault="00FE6659">
      <w:pPr>
        <w:pStyle w:val="IssueHeading"/>
        <w:rPr>
          <w:vanish/>
          <w:specVanish/>
        </w:rPr>
      </w:pPr>
      <w:r w:rsidRPr="004C3641">
        <w:rPr>
          <w:b w:val="0"/>
          <w:i w:val="0"/>
        </w:rPr>
        <w:br w:type="page"/>
      </w:r>
      <w:r w:rsidRPr="004C3641">
        <w:lastRenderedPageBreak/>
        <w:t xml:space="preserve">Issue </w:t>
      </w:r>
      <w:r w:rsidR="00596A73">
        <w:fldChar w:fldCharType="begin"/>
      </w:r>
      <w:r w:rsidR="00596A73">
        <w:instrText xml:space="preserve"> SEQ Issue \* MERGEFORMAT </w:instrText>
      </w:r>
      <w:r w:rsidR="00596A73">
        <w:fldChar w:fldCharType="separate"/>
      </w:r>
      <w:r w:rsidR="00990BBC">
        <w:rPr>
          <w:noProof/>
        </w:rPr>
        <w:t>4</w:t>
      </w:r>
      <w:r w:rsidR="00596A7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90BBC">
        <w:rPr>
          <w:noProof/>
        </w:rPr>
        <w:instrText>4</w:instrText>
      </w:r>
      <w:r>
        <w:fldChar w:fldCharType="end"/>
      </w:r>
      <w:r>
        <w:tab/>
        <w:instrText xml:space="preserve">Close Docket" \l 1 </w:instrText>
      </w:r>
      <w:r>
        <w:fldChar w:fldCharType="end"/>
      </w:r>
      <w:r>
        <w:t> </w:t>
      </w:r>
    </w:p>
    <w:p w:rsidR="00FE6659" w:rsidRDefault="00FE6659">
      <w:pPr>
        <w:pStyle w:val="BodyText"/>
      </w:pPr>
      <w:r>
        <w:t> Should this docket be closed?</w:t>
      </w:r>
    </w:p>
    <w:p w:rsidR="00FE6659" w:rsidRPr="004C3641" w:rsidRDefault="00FE6659">
      <w:pPr>
        <w:pStyle w:val="IssueSubsectionHeading"/>
        <w:rPr>
          <w:vanish/>
          <w:specVanish/>
        </w:rPr>
      </w:pPr>
      <w:r w:rsidRPr="004C3641">
        <w:t>Recommendation: </w:t>
      </w:r>
    </w:p>
    <w:p w:rsidR="00FE6659" w:rsidRDefault="00FE6659">
      <w:pPr>
        <w:pStyle w:val="BodyText"/>
      </w:pPr>
      <w:r>
        <w:t> </w:t>
      </w:r>
      <w:r w:rsidR="00F704C5">
        <w:t>No. If no person whose substantial interest are affected by the proposed agency action files a protest within 21 days of the issuance of the order, a consummating order should be issued</w:t>
      </w:r>
      <w:r w:rsidR="001C53F7">
        <w:t xml:space="preserve">. </w:t>
      </w:r>
      <w:r w:rsidR="00F704C5">
        <w:t xml:space="preserve">The docket should remain open for staff’s verification that the refunds have been </w:t>
      </w:r>
      <w:r w:rsidR="0051103A">
        <w:t>completed</w:t>
      </w:r>
      <w:r w:rsidR="00D36368">
        <w:t xml:space="preserve"> and the revised tariff sheets and customer notice filed for approval by staff. Once these actions are complete, this docket should be closed administratively</w:t>
      </w:r>
      <w:r w:rsidR="001C53F7">
        <w:t xml:space="preserve">. </w:t>
      </w:r>
      <w:r>
        <w:t>(Sparks)</w:t>
      </w:r>
    </w:p>
    <w:p w:rsidR="00FE6659" w:rsidRPr="004C3641" w:rsidRDefault="00FE6659">
      <w:pPr>
        <w:pStyle w:val="IssueSubsectionHeading"/>
        <w:rPr>
          <w:vanish/>
          <w:specVanish/>
        </w:rPr>
      </w:pPr>
      <w:r w:rsidRPr="004C3641">
        <w:t>Staff Analysis: </w:t>
      </w:r>
    </w:p>
    <w:p w:rsidR="00026566" w:rsidRDefault="00FE6659">
      <w:pPr>
        <w:pStyle w:val="BodyText"/>
        <w:sectPr w:rsidR="0002656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00D36368">
        <w:t>If no person whose substantial interest are affected by the proposed agency action files a protest within 21 days of the issuance of the order, a consummating order should be issued</w:t>
      </w:r>
      <w:r w:rsidR="001C53F7">
        <w:t xml:space="preserve">. </w:t>
      </w:r>
      <w:r w:rsidR="00D36368">
        <w:t>The docket should remain open for staff’s verification that the refunds have been completed and the revised tariff sheets and customer notice filed for approval by staff. Once these actions are complete, this docket should be closed administratively.</w:t>
      </w:r>
    </w:p>
    <w:p w:rsidR="00FE6659" w:rsidRDefault="00EF7F65">
      <w:pPr>
        <w:pStyle w:val="BodyText"/>
      </w:pPr>
      <w:r w:rsidRPr="00EF7F65">
        <w:rPr>
          <w:noProof/>
        </w:rPr>
        <w:lastRenderedPageBreak/>
        <w:drawing>
          <wp:inline distT="0" distB="0" distL="0" distR="0">
            <wp:extent cx="5943600" cy="40240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24028"/>
                    </a:xfrm>
                    <a:prstGeom prst="rect">
                      <a:avLst/>
                    </a:prstGeom>
                    <a:noFill/>
                    <a:ln>
                      <a:noFill/>
                    </a:ln>
                  </pic:spPr>
                </pic:pic>
              </a:graphicData>
            </a:graphic>
          </wp:inline>
        </w:drawing>
      </w:r>
    </w:p>
    <w:p w:rsidR="003B2AF4" w:rsidRDefault="003B2AF4" w:rsidP="00E275D8">
      <w:pPr>
        <w:pStyle w:val="BodyText"/>
      </w:pPr>
      <w:r>
        <w:br w:type="page"/>
      </w:r>
    </w:p>
    <w:p w:rsidR="00CB424E" w:rsidRDefault="00026566" w:rsidP="00E275D8">
      <w:pPr>
        <w:pStyle w:val="BodyText"/>
      </w:pPr>
      <w:r w:rsidRPr="00026566">
        <w:rPr>
          <w:noProof/>
        </w:rPr>
        <w:lastRenderedPageBreak/>
        <w:drawing>
          <wp:inline distT="0" distB="0" distL="0" distR="0">
            <wp:extent cx="5943600" cy="386305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863052"/>
                    </a:xfrm>
                    <a:prstGeom prst="rect">
                      <a:avLst/>
                    </a:prstGeom>
                    <a:noFill/>
                    <a:ln>
                      <a:noFill/>
                    </a:ln>
                  </pic:spPr>
                </pic:pic>
              </a:graphicData>
            </a:graphic>
          </wp:inline>
        </w:drawing>
      </w:r>
    </w:p>
    <w:sectPr w:rsidR="00CB424E"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3A0" w:rsidRDefault="003233A0">
      <w:r>
        <w:separator/>
      </w:r>
    </w:p>
  </w:endnote>
  <w:endnote w:type="continuationSeparator" w:id="0">
    <w:p w:rsidR="003233A0" w:rsidRDefault="0032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A0" w:rsidRDefault="003233A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B2BB7">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A0" w:rsidRDefault="00323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3A0" w:rsidRDefault="003233A0">
      <w:r>
        <w:separator/>
      </w:r>
    </w:p>
  </w:footnote>
  <w:footnote w:type="continuationSeparator" w:id="0">
    <w:p w:rsidR="003233A0" w:rsidRDefault="003233A0">
      <w:r>
        <w:continuationSeparator/>
      </w:r>
    </w:p>
  </w:footnote>
  <w:footnote w:id="1">
    <w:p w:rsidR="00CD7F26" w:rsidRDefault="00CD7F26">
      <w:pPr>
        <w:pStyle w:val="FootnoteText"/>
      </w:pPr>
      <w:r>
        <w:rPr>
          <w:rStyle w:val="FootnoteReference"/>
        </w:rPr>
        <w:footnoteRef/>
      </w:r>
      <w:r>
        <w:t xml:space="preserve"> Document No. 09361-2024, filed on October 4, 2024</w:t>
      </w:r>
      <w:r w:rsidR="00A25F59">
        <w:t>.</w:t>
      </w:r>
    </w:p>
  </w:footnote>
  <w:footnote w:id="2">
    <w:p w:rsidR="003233A0" w:rsidRDefault="003233A0">
      <w:pPr>
        <w:pStyle w:val="FootnoteText"/>
      </w:pPr>
      <w:r>
        <w:rPr>
          <w:rStyle w:val="FootnoteReference"/>
        </w:rPr>
        <w:footnoteRef/>
      </w:r>
      <w:r>
        <w:t xml:space="preserve"> Document No. 02721-2025, filed on April 9, 2025.</w:t>
      </w:r>
    </w:p>
  </w:footnote>
  <w:footnote w:id="3">
    <w:p w:rsidR="003233A0" w:rsidRDefault="003233A0" w:rsidP="00430B01">
      <w:pPr>
        <w:pStyle w:val="FootnoteText"/>
      </w:pPr>
      <w:r>
        <w:rPr>
          <w:rStyle w:val="FootnoteReference"/>
        </w:rPr>
        <w:footnoteRef/>
      </w:r>
      <w:r>
        <w:t xml:space="preserve">Document No. 10075-2024, filed December 2, 2024. </w:t>
      </w:r>
    </w:p>
  </w:footnote>
  <w:footnote w:id="4">
    <w:p w:rsidR="003233A0" w:rsidRDefault="003233A0" w:rsidP="00430B01">
      <w:pPr>
        <w:pStyle w:val="FootnoteText"/>
      </w:pPr>
      <w:r>
        <w:rPr>
          <w:rStyle w:val="FootnoteReference"/>
        </w:rPr>
        <w:footnoteRef/>
      </w:r>
      <w:r>
        <w:t xml:space="preserve">Document No. 01340-2025, filed March 5, 2025. </w:t>
      </w:r>
    </w:p>
  </w:footnote>
  <w:footnote w:id="5">
    <w:p w:rsidR="003233A0" w:rsidRDefault="003233A0" w:rsidP="00430B01">
      <w:pPr>
        <w:pStyle w:val="FootnoteText"/>
      </w:pPr>
      <w:r>
        <w:rPr>
          <w:rStyle w:val="FootnoteReference"/>
        </w:rPr>
        <w:footnoteRef/>
      </w:r>
      <w:r>
        <w:t xml:space="preserve">**Denotes system that is overearning. </w:t>
      </w:r>
    </w:p>
  </w:footnote>
  <w:footnote w:id="6">
    <w:p w:rsidR="003233A0" w:rsidRDefault="003233A0" w:rsidP="00430B01">
      <w:pPr>
        <w:pStyle w:val="FootnoteText"/>
      </w:pPr>
      <w:r>
        <w:rPr>
          <w:rStyle w:val="FootnoteReference"/>
        </w:rPr>
        <w:footnoteRef/>
      </w:r>
      <w:r>
        <w:t xml:space="preserve">Order No. PSC-2017-0042-PAA-WU, issued February 1, 2017, in Docket No. 20140175-WU; </w:t>
      </w:r>
      <w:r w:rsidRPr="00D0526A">
        <w:rPr>
          <w:i/>
        </w:rPr>
        <w:t>In re: Application for staff-assisted rate case in Pasco County by Crestridge Utilities, LLC</w:t>
      </w:r>
      <w:r>
        <w:t xml:space="preserve">. </w:t>
      </w:r>
    </w:p>
  </w:footnote>
  <w:footnote w:id="7">
    <w:p w:rsidR="003233A0" w:rsidRDefault="003233A0" w:rsidP="00430B01">
      <w:pPr>
        <w:pStyle w:val="FootnoteText"/>
      </w:pPr>
      <w:r>
        <w:rPr>
          <w:rStyle w:val="FootnoteReference"/>
        </w:rPr>
        <w:footnoteRef/>
      </w:r>
      <w:r>
        <w:t xml:space="preserve">Order No. PSC-2017-0107-PAA-WS, issued March 24, 2017, in Docket No. 20150257-WS; </w:t>
      </w:r>
      <w:r w:rsidRPr="00D0526A">
        <w:rPr>
          <w:i/>
        </w:rPr>
        <w:t>In re: Application for staff-assisted rate case in Marion County, by East Marion Utilities, LLC</w:t>
      </w:r>
      <w:r>
        <w:t xml:space="preserve">. </w:t>
      </w:r>
    </w:p>
  </w:footnote>
  <w:footnote w:id="8">
    <w:p w:rsidR="003233A0" w:rsidRDefault="003233A0" w:rsidP="00430B01">
      <w:pPr>
        <w:pStyle w:val="FootnoteText"/>
      </w:pPr>
      <w:r>
        <w:rPr>
          <w:rStyle w:val="FootnoteReference"/>
        </w:rPr>
        <w:footnoteRef/>
      </w:r>
      <w:r>
        <w:t>Order No. PSC-2021-0106-PAA-WS, issued March 17, 2021, in Docket No. 20200169-WS;</w:t>
      </w:r>
      <w:r w:rsidRPr="00D0526A">
        <w:rPr>
          <w:i/>
        </w:rPr>
        <w:t xml:space="preserve"> In re: Application for staff-assisted rate case in Lake County, and request for interim rate increased, by Lake Yale Utilities, LLC</w:t>
      </w:r>
      <w:r>
        <w:t xml:space="preserve">. </w:t>
      </w:r>
    </w:p>
  </w:footnote>
  <w:footnote w:id="9">
    <w:p w:rsidR="003233A0" w:rsidRDefault="003233A0">
      <w:pPr>
        <w:pStyle w:val="FootnoteText"/>
      </w:pPr>
      <w:r>
        <w:rPr>
          <w:rStyle w:val="FootnoteReference"/>
        </w:rPr>
        <w:footnoteRef/>
      </w:r>
      <w:r>
        <w:t xml:space="preserve"> Id. page </w:t>
      </w:r>
      <w:r w:rsidR="006B57F7">
        <w:t>43</w:t>
      </w:r>
    </w:p>
  </w:footnote>
  <w:footnote w:id="10">
    <w:p w:rsidR="003233A0" w:rsidRDefault="003233A0">
      <w:pPr>
        <w:pStyle w:val="FootnoteText"/>
      </w:pPr>
      <w:r>
        <w:rPr>
          <w:rStyle w:val="FootnoteReference"/>
        </w:rPr>
        <w:footnoteRef/>
      </w:r>
      <w:r>
        <w:t xml:space="preserve"> Document No. 00422-2025, filed January 24,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A0" w:rsidRDefault="003233A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20220185-WS</w:t>
    </w:r>
    <w:bookmarkEnd w:id="15"/>
  </w:p>
  <w:p w:rsidR="003233A0" w:rsidRDefault="003233A0">
    <w:pPr>
      <w:pStyle w:val="Header"/>
    </w:pPr>
    <w:r>
      <w:t xml:space="preserve">Date: </w:t>
    </w:r>
    <w:r w:rsidR="00596A73">
      <w:fldChar w:fldCharType="begin"/>
    </w:r>
    <w:r w:rsidR="00596A73">
      <w:instrText xml:space="preserve"> REF FilingDate </w:instrText>
    </w:r>
    <w:r w:rsidR="00596A73">
      <w:fldChar w:fldCharType="separate"/>
    </w:r>
    <w:r>
      <w:t>April 24, 2025</w:t>
    </w:r>
    <w:r w:rsidR="00596A7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A0" w:rsidRDefault="003233A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 xml:space="preserve">Issue </w:t>
    </w:r>
    <w:r w:rsidR="00596A73">
      <w:fldChar w:fldCharType="begin"/>
    </w:r>
    <w:r w:rsidR="00596A73">
      <w:instrText xml:space="preserve"> Seq Issue \c \* Arabic </w:instrText>
    </w:r>
    <w:r w:rsidR="00596A73">
      <w:fldChar w:fldCharType="separate"/>
    </w:r>
    <w:r w:rsidR="00AB2BB7">
      <w:rPr>
        <w:noProof/>
      </w:rPr>
      <w:t>1</w:t>
    </w:r>
    <w:r w:rsidR="00596A73">
      <w:rPr>
        <w:noProof/>
      </w:rPr>
      <w:fldChar w:fldCharType="end"/>
    </w:r>
  </w:p>
  <w:p w:rsidR="003233A0" w:rsidRDefault="003233A0">
    <w:pPr>
      <w:pStyle w:val="Header"/>
    </w:pPr>
    <w:r>
      <w:t xml:space="preserve">Date: </w:t>
    </w:r>
    <w:r w:rsidR="00596A73">
      <w:fldChar w:fldCharType="begin"/>
    </w:r>
    <w:r w:rsidR="00596A73">
      <w:instrText xml:space="preserve"> REF FilingDate </w:instrText>
    </w:r>
    <w:r w:rsidR="00596A73">
      <w:fldChar w:fldCharType="separate"/>
    </w:r>
    <w:r>
      <w:t>April 24, 2025</w:t>
    </w:r>
    <w:r w:rsidR="00596A7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3A0" w:rsidRDefault="003233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566" w:rsidRDefault="00026566" w:rsidP="00026566">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20220185-WS</w:t>
    </w:r>
    <w:r>
      <w:fldChar w:fldCharType="end"/>
    </w:r>
    <w:r>
      <w:tab/>
      <w:t>Schedule No. 1</w:t>
    </w:r>
  </w:p>
  <w:p w:rsidR="00026566" w:rsidRDefault="00026566">
    <w:pPr>
      <w:pStyle w:val="Header"/>
    </w:pPr>
    <w:r>
      <w:t xml:space="preserve">Date: </w:t>
    </w:r>
    <w:r w:rsidR="00596A73">
      <w:fldChar w:fldCharType="begin"/>
    </w:r>
    <w:r w:rsidR="00596A73">
      <w:instrText xml:space="preserve"> REF FilingDate </w:instrText>
    </w:r>
    <w:r w:rsidR="00596A73">
      <w:fldChar w:fldCharType="separate"/>
    </w:r>
    <w:r>
      <w:t>April 24, 2025</w:t>
    </w:r>
    <w:r w:rsidR="00596A7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6CCC"/>
    <w:rsid w:val="000043D5"/>
    <w:rsid w:val="00006170"/>
    <w:rsid w:val="00007217"/>
    <w:rsid w:val="00010E37"/>
    <w:rsid w:val="000172DA"/>
    <w:rsid w:val="00022337"/>
    <w:rsid w:val="00023A0E"/>
    <w:rsid w:val="000247C5"/>
    <w:rsid w:val="00026566"/>
    <w:rsid w:val="000277C2"/>
    <w:rsid w:val="00035B48"/>
    <w:rsid w:val="00036135"/>
    <w:rsid w:val="000367B2"/>
    <w:rsid w:val="00036CE2"/>
    <w:rsid w:val="000437FE"/>
    <w:rsid w:val="00044808"/>
    <w:rsid w:val="000513BE"/>
    <w:rsid w:val="00051573"/>
    <w:rsid w:val="0005451B"/>
    <w:rsid w:val="00065A06"/>
    <w:rsid w:val="000666F3"/>
    <w:rsid w:val="00070DCB"/>
    <w:rsid w:val="00072CCA"/>
    <w:rsid w:val="00073120"/>
    <w:rsid w:val="000747DF"/>
    <w:rsid w:val="000764D0"/>
    <w:rsid w:val="000828D3"/>
    <w:rsid w:val="000A2B57"/>
    <w:rsid w:val="000A418B"/>
    <w:rsid w:val="000B0ACE"/>
    <w:rsid w:val="000C169A"/>
    <w:rsid w:val="000C4431"/>
    <w:rsid w:val="000C6607"/>
    <w:rsid w:val="000D1C06"/>
    <w:rsid w:val="000D3043"/>
    <w:rsid w:val="000D3427"/>
    <w:rsid w:val="000D4319"/>
    <w:rsid w:val="000D6937"/>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4FD"/>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30B9"/>
    <w:rsid w:val="001A7406"/>
    <w:rsid w:val="001A7AE4"/>
    <w:rsid w:val="001B1EDC"/>
    <w:rsid w:val="001B4053"/>
    <w:rsid w:val="001B4FEE"/>
    <w:rsid w:val="001B51C5"/>
    <w:rsid w:val="001B55E2"/>
    <w:rsid w:val="001B672A"/>
    <w:rsid w:val="001B6F3F"/>
    <w:rsid w:val="001C52B5"/>
    <w:rsid w:val="001C53F7"/>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46A1"/>
    <w:rsid w:val="002163B6"/>
    <w:rsid w:val="00217215"/>
    <w:rsid w:val="00220732"/>
    <w:rsid w:val="0022121F"/>
    <w:rsid w:val="00221D32"/>
    <w:rsid w:val="00222AC1"/>
    <w:rsid w:val="00225C3F"/>
    <w:rsid w:val="00263D44"/>
    <w:rsid w:val="002702AD"/>
    <w:rsid w:val="00281EB4"/>
    <w:rsid w:val="00281F0F"/>
    <w:rsid w:val="00286708"/>
    <w:rsid w:val="00292D82"/>
    <w:rsid w:val="00293EE7"/>
    <w:rsid w:val="002963CB"/>
    <w:rsid w:val="002B2DAC"/>
    <w:rsid w:val="002B4A01"/>
    <w:rsid w:val="002C291B"/>
    <w:rsid w:val="002C746A"/>
    <w:rsid w:val="002C7E4E"/>
    <w:rsid w:val="002D226D"/>
    <w:rsid w:val="002D74E3"/>
    <w:rsid w:val="002E1A61"/>
    <w:rsid w:val="002F6030"/>
    <w:rsid w:val="003001AC"/>
    <w:rsid w:val="003037E1"/>
    <w:rsid w:val="00307E51"/>
    <w:rsid w:val="003103EC"/>
    <w:rsid w:val="00312132"/>
    <w:rsid w:val="00312563"/>
    <w:rsid w:val="003130BA"/>
    <w:rsid w:val="003144EF"/>
    <w:rsid w:val="0031480E"/>
    <w:rsid w:val="00316877"/>
    <w:rsid w:val="00322F74"/>
    <w:rsid w:val="003233A0"/>
    <w:rsid w:val="00325E15"/>
    <w:rsid w:val="00340073"/>
    <w:rsid w:val="00340439"/>
    <w:rsid w:val="003411D8"/>
    <w:rsid w:val="003445B0"/>
    <w:rsid w:val="00346756"/>
    <w:rsid w:val="00353B66"/>
    <w:rsid w:val="00355934"/>
    <w:rsid w:val="00357928"/>
    <w:rsid w:val="0036307A"/>
    <w:rsid w:val="003632FD"/>
    <w:rsid w:val="00370F78"/>
    <w:rsid w:val="00372805"/>
    <w:rsid w:val="00373180"/>
    <w:rsid w:val="00375AB9"/>
    <w:rsid w:val="0037691E"/>
    <w:rsid w:val="003821A0"/>
    <w:rsid w:val="00385B04"/>
    <w:rsid w:val="003864CF"/>
    <w:rsid w:val="00386CCC"/>
    <w:rsid w:val="003948AE"/>
    <w:rsid w:val="003A08C0"/>
    <w:rsid w:val="003A22A6"/>
    <w:rsid w:val="003A32EB"/>
    <w:rsid w:val="003A5494"/>
    <w:rsid w:val="003B2510"/>
    <w:rsid w:val="003B2AF4"/>
    <w:rsid w:val="003B4355"/>
    <w:rsid w:val="003C2CC4"/>
    <w:rsid w:val="003C3710"/>
    <w:rsid w:val="003C42A3"/>
    <w:rsid w:val="003C48F7"/>
    <w:rsid w:val="003E0463"/>
    <w:rsid w:val="003E0EFC"/>
    <w:rsid w:val="003E297C"/>
    <w:rsid w:val="003E4A2B"/>
    <w:rsid w:val="003E6FE9"/>
    <w:rsid w:val="003E76C2"/>
    <w:rsid w:val="003F1367"/>
    <w:rsid w:val="003F1679"/>
    <w:rsid w:val="003F21EB"/>
    <w:rsid w:val="003F4A35"/>
    <w:rsid w:val="003F5F03"/>
    <w:rsid w:val="003F7FDD"/>
    <w:rsid w:val="00402101"/>
    <w:rsid w:val="00402481"/>
    <w:rsid w:val="004042B4"/>
    <w:rsid w:val="00404EB1"/>
    <w:rsid w:val="00410DC4"/>
    <w:rsid w:val="00412DAE"/>
    <w:rsid w:val="0041302D"/>
    <w:rsid w:val="004242E6"/>
    <w:rsid w:val="00427B35"/>
    <w:rsid w:val="00430B01"/>
    <w:rsid w:val="00430BBC"/>
    <w:rsid w:val="00431598"/>
    <w:rsid w:val="004319AD"/>
    <w:rsid w:val="00441178"/>
    <w:rsid w:val="004426B8"/>
    <w:rsid w:val="00444432"/>
    <w:rsid w:val="00445842"/>
    <w:rsid w:val="00447D5C"/>
    <w:rsid w:val="00450202"/>
    <w:rsid w:val="004502B2"/>
    <w:rsid w:val="00455499"/>
    <w:rsid w:val="00455A15"/>
    <w:rsid w:val="004649A7"/>
    <w:rsid w:val="00471860"/>
    <w:rsid w:val="00477026"/>
    <w:rsid w:val="00477730"/>
    <w:rsid w:val="004829CF"/>
    <w:rsid w:val="00492C73"/>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36CF"/>
    <w:rsid w:val="004E4985"/>
    <w:rsid w:val="004E5147"/>
    <w:rsid w:val="004E69B5"/>
    <w:rsid w:val="004F1087"/>
    <w:rsid w:val="004F50D1"/>
    <w:rsid w:val="004F5C43"/>
    <w:rsid w:val="005050A2"/>
    <w:rsid w:val="00506030"/>
    <w:rsid w:val="0050652D"/>
    <w:rsid w:val="00506C03"/>
    <w:rsid w:val="0051103A"/>
    <w:rsid w:val="00511A11"/>
    <w:rsid w:val="00516496"/>
    <w:rsid w:val="00522E7D"/>
    <w:rsid w:val="00523B11"/>
    <w:rsid w:val="0052455B"/>
    <w:rsid w:val="0052572A"/>
    <w:rsid w:val="00532DFB"/>
    <w:rsid w:val="00543CB3"/>
    <w:rsid w:val="005442E4"/>
    <w:rsid w:val="005444DF"/>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97EFC"/>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E190C"/>
    <w:rsid w:val="005F468D"/>
    <w:rsid w:val="005F69A3"/>
    <w:rsid w:val="00604CC7"/>
    <w:rsid w:val="00613441"/>
    <w:rsid w:val="00615423"/>
    <w:rsid w:val="006165B2"/>
    <w:rsid w:val="00617276"/>
    <w:rsid w:val="00623A46"/>
    <w:rsid w:val="0062527B"/>
    <w:rsid w:val="00625D97"/>
    <w:rsid w:val="00625F1C"/>
    <w:rsid w:val="0062658E"/>
    <w:rsid w:val="006279E1"/>
    <w:rsid w:val="00630CEB"/>
    <w:rsid w:val="00632264"/>
    <w:rsid w:val="006355F2"/>
    <w:rsid w:val="00640B88"/>
    <w:rsid w:val="006470BC"/>
    <w:rsid w:val="006554D3"/>
    <w:rsid w:val="006603F4"/>
    <w:rsid w:val="006607B7"/>
    <w:rsid w:val="00661708"/>
    <w:rsid w:val="00666522"/>
    <w:rsid w:val="00667036"/>
    <w:rsid w:val="00667B89"/>
    <w:rsid w:val="00673BDB"/>
    <w:rsid w:val="00674341"/>
    <w:rsid w:val="006771B8"/>
    <w:rsid w:val="00682631"/>
    <w:rsid w:val="00683A89"/>
    <w:rsid w:val="006843B6"/>
    <w:rsid w:val="0068481F"/>
    <w:rsid w:val="00687E37"/>
    <w:rsid w:val="00693EA1"/>
    <w:rsid w:val="0069636F"/>
    <w:rsid w:val="00696F5D"/>
    <w:rsid w:val="00697249"/>
    <w:rsid w:val="006A06F3"/>
    <w:rsid w:val="006A1A67"/>
    <w:rsid w:val="006A1F57"/>
    <w:rsid w:val="006B09C4"/>
    <w:rsid w:val="006B3947"/>
    <w:rsid w:val="006B4293"/>
    <w:rsid w:val="006B57F7"/>
    <w:rsid w:val="006B624F"/>
    <w:rsid w:val="006C0C95"/>
    <w:rsid w:val="006C0F0F"/>
    <w:rsid w:val="006C31E3"/>
    <w:rsid w:val="006D18D3"/>
    <w:rsid w:val="006D1EE9"/>
    <w:rsid w:val="006D3BD1"/>
    <w:rsid w:val="006E010E"/>
    <w:rsid w:val="006E08CB"/>
    <w:rsid w:val="006E2965"/>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272D"/>
    <w:rsid w:val="00780C09"/>
    <w:rsid w:val="00780DDF"/>
    <w:rsid w:val="007834E9"/>
    <w:rsid w:val="00787DBC"/>
    <w:rsid w:val="0079019A"/>
    <w:rsid w:val="00792935"/>
    <w:rsid w:val="007A04A1"/>
    <w:rsid w:val="007A1840"/>
    <w:rsid w:val="007B2AB8"/>
    <w:rsid w:val="007B730C"/>
    <w:rsid w:val="007C0528"/>
    <w:rsid w:val="007C08EA"/>
    <w:rsid w:val="007C3D38"/>
    <w:rsid w:val="007D0F35"/>
    <w:rsid w:val="007D1783"/>
    <w:rsid w:val="007D4546"/>
    <w:rsid w:val="007D4FEB"/>
    <w:rsid w:val="007D6146"/>
    <w:rsid w:val="007D7350"/>
    <w:rsid w:val="007E0CE7"/>
    <w:rsid w:val="007E623C"/>
    <w:rsid w:val="007F1193"/>
    <w:rsid w:val="007F417F"/>
    <w:rsid w:val="007F7644"/>
    <w:rsid w:val="008042BD"/>
    <w:rsid w:val="00804E17"/>
    <w:rsid w:val="008050B3"/>
    <w:rsid w:val="00816624"/>
    <w:rsid w:val="00822427"/>
    <w:rsid w:val="00822562"/>
    <w:rsid w:val="00823663"/>
    <w:rsid w:val="00823664"/>
    <w:rsid w:val="008305B7"/>
    <w:rsid w:val="00832056"/>
    <w:rsid w:val="00832DDC"/>
    <w:rsid w:val="008426B0"/>
    <w:rsid w:val="008431BB"/>
    <w:rsid w:val="00845E34"/>
    <w:rsid w:val="00850BAC"/>
    <w:rsid w:val="00854A3E"/>
    <w:rsid w:val="00855D08"/>
    <w:rsid w:val="008618A4"/>
    <w:rsid w:val="00863892"/>
    <w:rsid w:val="00871E18"/>
    <w:rsid w:val="008731AB"/>
    <w:rsid w:val="00874344"/>
    <w:rsid w:val="0087505D"/>
    <w:rsid w:val="00877703"/>
    <w:rsid w:val="00881363"/>
    <w:rsid w:val="00882155"/>
    <w:rsid w:val="0088233B"/>
    <w:rsid w:val="0088599E"/>
    <w:rsid w:val="00886C37"/>
    <w:rsid w:val="008915FC"/>
    <w:rsid w:val="00892D99"/>
    <w:rsid w:val="00893315"/>
    <w:rsid w:val="00894C09"/>
    <w:rsid w:val="008A38AA"/>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36C"/>
    <w:rsid w:val="009076C6"/>
    <w:rsid w:val="0091019E"/>
    <w:rsid w:val="009106F1"/>
    <w:rsid w:val="00912404"/>
    <w:rsid w:val="009145D6"/>
    <w:rsid w:val="00915541"/>
    <w:rsid w:val="00917E09"/>
    <w:rsid w:val="00920E64"/>
    <w:rsid w:val="00922002"/>
    <w:rsid w:val="009225CB"/>
    <w:rsid w:val="00924020"/>
    <w:rsid w:val="00924BF4"/>
    <w:rsid w:val="009271A7"/>
    <w:rsid w:val="0092762F"/>
    <w:rsid w:val="00931396"/>
    <w:rsid w:val="0093658B"/>
    <w:rsid w:val="009429FF"/>
    <w:rsid w:val="009444D1"/>
    <w:rsid w:val="00945BD6"/>
    <w:rsid w:val="009479FB"/>
    <w:rsid w:val="00951C45"/>
    <w:rsid w:val="00951DD8"/>
    <w:rsid w:val="0096543B"/>
    <w:rsid w:val="009656F2"/>
    <w:rsid w:val="00966A08"/>
    <w:rsid w:val="009701B7"/>
    <w:rsid w:val="00971207"/>
    <w:rsid w:val="00975CB4"/>
    <w:rsid w:val="009829F9"/>
    <w:rsid w:val="009863B0"/>
    <w:rsid w:val="00987DE1"/>
    <w:rsid w:val="00990571"/>
    <w:rsid w:val="00990BBC"/>
    <w:rsid w:val="00991905"/>
    <w:rsid w:val="009926B2"/>
    <w:rsid w:val="00992EB2"/>
    <w:rsid w:val="00993E7D"/>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9F764C"/>
    <w:rsid w:val="00A017EE"/>
    <w:rsid w:val="00A019B9"/>
    <w:rsid w:val="00A03157"/>
    <w:rsid w:val="00A11756"/>
    <w:rsid w:val="00A12497"/>
    <w:rsid w:val="00A12508"/>
    <w:rsid w:val="00A1282B"/>
    <w:rsid w:val="00A13A27"/>
    <w:rsid w:val="00A15B7C"/>
    <w:rsid w:val="00A175B6"/>
    <w:rsid w:val="00A21835"/>
    <w:rsid w:val="00A2374B"/>
    <w:rsid w:val="00A23AAB"/>
    <w:rsid w:val="00A25F59"/>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97FFA"/>
    <w:rsid w:val="00AA2765"/>
    <w:rsid w:val="00AA77B5"/>
    <w:rsid w:val="00AB2BB7"/>
    <w:rsid w:val="00AB6C5D"/>
    <w:rsid w:val="00AC3401"/>
    <w:rsid w:val="00AC51A7"/>
    <w:rsid w:val="00AC603B"/>
    <w:rsid w:val="00AD0E89"/>
    <w:rsid w:val="00AD444B"/>
    <w:rsid w:val="00AD5614"/>
    <w:rsid w:val="00AD6C78"/>
    <w:rsid w:val="00AE03F0"/>
    <w:rsid w:val="00AE21EB"/>
    <w:rsid w:val="00AE2EAB"/>
    <w:rsid w:val="00AE3C48"/>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0F31"/>
    <w:rsid w:val="00B3109A"/>
    <w:rsid w:val="00B32D37"/>
    <w:rsid w:val="00B41AA8"/>
    <w:rsid w:val="00B42B45"/>
    <w:rsid w:val="00B44B93"/>
    <w:rsid w:val="00B516ED"/>
    <w:rsid w:val="00B565DA"/>
    <w:rsid w:val="00B57A6A"/>
    <w:rsid w:val="00B62D0D"/>
    <w:rsid w:val="00B760F1"/>
    <w:rsid w:val="00B7669E"/>
    <w:rsid w:val="00B76EBB"/>
    <w:rsid w:val="00B77DA1"/>
    <w:rsid w:val="00B822A0"/>
    <w:rsid w:val="00B82F85"/>
    <w:rsid w:val="00B858AE"/>
    <w:rsid w:val="00B85964"/>
    <w:rsid w:val="00B96250"/>
    <w:rsid w:val="00B9659C"/>
    <w:rsid w:val="00BA0D55"/>
    <w:rsid w:val="00BA2111"/>
    <w:rsid w:val="00BA37B3"/>
    <w:rsid w:val="00BA4CC6"/>
    <w:rsid w:val="00BA7F46"/>
    <w:rsid w:val="00BB0F1D"/>
    <w:rsid w:val="00BB3493"/>
    <w:rsid w:val="00BB6E4C"/>
    <w:rsid w:val="00BB7468"/>
    <w:rsid w:val="00BC0514"/>
    <w:rsid w:val="00BC188A"/>
    <w:rsid w:val="00BC402E"/>
    <w:rsid w:val="00BC6221"/>
    <w:rsid w:val="00BC70C6"/>
    <w:rsid w:val="00BD0F48"/>
    <w:rsid w:val="00BD14E5"/>
    <w:rsid w:val="00BD2770"/>
    <w:rsid w:val="00BE0E50"/>
    <w:rsid w:val="00BE6DDB"/>
    <w:rsid w:val="00BF03E0"/>
    <w:rsid w:val="00BF5010"/>
    <w:rsid w:val="00C03009"/>
    <w:rsid w:val="00C03D5F"/>
    <w:rsid w:val="00C13791"/>
    <w:rsid w:val="00C210BD"/>
    <w:rsid w:val="00C2575A"/>
    <w:rsid w:val="00C31BB3"/>
    <w:rsid w:val="00C33E66"/>
    <w:rsid w:val="00C36977"/>
    <w:rsid w:val="00C46628"/>
    <w:rsid w:val="00C467DA"/>
    <w:rsid w:val="00C477D9"/>
    <w:rsid w:val="00C57869"/>
    <w:rsid w:val="00C60BA3"/>
    <w:rsid w:val="00C623F7"/>
    <w:rsid w:val="00C62A81"/>
    <w:rsid w:val="00C67CD7"/>
    <w:rsid w:val="00C71E00"/>
    <w:rsid w:val="00C75BC5"/>
    <w:rsid w:val="00C801F1"/>
    <w:rsid w:val="00C81670"/>
    <w:rsid w:val="00C81773"/>
    <w:rsid w:val="00C82861"/>
    <w:rsid w:val="00C86896"/>
    <w:rsid w:val="00C907A8"/>
    <w:rsid w:val="00C91485"/>
    <w:rsid w:val="00C91670"/>
    <w:rsid w:val="00C93211"/>
    <w:rsid w:val="00C93DB8"/>
    <w:rsid w:val="00C942EC"/>
    <w:rsid w:val="00C96047"/>
    <w:rsid w:val="00C979D0"/>
    <w:rsid w:val="00CA0818"/>
    <w:rsid w:val="00CA15C8"/>
    <w:rsid w:val="00CA2C8F"/>
    <w:rsid w:val="00CA30DA"/>
    <w:rsid w:val="00CA3A24"/>
    <w:rsid w:val="00CB1777"/>
    <w:rsid w:val="00CB33E9"/>
    <w:rsid w:val="00CB424E"/>
    <w:rsid w:val="00CC10A9"/>
    <w:rsid w:val="00CD0655"/>
    <w:rsid w:val="00CD7F26"/>
    <w:rsid w:val="00CE2BF8"/>
    <w:rsid w:val="00CE484E"/>
    <w:rsid w:val="00CE4D20"/>
    <w:rsid w:val="00CE656F"/>
    <w:rsid w:val="00CF0DA8"/>
    <w:rsid w:val="00CF2B2D"/>
    <w:rsid w:val="00CF2E25"/>
    <w:rsid w:val="00CF4453"/>
    <w:rsid w:val="00CF5589"/>
    <w:rsid w:val="00CF5D94"/>
    <w:rsid w:val="00CF7E0F"/>
    <w:rsid w:val="00D00893"/>
    <w:rsid w:val="00D034D7"/>
    <w:rsid w:val="00D04BE4"/>
    <w:rsid w:val="00D06A1B"/>
    <w:rsid w:val="00D06FC7"/>
    <w:rsid w:val="00D10E94"/>
    <w:rsid w:val="00D12565"/>
    <w:rsid w:val="00D140C1"/>
    <w:rsid w:val="00D14127"/>
    <w:rsid w:val="00D21E40"/>
    <w:rsid w:val="00D34189"/>
    <w:rsid w:val="00D36368"/>
    <w:rsid w:val="00D378CA"/>
    <w:rsid w:val="00D4759C"/>
    <w:rsid w:val="00D479AE"/>
    <w:rsid w:val="00D50FCD"/>
    <w:rsid w:val="00D533E3"/>
    <w:rsid w:val="00D60B16"/>
    <w:rsid w:val="00D60F02"/>
    <w:rsid w:val="00D66E49"/>
    <w:rsid w:val="00D70D71"/>
    <w:rsid w:val="00D72F74"/>
    <w:rsid w:val="00D81563"/>
    <w:rsid w:val="00D837C1"/>
    <w:rsid w:val="00D85907"/>
    <w:rsid w:val="00D860AC"/>
    <w:rsid w:val="00D904D7"/>
    <w:rsid w:val="00D9073E"/>
    <w:rsid w:val="00D9221D"/>
    <w:rsid w:val="00D9253C"/>
    <w:rsid w:val="00D952B8"/>
    <w:rsid w:val="00D958DF"/>
    <w:rsid w:val="00D96DA1"/>
    <w:rsid w:val="00DA51E7"/>
    <w:rsid w:val="00DB0260"/>
    <w:rsid w:val="00DB1C78"/>
    <w:rsid w:val="00DB46D5"/>
    <w:rsid w:val="00DB7D96"/>
    <w:rsid w:val="00DC1053"/>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0680"/>
    <w:rsid w:val="00E45A66"/>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45CE"/>
    <w:rsid w:val="00EC3FBB"/>
    <w:rsid w:val="00EC6B7A"/>
    <w:rsid w:val="00ED3A87"/>
    <w:rsid w:val="00ED5B67"/>
    <w:rsid w:val="00EE1A5C"/>
    <w:rsid w:val="00EE5F5A"/>
    <w:rsid w:val="00EF264C"/>
    <w:rsid w:val="00EF3FEE"/>
    <w:rsid w:val="00EF67BA"/>
    <w:rsid w:val="00EF6B41"/>
    <w:rsid w:val="00EF7F65"/>
    <w:rsid w:val="00F04B59"/>
    <w:rsid w:val="00F07B69"/>
    <w:rsid w:val="00F11741"/>
    <w:rsid w:val="00F117B0"/>
    <w:rsid w:val="00F12B1C"/>
    <w:rsid w:val="00F13CF8"/>
    <w:rsid w:val="00F15855"/>
    <w:rsid w:val="00F200B2"/>
    <w:rsid w:val="00F227DC"/>
    <w:rsid w:val="00F2583C"/>
    <w:rsid w:val="00F263B9"/>
    <w:rsid w:val="00F30701"/>
    <w:rsid w:val="00F32978"/>
    <w:rsid w:val="00F45CB2"/>
    <w:rsid w:val="00F511F3"/>
    <w:rsid w:val="00F544C0"/>
    <w:rsid w:val="00F55332"/>
    <w:rsid w:val="00F6156E"/>
    <w:rsid w:val="00F6504A"/>
    <w:rsid w:val="00F65519"/>
    <w:rsid w:val="00F66D9F"/>
    <w:rsid w:val="00F704C5"/>
    <w:rsid w:val="00F713C0"/>
    <w:rsid w:val="00F74BC8"/>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2A67"/>
    <w:rsid w:val="00FD4FED"/>
    <w:rsid w:val="00FE00C8"/>
    <w:rsid w:val="00FE0577"/>
    <w:rsid w:val="00FE2FF8"/>
    <w:rsid w:val="00FE59EC"/>
    <w:rsid w:val="00FE5B67"/>
    <w:rsid w:val="00FE60D6"/>
    <w:rsid w:val="00FE6659"/>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94E49A4-B340-4C75-8197-C77FAC41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uiPriority w:val="59"/>
    <w:rsid w:val="00430B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30B01"/>
    <w:rPr>
      <w:vertAlign w:val="superscript"/>
    </w:rPr>
  </w:style>
  <w:style w:type="paragraph" w:customStyle="1" w:styleId="StyleHeading1BoldUnderlineCentered">
    <w:name w:val="Style Heading 1 + Bold Underline Centered"/>
    <w:basedOn w:val="Heading1"/>
    <w:rsid w:val="007D7350"/>
    <w:pPr>
      <w:spacing w:before="240"/>
      <w:jc w:val="center"/>
    </w:pPr>
    <w:rPr>
      <w:rFonts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07143">
      <w:bodyDiv w:val="1"/>
      <w:marLeft w:val="0"/>
      <w:marRight w:val="0"/>
      <w:marTop w:val="0"/>
      <w:marBottom w:val="0"/>
      <w:divBdr>
        <w:top w:val="none" w:sz="0" w:space="0" w:color="auto"/>
        <w:left w:val="none" w:sz="0" w:space="0" w:color="auto"/>
        <w:bottom w:val="none" w:sz="0" w:space="0" w:color="auto"/>
        <w:right w:val="none" w:sz="0" w:space="0" w:color="auto"/>
      </w:divBdr>
    </w:div>
    <w:div w:id="1921719749">
      <w:bodyDiv w:val="1"/>
      <w:marLeft w:val="0"/>
      <w:marRight w:val="0"/>
      <w:marTop w:val="0"/>
      <w:marBottom w:val="0"/>
      <w:divBdr>
        <w:top w:val="none" w:sz="0" w:space="0" w:color="auto"/>
        <w:left w:val="none" w:sz="0" w:space="0" w:color="auto"/>
        <w:bottom w:val="none" w:sz="0" w:space="0" w:color="auto"/>
        <w:right w:val="none" w:sz="0" w:space="0" w:color="auto"/>
      </w:divBdr>
    </w:div>
    <w:div w:id="19881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F89CD-32E5-4FBC-8C73-7E588C76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2437</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2025-04-16T22:06:00Z</cp:lastPrinted>
  <dcterms:created xsi:type="dcterms:W3CDTF">2025-04-24T16:33:00Z</dcterms:created>
  <dcterms:modified xsi:type="dcterms:W3CDTF">2025-04-24T16:33:00Z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20220185-WS</vt:lpwstr>
  </property>
  <property fmtid="{D5CDD505-2E9C-101B-9397-08002B2CF9AE}" pid="3" name="MasterDocument">
    <vt:bool>false</vt:bool>
  </property>
</Properties>
</file>