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4C2F39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27A1236" w14:textId="77777777" w:rsidR="007C0528" w:rsidRDefault="007C0528" w:rsidP="00532DFB">
            <w:pPr>
              <w:pStyle w:val="MastHeadState"/>
            </w:pPr>
            <w:bookmarkStart w:id="0" w:name="_GoBack"/>
            <w:bookmarkEnd w:id="0"/>
            <w:r>
              <w:t>State of Florida</w:t>
            </w:r>
          </w:p>
          <w:p w14:paraId="401962CE" w14:textId="77777777" w:rsidR="007C0528" w:rsidRDefault="00072CCA">
            <w:pPr>
              <w:jc w:val="center"/>
            </w:pPr>
            <w:r>
              <w:rPr>
                <w:noProof/>
              </w:rPr>
              <w:drawing>
                <wp:inline distT="0" distB="0" distL="0" distR="0" wp14:anchorId="28F6AA33" wp14:editId="19EC200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8F053BA"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6C8C6B6" w14:textId="77777777" w:rsidR="007C0528" w:rsidRDefault="007C0528">
            <w:pPr>
              <w:pStyle w:val="MastHeadPSC"/>
            </w:pPr>
            <w:r>
              <w:t>Public Service Commission</w:t>
            </w:r>
          </w:p>
          <w:p w14:paraId="7F7BFA2C" w14:textId="77777777" w:rsidR="007C0528" w:rsidRDefault="007C0528">
            <w:pPr>
              <w:pStyle w:val="MastHeadAddress"/>
            </w:pPr>
            <w:r>
              <w:t>Capital Circle Office Center ● 2540 Shumard Oak Boulevard</w:t>
            </w:r>
            <w:r>
              <w:br/>
              <w:t>Tallahassee, Florida 32399-0850</w:t>
            </w:r>
          </w:p>
          <w:p w14:paraId="523963D1" w14:textId="77777777" w:rsidR="007C0528" w:rsidRDefault="007C0528">
            <w:pPr>
              <w:pStyle w:val="MastHeadMemorandum"/>
            </w:pPr>
            <w:r>
              <w:t>-M-E-M-O-R-A-N-D-U-M-</w:t>
            </w:r>
          </w:p>
          <w:p w14:paraId="7EB73040" w14:textId="77777777" w:rsidR="007C0528" w:rsidRDefault="007C0528">
            <w:pPr>
              <w:pStyle w:val="MemoHeading"/>
            </w:pPr>
          </w:p>
        </w:tc>
      </w:tr>
      <w:tr w:rsidR="007C0528" w14:paraId="62F8CEE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608013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C242DAC" w14:textId="77777777" w:rsidR="007C0528" w:rsidRDefault="002575B9">
            <w:pPr>
              <w:pStyle w:val="MemoHeading"/>
            </w:pPr>
            <w:bookmarkStart w:id="1" w:name="FilingDate"/>
            <w:r>
              <w:t>May 20, 2026</w:t>
            </w:r>
            <w:bookmarkEnd w:id="1"/>
          </w:p>
        </w:tc>
      </w:tr>
      <w:tr w:rsidR="007C0528" w14:paraId="60829F87" w14:textId="77777777">
        <w:tc>
          <w:tcPr>
            <w:tcW w:w="1254" w:type="dxa"/>
            <w:tcBorders>
              <w:top w:val="nil"/>
              <w:left w:val="nil"/>
              <w:bottom w:val="nil"/>
              <w:right w:val="nil"/>
            </w:tcBorders>
            <w:shd w:val="clear" w:color="auto" w:fill="auto"/>
            <w:tcMar>
              <w:top w:w="288" w:type="dxa"/>
              <w:bottom w:w="0" w:type="dxa"/>
              <w:right w:w="0" w:type="dxa"/>
            </w:tcMar>
          </w:tcPr>
          <w:p w14:paraId="7E26C005"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FA177EE" w14:textId="77777777" w:rsidR="007C0528" w:rsidRDefault="007C0528" w:rsidP="0093658B">
            <w:pPr>
              <w:pStyle w:val="MemoHeading"/>
            </w:pPr>
            <w:r>
              <w:t>Office of Commission Clerk (</w:t>
            </w:r>
            <w:r w:rsidR="004E69B5">
              <w:t>Teitzman</w:t>
            </w:r>
            <w:r>
              <w:t>)</w:t>
            </w:r>
          </w:p>
        </w:tc>
      </w:tr>
      <w:tr w:rsidR="007C0528" w14:paraId="64DACAF5" w14:textId="77777777">
        <w:tc>
          <w:tcPr>
            <w:tcW w:w="1254" w:type="dxa"/>
            <w:tcBorders>
              <w:top w:val="nil"/>
              <w:left w:val="nil"/>
              <w:bottom w:val="nil"/>
              <w:right w:val="nil"/>
            </w:tcBorders>
            <w:shd w:val="clear" w:color="auto" w:fill="auto"/>
            <w:tcMar>
              <w:top w:w="288" w:type="dxa"/>
              <w:right w:w="0" w:type="dxa"/>
            </w:tcMar>
          </w:tcPr>
          <w:p w14:paraId="0E2EF57B"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A8C37B1" w14:textId="77777777" w:rsidR="002575B9" w:rsidRDefault="002575B9">
            <w:pPr>
              <w:pStyle w:val="MemoHeading"/>
            </w:pPr>
            <w:bookmarkStart w:id="2" w:name="From"/>
            <w:r>
              <w:t xml:space="preserve">Division of Accounting and Finance (Souchik, </w:t>
            </w:r>
            <w:r w:rsidR="002C2F72">
              <w:t xml:space="preserve">D. </w:t>
            </w:r>
            <w:r>
              <w:t>Buys)</w:t>
            </w:r>
          </w:p>
          <w:p w14:paraId="30414A22" w14:textId="77777777" w:rsidR="002575B9" w:rsidRDefault="002575B9">
            <w:pPr>
              <w:pStyle w:val="MemoHeading"/>
            </w:pPr>
            <w:r>
              <w:t xml:space="preserve">Division of Economics (Hampson, </w:t>
            </w:r>
            <w:r w:rsidR="002C2F72">
              <w:t xml:space="preserve">P. </w:t>
            </w:r>
            <w:r>
              <w:t>Kelley)</w:t>
            </w:r>
          </w:p>
          <w:p w14:paraId="53C5C31B" w14:textId="77777777" w:rsidR="007C0528" w:rsidRDefault="002575B9">
            <w:pPr>
              <w:pStyle w:val="MemoHeading"/>
            </w:pPr>
            <w:r>
              <w:t>Office of the General Counsel (</w:t>
            </w:r>
            <w:r w:rsidR="002C2F72">
              <w:t xml:space="preserve">M. </w:t>
            </w:r>
            <w:r>
              <w:t>Thompson)</w:t>
            </w:r>
            <w:bookmarkEnd w:id="2"/>
          </w:p>
        </w:tc>
      </w:tr>
      <w:tr w:rsidR="007C0528" w14:paraId="6C967191" w14:textId="77777777">
        <w:tc>
          <w:tcPr>
            <w:tcW w:w="1254" w:type="dxa"/>
            <w:tcBorders>
              <w:top w:val="nil"/>
              <w:left w:val="nil"/>
              <w:bottom w:val="nil"/>
              <w:right w:val="nil"/>
            </w:tcBorders>
            <w:shd w:val="clear" w:color="auto" w:fill="auto"/>
            <w:tcMar>
              <w:top w:w="288" w:type="dxa"/>
              <w:right w:w="0" w:type="dxa"/>
            </w:tcMar>
          </w:tcPr>
          <w:p w14:paraId="38A9054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73C3A54" w14:textId="77777777" w:rsidR="007C0528" w:rsidRDefault="002575B9">
            <w:pPr>
              <w:pStyle w:val="MemoHeadingRe"/>
            </w:pPr>
            <w:bookmarkStart w:id="3" w:name="Re"/>
            <w:r>
              <w:t>Docket No. 20260044-EI – Petition for limited proceeding to approve rate adjustments associated with the One Big Beautiful Bill, by Duke Energy Florida, LLC.</w:t>
            </w:r>
            <w:bookmarkEnd w:id="3"/>
          </w:p>
        </w:tc>
      </w:tr>
      <w:tr w:rsidR="007C0528" w14:paraId="5D3571B3" w14:textId="77777777">
        <w:tc>
          <w:tcPr>
            <w:tcW w:w="1254" w:type="dxa"/>
            <w:tcBorders>
              <w:top w:val="nil"/>
              <w:left w:val="nil"/>
              <w:bottom w:val="nil"/>
              <w:right w:val="nil"/>
            </w:tcBorders>
            <w:shd w:val="clear" w:color="auto" w:fill="auto"/>
            <w:tcMar>
              <w:top w:w="288" w:type="dxa"/>
              <w:bottom w:w="0" w:type="dxa"/>
              <w:right w:w="0" w:type="dxa"/>
            </w:tcMar>
          </w:tcPr>
          <w:p w14:paraId="628FCBB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1866DF7" w14:textId="77777777" w:rsidR="007C0528" w:rsidRDefault="002575B9">
            <w:pPr>
              <w:pStyle w:val="MemoHeading"/>
            </w:pPr>
            <w:bookmarkStart w:id="4" w:name="AgendaDate"/>
            <w:r>
              <w:t>06/02/26</w:t>
            </w:r>
            <w:bookmarkEnd w:id="4"/>
            <w:r w:rsidR="007C0528">
              <w:t xml:space="preserve"> – </w:t>
            </w:r>
            <w:bookmarkStart w:id="5" w:name="PermittedStatus"/>
            <w:r>
              <w:t>Regular Agenda – Proposed Agency Action – Interested Persons May Participate</w:t>
            </w:r>
            <w:bookmarkEnd w:id="5"/>
          </w:p>
        </w:tc>
      </w:tr>
      <w:tr w:rsidR="007C0528" w14:paraId="28D03F46" w14:textId="77777777">
        <w:tc>
          <w:tcPr>
            <w:tcW w:w="3690" w:type="dxa"/>
            <w:gridSpan w:val="3"/>
            <w:tcBorders>
              <w:top w:val="nil"/>
              <w:left w:val="nil"/>
              <w:bottom w:val="nil"/>
              <w:right w:val="nil"/>
            </w:tcBorders>
            <w:shd w:val="clear" w:color="auto" w:fill="auto"/>
            <w:tcMar>
              <w:top w:w="288" w:type="dxa"/>
              <w:bottom w:w="0" w:type="dxa"/>
              <w:right w:w="0" w:type="dxa"/>
            </w:tcMar>
          </w:tcPr>
          <w:p w14:paraId="6657B91D"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E658C9D" w14:textId="77777777" w:rsidR="007C0528" w:rsidRDefault="002575B9">
            <w:pPr>
              <w:pStyle w:val="MemoHeading"/>
            </w:pPr>
            <w:bookmarkStart w:id="6" w:name="CommissionersAssigned"/>
            <w:r>
              <w:t>All Commissioners</w:t>
            </w:r>
            <w:bookmarkEnd w:id="6"/>
          </w:p>
        </w:tc>
      </w:tr>
      <w:tr w:rsidR="007C0528" w14:paraId="67F77276" w14:textId="77777777">
        <w:tc>
          <w:tcPr>
            <w:tcW w:w="3690" w:type="dxa"/>
            <w:gridSpan w:val="3"/>
            <w:tcBorders>
              <w:top w:val="nil"/>
              <w:left w:val="nil"/>
              <w:bottom w:val="nil"/>
              <w:right w:val="nil"/>
            </w:tcBorders>
            <w:shd w:val="clear" w:color="auto" w:fill="auto"/>
            <w:tcMar>
              <w:top w:w="288" w:type="dxa"/>
              <w:bottom w:w="0" w:type="dxa"/>
              <w:right w:w="0" w:type="dxa"/>
            </w:tcMar>
          </w:tcPr>
          <w:p w14:paraId="58182AE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232F540" w14:textId="77777777" w:rsidR="007C0528" w:rsidRDefault="002575B9">
            <w:pPr>
              <w:pStyle w:val="MemoHeading"/>
            </w:pPr>
            <w:bookmarkStart w:id="7" w:name="PrehearingOfficer"/>
            <w:r>
              <w:t>Ortega</w:t>
            </w:r>
            <w:bookmarkEnd w:id="7"/>
          </w:p>
        </w:tc>
      </w:tr>
      <w:tr w:rsidR="007C0528" w14:paraId="5C96FF1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AEF0D62"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FE12D62" w14:textId="77777777" w:rsidR="007C0528" w:rsidRDefault="002575B9">
            <w:pPr>
              <w:pStyle w:val="MemoHeading"/>
            </w:pPr>
            <w:bookmarkStart w:id="9" w:name="CriticalDates"/>
            <w:r>
              <w:t>None</w:t>
            </w:r>
            <w:bookmarkEnd w:id="9"/>
          </w:p>
        </w:tc>
      </w:tr>
      <w:tr w:rsidR="007C0528" w14:paraId="610A9D4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7C3E95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1DAC6D5" w14:textId="77777777" w:rsidR="007C0528" w:rsidRDefault="002575B9">
            <w:pPr>
              <w:pStyle w:val="MemoHeading"/>
            </w:pPr>
            <w:bookmarkStart w:id="10" w:name="SpecialInstructions"/>
            <w:r>
              <w:t>None</w:t>
            </w:r>
            <w:bookmarkEnd w:id="10"/>
          </w:p>
        </w:tc>
      </w:tr>
    </w:tbl>
    <w:p w14:paraId="6F4002E8" w14:textId="77777777" w:rsidR="007C0528" w:rsidRDefault="007C0528">
      <w:pPr>
        <w:pStyle w:val="BodyText"/>
      </w:pPr>
    </w:p>
    <w:p w14:paraId="05BC69E2"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6CA42F6" w14:textId="77777777" w:rsidR="00114300" w:rsidRDefault="008E46E5">
      <w:pPr>
        <w:pStyle w:val="BodyText"/>
      </w:pPr>
      <w:r>
        <w:t>On March 24, 2026, Duke Energy Florida, LLC (DEF) filed a petition consistent with Rule 28-106.</w:t>
      </w:r>
      <w:r w:rsidR="00E26550">
        <w:t>201,</w:t>
      </w:r>
      <w:r>
        <w:t xml:space="preserve"> Florida Administration Code (F.A.C.), for a limited proceeding to approve base rate adjustments resulting from federal income tax law changes associated with the One Big Beautiful Bill Act (OBBBA)</w:t>
      </w:r>
      <w:r w:rsidR="00DC0098">
        <w:t>. This filing was made</w:t>
      </w:r>
      <w:r>
        <w:t xml:space="preserve"> in accordance with its 2024 Settlement Agreement (2024 Settlement) approved by Order </w:t>
      </w:r>
      <w:r w:rsidR="00585F32">
        <w:t xml:space="preserve">No. </w:t>
      </w:r>
      <w:r>
        <w:t>PSC-2024-0472-AS-EI.</w:t>
      </w:r>
      <w:r>
        <w:rPr>
          <w:rStyle w:val="FootnoteReference"/>
        </w:rPr>
        <w:footnoteReference w:id="1"/>
      </w:r>
      <w:r w:rsidR="00114300">
        <w:t xml:space="preserve"> </w:t>
      </w:r>
    </w:p>
    <w:p w14:paraId="5515A84D" w14:textId="302F6F36" w:rsidR="00700E59" w:rsidRDefault="00700E59">
      <w:pPr>
        <w:pStyle w:val="BodyText"/>
      </w:pPr>
      <w:r>
        <w:t>No other party has intervened in this docket as of May 20, 2026.</w:t>
      </w:r>
    </w:p>
    <w:p w14:paraId="3AE66C43" w14:textId="77777777" w:rsidR="00700E59" w:rsidRDefault="00700E59">
      <w:pPr>
        <w:pStyle w:val="BodyText"/>
      </w:pPr>
      <w:r>
        <w:lastRenderedPageBreak/>
        <w:t>The Commission has jurisdiction over this matter pursuant to Section</w:t>
      </w:r>
      <w:r w:rsidR="00585F32">
        <w:t>s</w:t>
      </w:r>
      <w:r>
        <w:t xml:space="preserve"> 120.57, 366.076(1) a</w:t>
      </w:r>
      <w:r w:rsidR="00BE566F">
        <w:t>nd 366.06(3), Florida Statutes.</w:t>
      </w:r>
    </w:p>
    <w:p w14:paraId="34D41B76" w14:textId="77777777" w:rsidR="007C0528" w:rsidRDefault="007C0528" w:rsidP="0068481F"/>
    <w:bookmarkEnd w:id="12"/>
    <w:p w14:paraId="482E3E88" w14:textId="77777777" w:rsidR="00EA2273" w:rsidRDefault="00EA2273" w:rsidP="00700E59">
      <w:pPr>
        <w:pStyle w:val="RecommendationMajorSectionHeading"/>
        <w:jc w:val="left"/>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121B7E1" w14:textId="77777777" w:rsidR="007C0528" w:rsidRDefault="007C0528">
      <w:pPr>
        <w:pStyle w:val="RecommendationMajorSectionHeading"/>
      </w:pPr>
      <w:bookmarkStart w:id="16" w:name="DiscussionOfIssues"/>
      <w:r>
        <w:lastRenderedPageBreak/>
        <w:t>Discussion of Issues</w:t>
      </w:r>
    </w:p>
    <w:bookmarkEnd w:id="16"/>
    <w:p w14:paraId="75980FB9" w14:textId="3C93CE80" w:rsidR="00A84932" w:rsidRDefault="00A84932">
      <w:pPr>
        <w:pStyle w:val="IssueHeading"/>
        <w:rPr>
          <w:vanish/>
          <w:specVanish/>
        </w:rPr>
      </w:pPr>
      <w:r w:rsidRPr="004C3641">
        <w:t xml:space="preserve">Issue </w:t>
      </w:r>
      <w:fldSimple w:instr=" SEQ Issue \* MERGEFORMAT ">
        <w:r w:rsidR="00E12BA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12BA8">
        <w:rPr>
          <w:noProof/>
        </w:rPr>
        <w:instrText>1</w:instrText>
      </w:r>
      <w:r>
        <w:fldChar w:fldCharType="end"/>
      </w:r>
      <w:r>
        <w:tab/>
        <w:instrText xml:space="preserve">(Souchik)" \l 1 </w:instrText>
      </w:r>
      <w:r>
        <w:fldChar w:fldCharType="end"/>
      </w:r>
      <w:r>
        <w:t> </w:t>
      </w:r>
    </w:p>
    <w:p w14:paraId="65A01601" w14:textId="77777777" w:rsidR="00A84932" w:rsidRDefault="00A84932">
      <w:pPr>
        <w:pStyle w:val="BodyText"/>
      </w:pPr>
      <w:r>
        <w:t> Should the Commission approve DEF</w:t>
      </w:r>
      <w:r w:rsidR="00675EA7">
        <w:t>’</w:t>
      </w:r>
      <w:r>
        <w:t>s calculations of the base rate revenue requirement impact of federal income tax law changes enacted through the One Big Beautiful Bill Act?</w:t>
      </w:r>
    </w:p>
    <w:p w14:paraId="4979107C" w14:textId="77777777" w:rsidR="00A84932" w:rsidRPr="004C3641" w:rsidRDefault="00A84932">
      <w:pPr>
        <w:pStyle w:val="IssueSubsectionHeading"/>
        <w:rPr>
          <w:vanish/>
          <w:specVanish/>
        </w:rPr>
      </w:pPr>
      <w:r w:rsidRPr="004C3641">
        <w:t>Recommendation: </w:t>
      </w:r>
    </w:p>
    <w:p w14:paraId="447A4302" w14:textId="77777777" w:rsidR="00A84932" w:rsidRDefault="00A84932">
      <w:pPr>
        <w:pStyle w:val="BodyText"/>
      </w:pPr>
      <w:r>
        <w:t> </w:t>
      </w:r>
      <w:r w:rsidR="006D207D">
        <w:t>Yes. The Commission should approve DEF’s calculations of the base rate revenue impacts from the OBBBA. The base rate revenue impacts are a net decrease of $2,788 for the 2025 tax year, and an increase of $338,970 for the 2026 tax year.</w:t>
      </w:r>
      <w:r>
        <w:t xml:space="preserve"> (Souchik)</w:t>
      </w:r>
    </w:p>
    <w:p w14:paraId="21697507" w14:textId="77777777" w:rsidR="00A84932" w:rsidRPr="004C3641" w:rsidRDefault="00A84932">
      <w:pPr>
        <w:pStyle w:val="IssueSubsectionHeading"/>
        <w:rPr>
          <w:vanish/>
          <w:specVanish/>
        </w:rPr>
      </w:pPr>
      <w:r w:rsidRPr="004C3641">
        <w:t>Staff Analysis: </w:t>
      </w:r>
    </w:p>
    <w:p w14:paraId="65BB4417" w14:textId="68CE2F2F" w:rsidR="00A84932" w:rsidRDefault="00A84932">
      <w:pPr>
        <w:pStyle w:val="BodyText"/>
      </w:pPr>
      <w:r>
        <w:t> </w:t>
      </w:r>
      <w:r w:rsidR="00585F32">
        <w:t xml:space="preserve">The </w:t>
      </w:r>
      <w:r w:rsidR="006D207D">
        <w:t xml:space="preserve">2024 Settlement acknowledged that income tax </w:t>
      </w:r>
      <w:r w:rsidR="00DC0098">
        <w:t xml:space="preserve">amendments </w:t>
      </w:r>
      <w:r w:rsidR="006D207D">
        <w:t>can take many forms which may include changes to tax rate</w:t>
      </w:r>
      <w:r w:rsidR="005C6348">
        <w:t>s,</w:t>
      </w:r>
      <w:r w:rsidR="006D207D">
        <w:t xml:space="preserve"> changes to deductibility of certain costs, and changes to the timing of deductibility of certain costs.</w:t>
      </w:r>
      <w:r w:rsidR="006D207D">
        <w:rPr>
          <w:rStyle w:val="FootnoteReference"/>
        </w:rPr>
        <w:footnoteReference w:id="2"/>
      </w:r>
      <w:r w:rsidR="006D207D">
        <w:t xml:space="preserve"> Paragraph 19(b) of the 2024 Settlement describes that if tax reform is enacted during the settlement term, DEF will quantify the impact of tax reform in the year which the tax reform is effective. Paragraph 19(b) in relevant part states: </w:t>
      </w:r>
    </w:p>
    <w:p w14:paraId="5C30092F" w14:textId="2A1BDBB9" w:rsidR="00212DEB" w:rsidRDefault="00212DEB" w:rsidP="00212DEB">
      <w:pPr>
        <w:pStyle w:val="BodyText"/>
        <w:ind w:left="720" w:right="720"/>
      </w:pPr>
      <w:r>
        <w:t>If Tax Reform is enacted during the Term, D</w:t>
      </w:r>
      <w:r w:rsidR="00114300">
        <w:t>EF will quantify the impact of T</w:t>
      </w:r>
      <w:r>
        <w:t xml:space="preserve">ax Reform on its Florida Jurisdictional base revenue requirement as projected in DEF’s forecasted earnings surveillance report for the calendar year that includes the period in which Tax Reform is effective. If Tax Reform is enacted effective for the tax years 2025 or 2026, the impacts of the Tax Reform on base revenue requirements, primarily driven by an income tax rate increase/decrease, will be adjusted for retail customers within the later of 180 days of when the Tax Reform becomes law or the effective date of the law, through a prospective adjustment to base rates upon a thorough review of the effects of the </w:t>
      </w:r>
      <w:r w:rsidR="00114300">
        <w:t>tax r</w:t>
      </w:r>
      <w:r>
        <w:t>eform on base revenue requirements.</w:t>
      </w:r>
      <w:r>
        <w:rPr>
          <w:rStyle w:val="FootnoteReference"/>
        </w:rPr>
        <w:footnoteReference w:id="3"/>
      </w:r>
    </w:p>
    <w:p w14:paraId="39DD4051" w14:textId="439ACFBC" w:rsidR="00212DEB" w:rsidRDefault="00212DEB" w:rsidP="009E01EF">
      <w:pPr>
        <w:pStyle w:val="BodyText"/>
      </w:pPr>
      <w:r>
        <w:t>The OBBBA was signed into law on July 4, 2025, and made changes to the tax treatment relating to (1)</w:t>
      </w:r>
      <w:r w:rsidR="00E26550" w:rsidRPr="00E26550">
        <w:t xml:space="preserve"> </w:t>
      </w:r>
      <w:r w:rsidR="00E26550">
        <w:t>the</w:t>
      </w:r>
      <w:r>
        <w:t xml:space="preserve"> expensing of domestic rese</w:t>
      </w:r>
      <w:r w:rsidR="00200F4C">
        <w:t>arch and experi</w:t>
      </w:r>
      <w:r w:rsidR="00585F32">
        <w:t>m</w:t>
      </w:r>
      <w:r w:rsidR="00200F4C">
        <w:t>ental (R&amp;E) costs</w:t>
      </w:r>
      <w:r>
        <w:t>, (2) the research and development (R&amp;D) tax credit, and (3) the expensing of employer-provided meals.</w:t>
      </w:r>
      <w:r>
        <w:rPr>
          <w:rStyle w:val="FootnoteReference"/>
        </w:rPr>
        <w:footnoteReference w:id="4"/>
      </w:r>
    </w:p>
    <w:p w14:paraId="77F94102" w14:textId="77777777" w:rsidR="00777769" w:rsidRDefault="00777769" w:rsidP="00BE1D3A">
      <w:pPr>
        <w:pStyle w:val="Second-LevelSubheading"/>
        <w:ind w:left="0"/>
      </w:pPr>
      <w:r>
        <w:t>Domestic R&amp;E Expenditures</w:t>
      </w:r>
    </w:p>
    <w:p w14:paraId="303FE4E9" w14:textId="77777777" w:rsidR="00777769" w:rsidRDefault="00777769" w:rsidP="00777769">
      <w:pPr>
        <w:pStyle w:val="BodyText"/>
      </w:pPr>
      <w:r>
        <w:t>Domestic R&amp;E</w:t>
      </w:r>
      <w:r w:rsidR="00200F4C">
        <w:t xml:space="preserve"> expenses</w:t>
      </w:r>
      <w:r>
        <w:t xml:space="preserve"> are costs incurred in connection with the development or improvement of products, processes or tec</w:t>
      </w:r>
      <w:r w:rsidR="00200F4C">
        <w:t>hnologies. Prior to the OBBBA, domestic R&amp;E expenses</w:t>
      </w:r>
      <w:r>
        <w:t xml:space="preserve"> were amortized over a 5-year period.</w:t>
      </w:r>
      <w:r w:rsidR="009E01EF" w:rsidRPr="009E01EF">
        <w:t xml:space="preserve"> </w:t>
      </w:r>
      <w:r w:rsidR="009E01EF">
        <w:t xml:space="preserve">The OBBBA amended Internal Revenue Code (IRC) </w:t>
      </w:r>
      <w:r w:rsidR="00DC0098">
        <w:t xml:space="preserve">Section </w:t>
      </w:r>
      <w:r w:rsidR="009E01EF">
        <w:t>174(a) to allow for full expensing of domestic R&amp;E expenditures paid in taxable years beginning after December 31, 2024.</w:t>
      </w:r>
    </w:p>
    <w:p w14:paraId="1E3D89CD" w14:textId="77777777" w:rsidR="00777769" w:rsidRDefault="00777769" w:rsidP="00777769">
      <w:pPr>
        <w:pStyle w:val="BodyText"/>
      </w:pPr>
      <w:r>
        <w:t xml:space="preserve">In response to staff’s first data request, DEF explained its </w:t>
      </w:r>
      <w:r w:rsidR="009E01EF">
        <w:t xml:space="preserve">total </w:t>
      </w:r>
      <w:r>
        <w:t xml:space="preserve">income tax expense is not impacted, because </w:t>
      </w:r>
      <w:r w:rsidR="00DC0098">
        <w:t>p</w:t>
      </w:r>
      <w:r>
        <w:t xml:space="preserve">rior to enactment of the OBBBA, the tax benefit associated with these book expenses was recorded as a reduction to deferred income tax expense. </w:t>
      </w:r>
      <w:r w:rsidR="00223810">
        <w:t xml:space="preserve">Under the OBBBA, the tax benefit is recorded to current income tax expense. </w:t>
      </w:r>
      <w:r>
        <w:t xml:space="preserve">Accordingly, while the characterization of </w:t>
      </w:r>
      <w:r>
        <w:lastRenderedPageBreak/>
        <w:t xml:space="preserve">the tax benefit changed from deferred to current income tax expense, there is no change to DEF’s total </w:t>
      </w:r>
      <w:r w:rsidR="005E4AA0">
        <w:t xml:space="preserve">2025 </w:t>
      </w:r>
      <w:r>
        <w:t>income tax expense.</w:t>
      </w:r>
      <w:r w:rsidR="0041271A">
        <w:t xml:space="preserve"> </w:t>
      </w:r>
      <w:r w:rsidR="00DC0098">
        <w:t>An</w:t>
      </w:r>
      <w:r w:rsidR="0041271A">
        <w:t xml:space="preserve"> impact</w:t>
      </w:r>
      <w:r w:rsidR="00DC0098">
        <w:t xml:space="preserve"> of</w:t>
      </w:r>
      <w:r w:rsidR="0041271A">
        <w:t xml:space="preserve"> expensing of domestic R&amp;E expenditures for tax purposes</w:t>
      </w:r>
      <w:r w:rsidR="005E4AA0">
        <w:t xml:space="preserve"> on DEF’s books and records is</w:t>
      </w:r>
      <w:r w:rsidR="00DC0098">
        <w:t xml:space="preserve"> a change to</w:t>
      </w:r>
      <w:r w:rsidR="005E4AA0">
        <w:t xml:space="preserve"> </w:t>
      </w:r>
      <w:r w:rsidR="00E26550">
        <w:t xml:space="preserve">the </w:t>
      </w:r>
      <w:r w:rsidR="005E4AA0">
        <w:t>Accumulated D</w:t>
      </w:r>
      <w:r w:rsidR="0041271A">
        <w:t xml:space="preserve">eferred </w:t>
      </w:r>
      <w:r w:rsidR="005E4AA0">
        <w:t>Income T</w:t>
      </w:r>
      <w:r w:rsidR="0041271A">
        <w:t>ax</w:t>
      </w:r>
      <w:r w:rsidR="005E4AA0">
        <w:t xml:space="preserve"> (ADIT)</w:t>
      </w:r>
      <w:r w:rsidR="00E26550">
        <w:t xml:space="preserve"> balance</w:t>
      </w:r>
      <w:r w:rsidR="005E4AA0">
        <w:t xml:space="preserve"> included</w:t>
      </w:r>
      <w:r w:rsidR="0041271A">
        <w:t xml:space="preserve"> in the c</w:t>
      </w:r>
      <w:r w:rsidR="00DC0098">
        <w:t>apital structure. T</w:t>
      </w:r>
      <w:r w:rsidR="0041271A">
        <w:t>he tax law change increased DEF’s</w:t>
      </w:r>
      <w:r w:rsidR="005E4AA0">
        <w:t xml:space="preserve"> 2025</w:t>
      </w:r>
      <w:r w:rsidR="0041271A">
        <w:t xml:space="preserve"> 13-month aver</w:t>
      </w:r>
      <w:r w:rsidR="005E4AA0">
        <w:t xml:space="preserve">age </w:t>
      </w:r>
      <w:r w:rsidR="0041271A">
        <w:t>ADIT balance by $1,079,112, which reduced the</w:t>
      </w:r>
      <w:r w:rsidR="005E4AA0">
        <w:t xml:space="preserve"> 2025</w:t>
      </w:r>
      <w:r w:rsidR="0041271A">
        <w:t xml:space="preserve"> revenue requirement by $78,085. DEF’s calculation is summarized in Table 1-1.</w:t>
      </w:r>
    </w:p>
    <w:p w14:paraId="39DC3811" w14:textId="71AFDA1D" w:rsidR="00070B0E" w:rsidRDefault="00070B0E" w:rsidP="00A71D9A">
      <w:pPr>
        <w:pStyle w:val="TableNumber"/>
        <w:keepNext/>
        <w:spacing w:before="0"/>
      </w:pPr>
      <w:r>
        <w:t xml:space="preserve">Table </w:t>
      </w:r>
      <w:fldSimple w:instr=" SEQ Issue \c ">
        <w:r w:rsidR="00E12BA8">
          <w:rPr>
            <w:noProof/>
          </w:rPr>
          <w:t>1</w:t>
        </w:r>
      </w:fldSimple>
      <w:r>
        <w:t>-1</w:t>
      </w:r>
    </w:p>
    <w:p w14:paraId="505FBFAA" w14:textId="77777777" w:rsidR="00070B0E" w:rsidRDefault="00070B0E" w:rsidP="00070B0E">
      <w:pPr>
        <w:pStyle w:val="TableTitle"/>
        <w:keepNext/>
      </w:pPr>
      <w:r>
        <w:t>Full Expensing of Domestic R&amp;E Expenditures (2025</w:t>
      </w:r>
      <w:r w:rsidR="00914BEE">
        <w:t xml:space="preserve"> Tax Year</w:t>
      </w:r>
      <w:r>
        <w:t>)</w:t>
      </w:r>
    </w:p>
    <w:tbl>
      <w:tblPr>
        <w:tblStyle w:val="TableGrid"/>
        <w:tblW w:w="5000" w:type="pct"/>
        <w:jc w:val="center"/>
        <w:tblLook w:val="04A0" w:firstRow="1" w:lastRow="0" w:firstColumn="1" w:lastColumn="0" w:noHBand="0" w:noVBand="1"/>
      </w:tblPr>
      <w:tblGrid>
        <w:gridCol w:w="7628"/>
        <w:gridCol w:w="1948"/>
      </w:tblGrid>
      <w:tr w:rsidR="00070B0E" w14:paraId="4A59F624" w14:textId="77777777" w:rsidTr="00914BEE">
        <w:trPr>
          <w:jc w:val="center"/>
        </w:trPr>
        <w:tc>
          <w:tcPr>
            <w:tcW w:w="3983" w:type="pct"/>
          </w:tcPr>
          <w:p w14:paraId="0448AE49" w14:textId="77777777" w:rsidR="00070B0E" w:rsidRPr="00D674D0" w:rsidRDefault="00070B0E" w:rsidP="00070B0E">
            <w:r w:rsidRPr="00D674D0">
              <w:t>Capitalized Section 174(e) R&amp;E Expenditures</w:t>
            </w:r>
          </w:p>
        </w:tc>
        <w:tc>
          <w:tcPr>
            <w:tcW w:w="1017" w:type="pct"/>
          </w:tcPr>
          <w:p w14:paraId="7352CB9B" w14:textId="77777777" w:rsidR="00070B0E" w:rsidRPr="00D674D0" w:rsidRDefault="00070B0E" w:rsidP="00914BEE">
            <w:pPr>
              <w:jc w:val="right"/>
            </w:pPr>
            <w:r w:rsidRPr="00D674D0">
              <w:t>$9,000,000</w:t>
            </w:r>
          </w:p>
        </w:tc>
      </w:tr>
      <w:tr w:rsidR="00070B0E" w14:paraId="27F92DF8" w14:textId="77777777" w:rsidTr="00914BEE">
        <w:trPr>
          <w:jc w:val="center"/>
        </w:trPr>
        <w:tc>
          <w:tcPr>
            <w:tcW w:w="3983" w:type="pct"/>
          </w:tcPr>
          <w:p w14:paraId="78448E3A" w14:textId="77777777" w:rsidR="00070B0E" w:rsidRPr="00D674D0" w:rsidRDefault="00070B0E" w:rsidP="00070B0E">
            <w:r w:rsidRPr="00D674D0">
              <w:t>First Year Amortization</w:t>
            </w:r>
          </w:p>
        </w:tc>
        <w:tc>
          <w:tcPr>
            <w:tcW w:w="1017" w:type="pct"/>
          </w:tcPr>
          <w:p w14:paraId="79114E63" w14:textId="77777777" w:rsidR="00070B0E" w:rsidRPr="005D5209" w:rsidRDefault="00070B0E" w:rsidP="00A64F65">
            <w:pPr>
              <w:jc w:val="right"/>
              <w:rPr>
                <w:u w:val="single"/>
              </w:rPr>
            </w:pPr>
            <w:r w:rsidRPr="005D5209">
              <w:rPr>
                <w:u w:val="single"/>
              </w:rPr>
              <w:t>(900,000)</w:t>
            </w:r>
          </w:p>
        </w:tc>
      </w:tr>
      <w:tr w:rsidR="00070B0E" w14:paraId="716B9F32" w14:textId="77777777" w:rsidTr="00914BEE">
        <w:trPr>
          <w:jc w:val="center"/>
        </w:trPr>
        <w:tc>
          <w:tcPr>
            <w:tcW w:w="3983" w:type="pct"/>
          </w:tcPr>
          <w:p w14:paraId="1D653C44" w14:textId="77777777" w:rsidR="00070B0E" w:rsidRPr="00D674D0" w:rsidRDefault="00070B0E" w:rsidP="00070B0E">
            <w:r w:rsidRPr="00D674D0">
              <w:t>Increase in Timing Differences</w:t>
            </w:r>
          </w:p>
        </w:tc>
        <w:tc>
          <w:tcPr>
            <w:tcW w:w="1017" w:type="pct"/>
          </w:tcPr>
          <w:p w14:paraId="4FC5C6E2" w14:textId="77777777" w:rsidR="00070B0E" w:rsidRPr="00D674D0" w:rsidRDefault="00070B0E" w:rsidP="00914BEE">
            <w:pPr>
              <w:jc w:val="right"/>
            </w:pPr>
            <w:r w:rsidRPr="00D674D0">
              <w:t>$8,100,000</w:t>
            </w:r>
          </w:p>
        </w:tc>
      </w:tr>
      <w:tr w:rsidR="00070B0E" w14:paraId="0FBA8F10" w14:textId="77777777" w:rsidTr="00914BEE">
        <w:trPr>
          <w:jc w:val="center"/>
        </w:trPr>
        <w:tc>
          <w:tcPr>
            <w:tcW w:w="3983" w:type="pct"/>
          </w:tcPr>
          <w:p w14:paraId="48C72BDD" w14:textId="77777777" w:rsidR="00070B0E" w:rsidRPr="00D674D0" w:rsidRDefault="00070B0E" w:rsidP="00070B0E">
            <w:r w:rsidRPr="00D674D0">
              <w:t>13-month Average Increase in Timing Differences</w:t>
            </w:r>
          </w:p>
        </w:tc>
        <w:tc>
          <w:tcPr>
            <w:tcW w:w="1017" w:type="pct"/>
          </w:tcPr>
          <w:p w14:paraId="1BEA89F0" w14:textId="77777777" w:rsidR="00070B0E" w:rsidRPr="00D674D0" w:rsidRDefault="00070B0E" w:rsidP="00914BEE">
            <w:pPr>
              <w:jc w:val="right"/>
            </w:pPr>
            <w:r w:rsidRPr="00D674D0">
              <w:t>4,257,692</w:t>
            </w:r>
          </w:p>
        </w:tc>
      </w:tr>
      <w:tr w:rsidR="00070B0E" w14:paraId="33137EE2" w14:textId="77777777" w:rsidTr="00914BEE">
        <w:trPr>
          <w:jc w:val="center"/>
        </w:trPr>
        <w:tc>
          <w:tcPr>
            <w:tcW w:w="3983" w:type="pct"/>
          </w:tcPr>
          <w:p w14:paraId="030F083F" w14:textId="77777777" w:rsidR="00070B0E" w:rsidRPr="00D674D0" w:rsidRDefault="00070B0E" w:rsidP="00070B0E">
            <w:r w:rsidRPr="00D674D0">
              <w:t>Statutory Federal and State Rate (combined)</w:t>
            </w:r>
          </w:p>
        </w:tc>
        <w:tc>
          <w:tcPr>
            <w:tcW w:w="1017" w:type="pct"/>
          </w:tcPr>
          <w:p w14:paraId="72BC0B89" w14:textId="77777777" w:rsidR="00070B0E" w:rsidRPr="005D5209" w:rsidRDefault="00070B0E" w:rsidP="00914BEE">
            <w:pPr>
              <w:jc w:val="right"/>
              <w:rPr>
                <w:u w:val="single"/>
              </w:rPr>
            </w:pPr>
            <w:r w:rsidRPr="005D5209">
              <w:rPr>
                <w:u w:val="single"/>
              </w:rPr>
              <w:t>25.345%</w:t>
            </w:r>
          </w:p>
        </w:tc>
      </w:tr>
      <w:tr w:rsidR="00070B0E" w14:paraId="5C7B8CFF" w14:textId="77777777" w:rsidTr="00914BEE">
        <w:trPr>
          <w:jc w:val="center"/>
        </w:trPr>
        <w:tc>
          <w:tcPr>
            <w:tcW w:w="3983" w:type="pct"/>
          </w:tcPr>
          <w:p w14:paraId="0DF7751A" w14:textId="77777777" w:rsidR="00070B0E" w:rsidRPr="00D674D0" w:rsidRDefault="00070B0E" w:rsidP="00070B0E">
            <w:r w:rsidRPr="00D674D0">
              <w:t>Increase in Net Deferred Tax Liability</w:t>
            </w:r>
          </w:p>
        </w:tc>
        <w:tc>
          <w:tcPr>
            <w:tcW w:w="1017" w:type="pct"/>
          </w:tcPr>
          <w:p w14:paraId="6954277B" w14:textId="77777777" w:rsidR="00070B0E" w:rsidRPr="00D674D0" w:rsidRDefault="00070B0E" w:rsidP="00914BEE">
            <w:pPr>
              <w:jc w:val="right"/>
            </w:pPr>
            <w:r w:rsidRPr="00D674D0">
              <w:t>$1,079,112</w:t>
            </w:r>
          </w:p>
        </w:tc>
      </w:tr>
      <w:tr w:rsidR="00070B0E" w14:paraId="77A3B228" w14:textId="77777777" w:rsidTr="00914BEE">
        <w:trPr>
          <w:jc w:val="center"/>
        </w:trPr>
        <w:tc>
          <w:tcPr>
            <w:tcW w:w="3983" w:type="pct"/>
          </w:tcPr>
          <w:p w14:paraId="0ADD0162" w14:textId="77777777" w:rsidR="00070B0E" w:rsidRPr="00D674D0" w:rsidRDefault="00070B0E" w:rsidP="00070B0E">
            <w:r w:rsidRPr="00D674D0">
              <w:t>Jurisdictional Separation Factors</w:t>
            </w:r>
          </w:p>
        </w:tc>
        <w:tc>
          <w:tcPr>
            <w:tcW w:w="1017" w:type="pct"/>
          </w:tcPr>
          <w:p w14:paraId="5B8AD1E9" w14:textId="77777777" w:rsidR="00070B0E" w:rsidRPr="005D5209" w:rsidRDefault="00070B0E" w:rsidP="00914BEE">
            <w:pPr>
              <w:jc w:val="right"/>
              <w:rPr>
                <w:u w:val="single"/>
              </w:rPr>
            </w:pPr>
            <w:r w:rsidRPr="005D5209">
              <w:rPr>
                <w:u w:val="single"/>
              </w:rPr>
              <w:t>88.94%</w:t>
            </w:r>
          </w:p>
        </w:tc>
      </w:tr>
      <w:tr w:rsidR="00070B0E" w14:paraId="45EE44B8" w14:textId="77777777" w:rsidTr="00914BEE">
        <w:trPr>
          <w:jc w:val="center"/>
        </w:trPr>
        <w:tc>
          <w:tcPr>
            <w:tcW w:w="3983" w:type="pct"/>
          </w:tcPr>
          <w:p w14:paraId="5DF6928E" w14:textId="77777777" w:rsidR="00070B0E" w:rsidRPr="00D674D0" w:rsidRDefault="00070B0E" w:rsidP="00070B0E">
            <w:r w:rsidRPr="00D674D0">
              <w:t>Increase in Net Deferred Tax Liability</w:t>
            </w:r>
          </w:p>
        </w:tc>
        <w:tc>
          <w:tcPr>
            <w:tcW w:w="1017" w:type="pct"/>
          </w:tcPr>
          <w:p w14:paraId="57612C53" w14:textId="77777777" w:rsidR="00070B0E" w:rsidRPr="00D674D0" w:rsidRDefault="00070B0E" w:rsidP="00914BEE">
            <w:pPr>
              <w:jc w:val="right"/>
            </w:pPr>
            <w:r w:rsidRPr="00D674D0">
              <w:t>$959,806</w:t>
            </w:r>
          </w:p>
        </w:tc>
      </w:tr>
      <w:tr w:rsidR="00070B0E" w14:paraId="3ACBB61D" w14:textId="77777777" w:rsidTr="00914BEE">
        <w:trPr>
          <w:jc w:val="center"/>
        </w:trPr>
        <w:tc>
          <w:tcPr>
            <w:tcW w:w="3983" w:type="pct"/>
          </w:tcPr>
          <w:p w14:paraId="60CF1524" w14:textId="77777777" w:rsidR="00070B0E" w:rsidRPr="00D674D0" w:rsidRDefault="00070B0E" w:rsidP="00070B0E">
            <w:r w:rsidRPr="00D674D0">
              <w:t>Mid-point WACC (Grossed up for Tax)</w:t>
            </w:r>
          </w:p>
        </w:tc>
        <w:tc>
          <w:tcPr>
            <w:tcW w:w="1017" w:type="pct"/>
          </w:tcPr>
          <w:p w14:paraId="036AFF2B" w14:textId="77777777" w:rsidR="00070B0E" w:rsidRPr="00DC0098" w:rsidRDefault="00070B0E" w:rsidP="00914BEE">
            <w:pPr>
              <w:jc w:val="right"/>
              <w:rPr>
                <w:u w:val="single"/>
              </w:rPr>
            </w:pPr>
            <w:r w:rsidRPr="00DC0098">
              <w:rPr>
                <w:u w:val="single"/>
              </w:rPr>
              <w:t>8.14%</w:t>
            </w:r>
          </w:p>
        </w:tc>
      </w:tr>
      <w:tr w:rsidR="00070B0E" w14:paraId="318B7B6D" w14:textId="77777777" w:rsidTr="00914BEE">
        <w:trPr>
          <w:jc w:val="center"/>
        </w:trPr>
        <w:tc>
          <w:tcPr>
            <w:tcW w:w="3983" w:type="pct"/>
          </w:tcPr>
          <w:p w14:paraId="341657CB" w14:textId="77777777" w:rsidR="00070B0E" w:rsidRPr="00D674D0" w:rsidRDefault="00070B0E" w:rsidP="00070B0E">
            <w:r w:rsidRPr="00D674D0">
              <w:t xml:space="preserve">Decrease in </w:t>
            </w:r>
            <w:r w:rsidR="004E1D87">
              <w:t xml:space="preserve">2025 </w:t>
            </w:r>
            <w:r w:rsidRPr="00D674D0">
              <w:t>Revenue Requirement*</w:t>
            </w:r>
          </w:p>
        </w:tc>
        <w:tc>
          <w:tcPr>
            <w:tcW w:w="1017" w:type="pct"/>
          </w:tcPr>
          <w:p w14:paraId="5832D7BE" w14:textId="77777777" w:rsidR="00070B0E" w:rsidRDefault="00070B0E" w:rsidP="00914BEE">
            <w:pPr>
              <w:jc w:val="right"/>
            </w:pPr>
            <w:r w:rsidRPr="00D674D0">
              <w:t>($78,085)</w:t>
            </w:r>
          </w:p>
        </w:tc>
      </w:tr>
    </w:tbl>
    <w:p w14:paraId="4F0AD18C" w14:textId="77777777" w:rsidR="00070B0E" w:rsidRDefault="00070B0E" w:rsidP="00914BEE">
      <w:pPr>
        <w:pStyle w:val="TableSource"/>
        <w:spacing w:after="0"/>
      </w:pPr>
      <w:r>
        <w:t>Source: Document No. 07149-2026, Attachment 1</w:t>
      </w:r>
    </w:p>
    <w:p w14:paraId="6D15D69A" w14:textId="77777777" w:rsidR="00777769" w:rsidRDefault="00E26550" w:rsidP="004B31F7">
      <w:pPr>
        <w:pStyle w:val="TableSource"/>
      </w:pPr>
      <w:r>
        <w:t xml:space="preserve">*May not sum </w:t>
      </w:r>
      <w:r w:rsidR="004B31F7">
        <w:t>due to rounding.</w:t>
      </w:r>
    </w:p>
    <w:p w14:paraId="79D6BD9D" w14:textId="77777777" w:rsidR="0041271A" w:rsidRDefault="001F72FF" w:rsidP="00070B0E">
      <w:pPr>
        <w:pStyle w:val="Second-LevelSubheading"/>
        <w:ind w:left="0"/>
        <w:rPr>
          <w:b w:val="0"/>
        </w:rPr>
      </w:pPr>
      <w:r>
        <w:t>R&amp;D Tax Credit</w:t>
      </w:r>
    </w:p>
    <w:p w14:paraId="3E3530FD" w14:textId="77777777" w:rsidR="001F72FF" w:rsidRDefault="001F72FF" w:rsidP="001F72FF">
      <w:pPr>
        <w:pStyle w:val="BodyText"/>
      </w:pPr>
      <w:r>
        <w:t>The OBBBA modified IRC Sections 41(d)(1)(A) and 280(c)(1) to reduce the R&amp;D tax credit available to DEF for taxable years beginning after December 31, 2024. The IRC Section 41 R&amp;D Tax Credit is a federal incentive that provides a dollar-for-dollar reduction in tax liability for businesses that perform qualified research activities in the United States. IRC Section 280</w:t>
      </w:r>
      <w:r w:rsidR="005E4AA0">
        <w:t>(c)</w:t>
      </w:r>
      <w:r>
        <w:t xml:space="preserve"> is a coordination provision that prevents a “double benefit” by requiring taxpayers to choose between claiming the full credit and a full deduction for the same expenses. The reduced tax credit increased DEF’s 2025 income tax expense by $63,035, which increased the </w:t>
      </w:r>
      <w:r w:rsidR="005E4AA0">
        <w:t xml:space="preserve">2025 </w:t>
      </w:r>
      <w:r>
        <w:t xml:space="preserve">revenue requirement by $75,297. DEF’s calculation is summarized in </w:t>
      </w:r>
      <w:r w:rsidR="009E01EF">
        <w:t>T</w:t>
      </w:r>
      <w:r>
        <w:t>able 1-2.</w:t>
      </w:r>
    </w:p>
    <w:p w14:paraId="19A5249E" w14:textId="3C2C18CA" w:rsidR="001F72FF" w:rsidRDefault="001F72FF" w:rsidP="00A71D9A">
      <w:pPr>
        <w:pStyle w:val="TableNumber"/>
        <w:keepNext/>
        <w:spacing w:before="0"/>
      </w:pPr>
      <w:r>
        <w:t xml:space="preserve">Table </w:t>
      </w:r>
      <w:fldSimple w:instr=" SEQ Issue \c ">
        <w:r w:rsidR="00E12BA8">
          <w:rPr>
            <w:noProof/>
          </w:rPr>
          <w:t>1</w:t>
        </w:r>
      </w:fldSimple>
      <w:r>
        <w:t>-</w:t>
      </w:r>
      <w:r w:rsidR="00705F12">
        <w:t>2</w:t>
      </w:r>
    </w:p>
    <w:p w14:paraId="6F7A788B" w14:textId="77777777" w:rsidR="001F72FF" w:rsidRDefault="00705F12" w:rsidP="001F72FF">
      <w:pPr>
        <w:pStyle w:val="TableTitle"/>
        <w:keepNext/>
      </w:pPr>
      <w:r>
        <w:t>Reduced R&amp;D Tax Credits</w:t>
      </w:r>
      <w:r w:rsidR="00070B0E">
        <w:t xml:space="preserve"> (2025</w:t>
      </w:r>
      <w:r w:rsidR="00914BEE">
        <w:t xml:space="preserve"> Tax Year</w:t>
      </w:r>
      <w:r w:rsidR="00070B0E">
        <w:t>)</w:t>
      </w:r>
    </w:p>
    <w:tbl>
      <w:tblPr>
        <w:tblStyle w:val="TableGrid"/>
        <w:tblW w:w="5000" w:type="pct"/>
        <w:jc w:val="center"/>
        <w:tblLook w:val="04A0" w:firstRow="1" w:lastRow="0" w:firstColumn="1" w:lastColumn="0" w:noHBand="0" w:noVBand="1"/>
      </w:tblPr>
      <w:tblGrid>
        <w:gridCol w:w="7488"/>
        <w:gridCol w:w="2088"/>
      </w:tblGrid>
      <w:tr w:rsidR="001F72FF" w14:paraId="251EBDC9" w14:textId="77777777" w:rsidTr="00377467">
        <w:trPr>
          <w:jc w:val="center"/>
        </w:trPr>
        <w:tc>
          <w:tcPr>
            <w:tcW w:w="3910" w:type="pct"/>
          </w:tcPr>
          <w:p w14:paraId="486F60B6" w14:textId="77777777" w:rsidR="001F72FF" w:rsidRDefault="00F26155" w:rsidP="001F72FF">
            <w:r>
              <w:t>R&amp;D Tax Credit</w:t>
            </w:r>
          </w:p>
        </w:tc>
        <w:tc>
          <w:tcPr>
            <w:tcW w:w="1090" w:type="pct"/>
          </w:tcPr>
          <w:p w14:paraId="73DDF577" w14:textId="77777777" w:rsidR="001F72FF" w:rsidRDefault="00F26155" w:rsidP="00F26155">
            <w:pPr>
              <w:jc w:val="right"/>
            </w:pPr>
            <w:r>
              <w:t>$300,168</w:t>
            </w:r>
          </w:p>
        </w:tc>
      </w:tr>
      <w:tr w:rsidR="001F72FF" w:rsidRPr="005D5209" w14:paraId="3844E4D7" w14:textId="77777777" w:rsidTr="00377467">
        <w:trPr>
          <w:jc w:val="center"/>
        </w:trPr>
        <w:tc>
          <w:tcPr>
            <w:tcW w:w="3910" w:type="pct"/>
          </w:tcPr>
          <w:p w14:paraId="27637CB2" w14:textId="77777777" w:rsidR="001F72FF" w:rsidRDefault="00F26155" w:rsidP="001F72FF">
            <w:r>
              <w:t>Percent Reduction in R&amp;D Tax Credit</w:t>
            </w:r>
          </w:p>
        </w:tc>
        <w:tc>
          <w:tcPr>
            <w:tcW w:w="1090" w:type="pct"/>
          </w:tcPr>
          <w:p w14:paraId="2EB386BE" w14:textId="77777777" w:rsidR="001F72FF" w:rsidRPr="005D5209" w:rsidRDefault="00F26155" w:rsidP="00F26155">
            <w:pPr>
              <w:jc w:val="right"/>
              <w:rPr>
                <w:u w:val="single"/>
              </w:rPr>
            </w:pPr>
            <w:r w:rsidRPr="005D5209">
              <w:rPr>
                <w:u w:val="single"/>
              </w:rPr>
              <w:t>21%</w:t>
            </w:r>
          </w:p>
        </w:tc>
      </w:tr>
      <w:tr w:rsidR="001F72FF" w14:paraId="18DCBC16" w14:textId="77777777" w:rsidTr="00377467">
        <w:trPr>
          <w:jc w:val="center"/>
        </w:trPr>
        <w:tc>
          <w:tcPr>
            <w:tcW w:w="3910" w:type="pct"/>
          </w:tcPr>
          <w:p w14:paraId="460BE053" w14:textId="77777777" w:rsidR="001F72FF" w:rsidRDefault="00F26155" w:rsidP="001F72FF">
            <w:r>
              <w:t>Reduced R&amp;D Tax Credit</w:t>
            </w:r>
          </w:p>
        </w:tc>
        <w:tc>
          <w:tcPr>
            <w:tcW w:w="1090" w:type="pct"/>
          </w:tcPr>
          <w:p w14:paraId="50A9B049" w14:textId="77777777" w:rsidR="001F72FF" w:rsidRDefault="00F26155" w:rsidP="00F26155">
            <w:pPr>
              <w:jc w:val="right"/>
            </w:pPr>
            <w:r>
              <w:t>$63,035</w:t>
            </w:r>
          </w:p>
        </w:tc>
      </w:tr>
      <w:tr w:rsidR="001F72FF" w14:paraId="79C3F40F" w14:textId="77777777" w:rsidTr="00377467">
        <w:trPr>
          <w:jc w:val="center"/>
        </w:trPr>
        <w:tc>
          <w:tcPr>
            <w:tcW w:w="3910" w:type="pct"/>
          </w:tcPr>
          <w:p w14:paraId="67284A1E" w14:textId="77777777" w:rsidR="001F72FF" w:rsidRDefault="00F26155" w:rsidP="001F72FF">
            <w:r>
              <w:t>Jurisdictional Separation Factor</w:t>
            </w:r>
          </w:p>
        </w:tc>
        <w:tc>
          <w:tcPr>
            <w:tcW w:w="1090" w:type="pct"/>
          </w:tcPr>
          <w:p w14:paraId="0FB04E99" w14:textId="77777777" w:rsidR="001F72FF" w:rsidRPr="005D5209" w:rsidRDefault="00F26155" w:rsidP="00F26155">
            <w:pPr>
              <w:jc w:val="right"/>
              <w:rPr>
                <w:u w:val="single"/>
              </w:rPr>
            </w:pPr>
            <w:r w:rsidRPr="005D5209">
              <w:rPr>
                <w:u w:val="single"/>
              </w:rPr>
              <w:t>88.94%</w:t>
            </w:r>
          </w:p>
        </w:tc>
      </w:tr>
      <w:tr w:rsidR="001F72FF" w14:paraId="217AFE9A" w14:textId="77777777" w:rsidTr="00377467">
        <w:trPr>
          <w:jc w:val="center"/>
        </w:trPr>
        <w:tc>
          <w:tcPr>
            <w:tcW w:w="3910" w:type="pct"/>
          </w:tcPr>
          <w:p w14:paraId="6D76D14B" w14:textId="77777777" w:rsidR="001F72FF" w:rsidRDefault="00F26155" w:rsidP="001F72FF">
            <w:r>
              <w:t>Retail Reduced Tax Credit</w:t>
            </w:r>
          </w:p>
        </w:tc>
        <w:tc>
          <w:tcPr>
            <w:tcW w:w="1090" w:type="pct"/>
          </w:tcPr>
          <w:p w14:paraId="02480F2E" w14:textId="77777777" w:rsidR="001F72FF" w:rsidRDefault="00F26155" w:rsidP="00F26155">
            <w:pPr>
              <w:jc w:val="right"/>
            </w:pPr>
            <w:r>
              <w:t>$56,066</w:t>
            </w:r>
          </w:p>
        </w:tc>
      </w:tr>
      <w:tr w:rsidR="001F72FF" w14:paraId="703FC9C4" w14:textId="77777777" w:rsidTr="00377467">
        <w:trPr>
          <w:jc w:val="center"/>
        </w:trPr>
        <w:tc>
          <w:tcPr>
            <w:tcW w:w="3910" w:type="pct"/>
          </w:tcPr>
          <w:p w14:paraId="068617D8" w14:textId="77777777" w:rsidR="001F72FF" w:rsidRDefault="00F26155" w:rsidP="001F72FF">
            <w:r>
              <w:t>Net Operating Income Multiplier</w:t>
            </w:r>
          </w:p>
        </w:tc>
        <w:tc>
          <w:tcPr>
            <w:tcW w:w="1090" w:type="pct"/>
          </w:tcPr>
          <w:p w14:paraId="614D5EEE" w14:textId="77777777" w:rsidR="001F72FF" w:rsidRPr="00DC0098" w:rsidRDefault="00F26155" w:rsidP="00F26155">
            <w:pPr>
              <w:jc w:val="right"/>
              <w:rPr>
                <w:u w:val="single"/>
              </w:rPr>
            </w:pPr>
            <w:r w:rsidRPr="00DC0098">
              <w:rPr>
                <w:u w:val="single"/>
              </w:rPr>
              <w:t>1.343</w:t>
            </w:r>
          </w:p>
        </w:tc>
      </w:tr>
      <w:tr w:rsidR="001F72FF" w14:paraId="27280C02" w14:textId="77777777" w:rsidTr="00377467">
        <w:trPr>
          <w:jc w:val="center"/>
        </w:trPr>
        <w:tc>
          <w:tcPr>
            <w:tcW w:w="3910" w:type="pct"/>
          </w:tcPr>
          <w:p w14:paraId="5A2C6754" w14:textId="77777777" w:rsidR="001F72FF" w:rsidRDefault="00F26155" w:rsidP="001F72FF">
            <w:r>
              <w:t xml:space="preserve">Increase in </w:t>
            </w:r>
            <w:r w:rsidR="004E1D87">
              <w:t xml:space="preserve">2025 </w:t>
            </w:r>
            <w:r>
              <w:t>Revenue Requirements*</w:t>
            </w:r>
          </w:p>
        </w:tc>
        <w:tc>
          <w:tcPr>
            <w:tcW w:w="1090" w:type="pct"/>
          </w:tcPr>
          <w:p w14:paraId="7484D68E" w14:textId="77777777" w:rsidR="001F72FF" w:rsidRDefault="00F26155" w:rsidP="00F26155">
            <w:pPr>
              <w:jc w:val="right"/>
            </w:pPr>
            <w:r>
              <w:t>$75,297</w:t>
            </w:r>
          </w:p>
        </w:tc>
      </w:tr>
    </w:tbl>
    <w:p w14:paraId="46617D78" w14:textId="77777777" w:rsidR="001F72FF" w:rsidRDefault="001F72FF" w:rsidP="0037003B">
      <w:pPr>
        <w:pStyle w:val="TableSource"/>
        <w:spacing w:after="0"/>
      </w:pPr>
      <w:r>
        <w:t xml:space="preserve">Source: </w:t>
      </w:r>
      <w:r w:rsidR="00F26155">
        <w:t>Documen</w:t>
      </w:r>
      <w:r w:rsidR="0037003B">
        <w:t>t No. 07149-2026, Attachment 1.</w:t>
      </w:r>
    </w:p>
    <w:p w14:paraId="25174F25" w14:textId="77777777" w:rsidR="0037003B" w:rsidRDefault="00E26550" w:rsidP="0037003B">
      <w:pPr>
        <w:pStyle w:val="BodyText"/>
        <w:spacing w:after="0"/>
      </w:pPr>
      <w:r>
        <w:t>*May not sum</w:t>
      </w:r>
      <w:r w:rsidR="0037003B">
        <w:t xml:space="preserve"> due to rounding</w:t>
      </w:r>
      <w:r w:rsidR="004B31F7">
        <w:t>.</w:t>
      </w:r>
    </w:p>
    <w:p w14:paraId="0A43FD29" w14:textId="77777777" w:rsidR="00711EDF" w:rsidRPr="0037003B" w:rsidRDefault="00711EDF" w:rsidP="0037003B">
      <w:pPr>
        <w:pStyle w:val="BodyText"/>
        <w:spacing w:after="0"/>
      </w:pPr>
    </w:p>
    <w:p w14:paraId="6D53C2A4" w14:textId="3B93683B" w:rsidR="005C404A" w:rsidRDefault="001771F9" w:rsidP="00E26550">
      <w:pPr>
        <w:pStyle w:val="BodyText"/>
      </w:pPr>
      <w:r>
        <w:lastRenderedPageBreak/>
        <w:t>The net base rate revenue requirement for the 2025 tax year is a decrease of $2,788 (</w:t>
      </w:r>
      <w:r w:rsidR="000C3ADF">
        <w:t xml:space="preserve">$78,085 - </w:t>
      </w:r>
      <w:r>
        <w:t>$75,297)</w:t>
      </w:r>
      <w:r w:rsidR="000C3ADF">
        <w:t>.</w:t>
      </w:r>
      <w:r w:rsidR="005C404A">
        <w:t xml:space="preserve"> In its response to staff</w:t>
      </w:r>
      <w:r w:rsidR="00585F32">
        <w:t>’</w:t>
      </w:r>
      <w:r w:rsidR="005C404A">
        <w:t xml:space="preserve">s first data request, DEF stated that it does not agree that the </w:t>
      </w:r>
      <w:r w:rsidR="00623438">
        <w:t>net decrease of $2,788</w:t>
      </w:r>
      <w:r w:rsidR="005C404A">
        <w:t xml:space="preserve"> should be netted </w:t>
      </w:r>
      <w:r w:rsidR="00623438">
        <w:t xml:space="preserve">against the requested increase of $338,970 for the 2026 tax year </w:t>
      </w:r>
      <w:r w:rsidR="005C404A">
        <w:t>as each adjustment is associated with a different effective year and is evaluated independently. In support of its position DEF provided the following explanation:</w:t>
      </w:r>
    </w:p>
    <w:p w14:paraId="415F08FC" w14:textId="77777777" w:rsidR="005C404A" w:rsidRDefault="00713826" w:rsidP="005D5209">
      <w:pPr>
        <w:pStyle w:val="BodyText"/>
        <w:ind w:left="720" w:right="720"/>
      </w:pPr>
      <w:r>
        <w:t xml:space="preserve">The </w:t>
      </w:r>
      <w:r w:rsidR="00D0564B">
        <w:t xml:space="preserve">language in Paragraph 19(b) of the 2024 Settlement Agreement specifies that each adjustment is considered according to its effective year. Specifically, Paragraph 19(b) provides, in relevant part, that “If Tax Reform is enacted during the Term, DEF will quantify the impact of the Tax Reform on its Florida Jurisdictional base revenue requirement as projected in DEF’s forecasted earnings surveillance report for the calendar year that includes the period in which Tax Reform is effective.” </w:t>
      </w:r>
    </w:p>
    <w:p w14:paraId="75E88BAD" w14:textId="77777777" w:rsidR="00D0564B" w:rsidRDefault="00D0564B" w:rsidP="005D5209">
      <w:pPr>
        <w:pStyle w:val="BodyText"/>
        <w:ind w:left="720" w:right="720"/>
      </w:pPr>
      <w:r>
        <w:t xml:space="preserve">The $2,788 decrease shown on line 23 reflects the net impact of tax provisions that take effect in 2025. This decrease is too insignificant to have an impact on customer rates and, as a result, did not warrant a rate adjustment for that year. </w:t>
      </w:r>
    </w:p>
    <w:p w14:paraId="75436DC5" w14:textId="77777777" w:rsidR="00D0564B" w:rsidRDefault="00D0564B" w:rsidP="005D5209">
      <w:pPr>
        <w:pStyle w:val="BodyText"/>
        <w:ind w:left="720" w:right="720"/>
      </w:pPr>
      <w:r>
        <w:t>In contrast, the $338,970 increase on line 35 pertains to a separate provision that becomes effective in 2026. This increase is substantial enough to require a 2026 rate adjustment.</w:t>
      </w:r>
    </w:p>
    <w:p w14:paraId="36D71D92" w14:textId="77777777" w:rsidR="001F72FF" w:rsidRDefault="000C3ADF" w:rsidP="00E26550">
      <w:pPr>
        <w:pStyle w:val="BodyText"/>
      </w:pPr>
      <w:r>
        <w:t>DEF explained that for the 2025 tax year, the $2,788 net decrease does not have a measurable impact on customer rates and does not warrant a base rate adjustment for 2025.</w:t>
      </w:r>
      <w:r>
        <w:rPr>
          <w:rStyle w:val="FootnoteReference"/>
        </w:rPr>
        <w:footnoteReference w:id="5"/>
      </w:r>
    </w:p>
    <w:p w14:paraId="75963F61" w14:textId="77777777" w:rsidR="000C3ADF" w:rsidRDefault="000C3ADF" w:rsidP="00C4436C">
      <w:pPr>
        <w:pStyle w:val="Second-LevelSubheading"/>
        <w:ind w:left="0"/>
        <w:rPr>
          <w:b w:val="0"/>
        </w:rPr>
      </w:pPr>
      <w:r>
        <w:t>Elimination of Meal Expenses</w:t>
      </w:r>
    </w:p>
    <w:p w14:paraId="200A682C" w14:textId="668861F2" w:rsidR="000C3ADF" w:rsidRDefault="000C3ADF" w:rsidP="000C3ADF">
      <w:pPr>
        <w:pStyle w:val="BodyText"/>
      </w:pPr>
      <w:r>
        <w:t>Prior to the OBB</w:t>
      </w:r>
      <w:r w:rsidR="00585F32">
        <w:t>B</w:t>
      </w:r>
      <w:r>
        <w:t>A, IRC Section 162, defined eligible meal expenses as meals that are “ordinary and necessary” for carrying on a trade or business and were subject to a 50 percent deduction (i.e., only half of the total meal expense amount was deductible).</w:t>
      </w:r>
      <w:r w:rsidR="00103353">
        <w:rPr>
          <w:rStyle w:val="FootnoteReference"/>
        </w:rPr>
        <w:footnoteReference w:id="6"/>
      </w:r>
      <w:r w:rsidR="00103353">
        <w:t xml:space="preserve"> The OBBBA modified IRC Section 274(o) to eliminate the income tax deduction for employer-</w:t>
      </w:r>
      <w:r w:rsidR="00623438">
        <w:t>provided</w:t>
      </w:r>
      <w:r w:rsidR="00103353">
        <w:t xml:space="preserve"> meals as defined in IRC Section 162 for tax years beginning after December 31, 2025.</w:t>
      </w:r>
    </w:p>
    <w:p w14:paraId="4A4B243E" w14:textId="77777777" w:rsidR="00103353" w:rsidRDefault="001F7295" w:rsidP="000C3ADF">
      <w:pPr>
        <w:pStyle w:val="BodyText"/>
      </w:pPr>
      <w:r>
        <w:t>DEF</w:t>
      </w:r>
      <w:r w:rsidR="00C4436C">
        <w:t xml:space="preserve"> estimated the amount of the eligible meal expense in 2026 affected by the change of IRC 274(o) is $1.17 million. </w:t>
      </w:r>
      <w:r w:rsidR="00103353">
        <w:t xml:space="preserve">The $1.17 million </w:t>
      </w:r>
      <w:r w:rsidR="00C4436C">
        <w:t>amount</w:t>
      </w:r>
      <w:r w:rsidR="00103353">
        <w:t xml:space="preserve"> represents 50 percent of the actual amount DEF forecasted to spend </w:t>
      </w:r>
      <w:r w:rsidR="00C4436C">
        <w:t xml:space="preserve">on </w:t>
      </w:r>
      <w:r w:rsidR="00103353">
        <w:t>meals included in total O&amp;M expense in its 2026 Forecasted Earnings Surveillance Report.</w:t>
      </w:r>
      <w:r w:rsidR="00C4436C" w:rsidRPr="00C4436C">
        <w:t xml:space="preserve"> </w:t>
      </w:r>
      <w:r w:rsidR="00C4436C">
        <w:t>DEF explained the types of meal expenses included in the $1.17 million are associated with employee travel, external conferences and meetings, company sponsored events</w:t>
      </w:r>
      <w:r w:rsidR="007A641F">
        <w:t>, and storm and power outage restoration activities due to thunderstorms or other outage events not associated with named storms.</w:t>
      </w:r>
      <w:r w:rsidR="007A641F">
        <w:rPr>
          <w:rStyle w:val="FootnoteReference"/>
        </w:rPr>
        <w:footnoteReference w:id="7"/>
      </w:r>
    </w:p>
    <w:p w14:paraId="3FBA4A92" w14:textId="77777777" w:rsidR="00AA2A28" w:rsidRDefault="00AA2A28" w:rsidP="000C3ADF">
      <w:pPr>
        <w:pStyle w:val="BodyText"/>
      </w:pPr>
      <w:r>
        <w:t xml:space="preserve">The reduced </w:t>
      </w:r>
      <w:r w:rsidR="0060227B">
        <w:t xml:space="preserve">income </w:t>
      </w:r>
      <w:r>
        <w:t xml:space="preserve">tax deduction increased DEF’s 2026 income tax expense by $296,537, which equates to a revenue </w:t>
      </w:r>
      <w:r w:rsidR="00C4436C">
        <w:t xml:space="preserve">requirement </w:t>
      </w:r>
      <w:r>
        <w:t xml:space="preserve">increase of $338,970 </w:t>
      </w:r>
      <w:r w:rsidR="00C4436C">
        <w:t>for 2026</w:t>
      </w:r>
      <w:r>
        <w:t xml:space="preserve">. </w:t>
      </w:r>
      <w:r w:rsidR="0060227B">
        <w:t>DEF’s calculation</w:t>
      </w:r>
      <w:r>
        <w:t xml:space="preserve"> is sum</w:t>
      </w:r>
      <w:r w:rsidR="0060227B">
        <w:t>marized in T</w:t>
      </w:r>
      <w:r>
        <w:t>able 1-3.</w:t>
      </w:r>
    </w:p>
    <w:p w14:paraId="68CB9A07" w14:textId="157CA534" w:rsidR="00AA2A28" w:rsidRDefault="00364392" w:rsidP="00C4436C">
      <w:pPr>
        <w:pStyle w:val="TableNumber"/>
        <w:keepNext/>
      </w:pPr>
      <w:r>
        <w:lastRenderedPageBreak/>
        <w:t xml:space="preserve">Table </w:t>
      </w:r>
      <w:fldSimple w:instr=" SEQ Issue \c ">
        <w:r w:rsidR="00E12BA8">
          <w:rPr>
            <w:noProof/>
          </w:rPr>
          <w:t>1</w:t>
        </w:r>
      </w:fldSimple>
      <w:r>
        <w:t>-3</w:t>
      </w:r>
    </w:p>
    <w:p w14:paraId="65E0FA53" w14:textId="268F2E05" w:rsidR="00364392" w:rsidRDefault="00364392" w:rsidP="00364392">
      <w:pPr>
        <w:pStyle w:val="TableTitle"/>
        <w:keepNext/>
      </w:pPr>
      <w:r>
        <w:t>Elimination of Meals Deduction</w:t>
      </w:r>
      <w:r w:rsidR="00377467">
        <w:t xml:space="preserve"> (</w:t>
      </w:r>
      <w:r w:rsidR="005964FD">
        <w:t xml:space="preserve">2026 </w:t>
      </w:r>
      <w:r w:rsidR="00377467">
        <w:t>Tax Year)</w:t>
      </w:r>
    </w:p>
    <w:tbl>
      <w:tblPr>
        <w:tblStyle w:val="TableGrid"/>
        <w:tblW w:w="5000" w:type="pct"/>
        <w:tblLook w:val="04A0" w:firstRow="1" w:lastRow="0" w:firstColumn="1" w:lastColumn="0" w:noHBand="0" w:noVBand="1"/>
      </w:tblPr>
      <w:tblGrid>
        <w:gridCol w:w="7488"/>
        <w:gridCol w:w="2088"/>
      </w:tblGrid>
      <w:tr w:rsidR="00364392" w14:paraId="436DF15F" w14:textId="77777777" w:rsidTr="00377467">
        <w:tc>
          <w:tcPr>
            <w:tcW w:w="3910" w:type="pct"/>
          </w:tcPr>
          <w:p w14:paraId="02F01EB1" w14:textId="77777777" w:rsidR="00364392" w:rsidRDefault="009306F3" w:rsidP="00364392">
            <w:r>
              <w:t>Meals deduction (50 percent of actual)</w:t>
            </w:r>
          </w:p>
        </w:tc>
        <w:tc>
          <w:tcPr>
            <w:tcW w:w="1090" w:type="pct"/>
          </w:tcPr>
          <w:p w14:paraId="50D62C4A" w14:textId="77777777" w:rsidR="00364392" w:rsidRDefault="00052F93" w:rsidP="00052F93">
            <w:pPr>
              <w:jc w:val="right"/>
            </w:pPr>
            <w:r>
              <w:t>$1,170,000</w:t>
            </w:r>
          </w:p>
        </w:tc>
      </w:tr>
      <w:tr w:rsidR="00364392" w14:paraId="5BAACC5E" w14:textId="77777777" w:rsidTr="00377467">
        <w:tc>
          <w:tcPr>
            <w:tcW w:w="3910" w:type="pct"/>
          </w:tcPr>
          <w:p w14:paraId="6BD195DC" w14:textId="77777777" w:rsidR="00364392" w:rsidRDefault="009306F3" w:rsidP="00364392">
            <w:r>
              <w:t>Statutory Federal &amp; State Tax Rate</w:t>
            </w:r>
          </w:p>
        </w:tc>
        <w:tc>
          <w:tcPr>
            <w:tcW w:w="1090" w:type="pct"/>
          </w:tcPr>
          <w:p w14:paraId="626F1CA5" w14:textId="77777777" w:rsidR="00364392" w:rsidRPr="005D5209" w:rsidRDefault="00052F93" w:rsidP="00052F93">
            <w:pPr>
              <w:jc w:val="right"/>
              <w:rPr>
                <w:u w:val="single"/>
              </w:rPr>
            </w:pPr>
            <w:r w:rsidRPr="005D5209">
              <w:rPr>
                <w:u w:val="single"/>
              </w:rPr>
              <w:t>25.345%</w:t>
            </w:r>
          </w:p>
        </w:tc>
      </w:tr>
      <w:tr w:rsidR="00364392" w14:paraId="2243DC93" w14:textId="77777777" w:rsidTr="00377467">
        <w:tc>
          <w:tcPr>
            <w:tcW w:w="3910" w:type="pct"/>
          </w:tcPr>
          <w:p w14:paraId="426F179A" w14:textId="77777777" w:rsidR="00364392" w:rsidRDefault="0037003B" w:rsidP="00364392">
            <w:r>
              <w:t>Retail Meals Deduction</w:t>
            </w:r>
          </w:p>
        </w:tc>
        <w:tc>
          <w:tcPr>
            <w:tcW w:w="1090" w:type="pct"/>
          </w:tcPr>
          <w:p w14:paraId="3AE9468A" w14:textId="77777777" w:rsidR="00364392" w:rsidRDefault="00052F93" w:rsidP="00052F93">
            <w:pPr>
              <w:jc w:val="right"/>
            </w:pPr>
            <w:r>
              <w:t>$296,537</w:t>
            </w:r>
          </w:p>
        </w:tc>
      </w:tr>
      <w:tr w:rsidR="00364392" w14:paraId="23D85CBA" w14:textId="77777777" w:rsidTr="00377467">
        <w:tc>
          <w:tcPr>
            <w:tcW w:w="3910" w:type="pct"/>
          </w:tcPr>
          <w:p w14:paraId="2071AEF9" w14:textId="77777777" w:rsidR="00364392" w:rsidRDefault="0037003B" w:rsidP="00364392">
            <w:r>
              <w:t>Jurisdictional Separation Factor</w:t>
            </w:r>
          </w:p>
        </w:tc>
        <w:tc>
          <w:tcPr>
            <w:tcW w:w="1090" w:type="pct"/>
          </w:tcPr>
          <w:p w14:paraId="44524971" w14:textId="77777777" w:rsidR="00364392" w:rsidRPr="005D5209" w:rsidRDefault="00052F93" w:rsidP="00052F93">
            <w:pPr>
              <w:jc w:val="right"/>
              <w:rPr>
                <w:u w:val="single"/>
              </w:rPr>
            </w:pPr>
            <w:r w:rsidRPr="005D5209">
              <w:rPr>
                <w:u w:val="single"/>
              </w:rPr>
              <w:t>85.12%</w:t>
            </w:r>
          </w:p>
        </w:tc>
      </w:tr>
      <w:tr w:rsidR="00364392" w14:paraId="7632E933" w14:textId="77777777" w:rsidTr="00377467">
        <w:tc>
          <w:tcPr>
            <w:tcW w:w="3910" w:type="pct"/>
          </w:tcPr>
          <w:p w14:paraId="3E6A1BE5" w14:textId="77777777" w:rsidR="00364392" w:rsidRDefault="0037003B" w:rsidP="00364392">
            <w:r>
              <w:t>Income Tax Impact</w:t>
            </w:r>
          </w:p>
        </w:tc>
        <w:tc>
          <w:tcPr>
            <w:tcW w:w="1090" w:type="pct"/>
          </w:tcPr>
          <w:p w14:paraId="07BCEF3F" w14:textId="77777777" w:rsidR="00364392" w:rsidRDefault="00052F93" w:rsidP="00052F93">
            <w:pPr>
              <w:jc w:val="right"/>
            </w:pPr>
            <w:r>
              <w:t>$252,398</w:t>
            </w:r>
          </w:p>
        </w:tc>
      </w:tr>
      <w:tr w:rsidR="00364392" w14:paraId="44BF61F7" w14:textId="77777777" w:rsidTr="00377467">
        <w:tc>
          <w:tcPr>
            <w:tcW w:w="3910" w:type="pct"/>
          </w:tcPr>
          <w:p w14:paraId="1A2934E7" w14:textId="77777777" w:rsidR="00364392" w:rsidRDefault="0037003B" w:rsidP="00364392">
            <w:r>
              <w:t>Net Operating Income Multiplier</w:t>
            </w:r>
          </w:p>
        </w:tc>
        <w:tc>
          <w:tcPr>
            <w:tcW w:w="1090" w:type="pct"/>
          </w:tcPr>
          <w:p w14:paraId="39DF40A2" w14:textId="77777777" w:rsidR="00364392" w:rsidRPr="00DC0098" w:rsidRDefault="00052F93" w:rsidP="00052F93">
            <w:pPr>
              <w:jc w:val="right"/>
              <w:rPr>
                <w:u w:val="single"/>
              </w:rPr>
            </w:pPr>
            <w:r w:rsidRPr="00DC0098">
              <w:rPr>
                <w:u w:val="single"/>
              </w:rPr>
              <w:t>1.343</w:t>
            </w:r>
          </w:p>
        </w:tc>
      </w:tr>
      <w:tr w:rsidR="00364392" w14:paraId="6768BAA7" w14:textId="77777777" w:rsidTr="00377467">
        <w:tc>
          <w:tcPr>
            <w:tcW w:w="3910" w:type="pct"/>
          </w:tcPr>
          <w:p w14:paraId="7D1E15C5" w14:textId="77777777" w:rsidR="00364392" w:rsidRDefault="0037003B" w:rsidP="00364392">
            <w:r>
              <w:t xml:space="preserve">Increase in </w:t>
            </w:r>
            <w:r w:rsidR="00D10863">
              <w:t xml:space="preserve">2026 </w:t>
            </w:r>
            <w:r>
              <w:t>Revenue Requirements*</w:t>
            </w:r>
          </w:p>
        </w:tc>
        <w:tc>
          <w:tcPr>
            <w:tcW w:w="1090" w:type="pct"/>
          </w:tcPr>
          <w:p w14:paraId="06362CFE" w14:textId="77777777" w:rsidR="00364392" w:rsidRDefault="00052F93" w:rsidP="00052F93">
            <w:pPr>
              <w:jc w:val="right"/>
            </w:pPr>
            <w:r>
              <w:t>$338,970</w:t>
            </w:r>
          </w:p>
        </w:tc>
      </w:tr>
    </w:tbl>
    <w:p w14:paraId="37CD8338" w14:textId="77777777" w:rsidR="0037003B" w:rsidRPr="0037003B" w:rsidRDefault="00364392" w:rsidP="0037003B">
      <w:pPr>
        <w:pStyle w:val="TableSource"/>
        <w:spacing w:after="0"/>
      </w:pPr>
      <w:r>
        <w:t xml:space="preserve">Source: </w:t>
      </w:r>
      <w:r w:rsidR="0037003B">
        <w:t>Document No. 01749-2026, Attachment 1.</w:t>
      </w:r>
    </w:p>
    <w:p w14:paraId="622FBA0F" w14:textId="77777777" w:rsidR="00364392" w:rsidRDefault="00E26550" w:rsidP="0037003B">
      <w:pPr>
        <w:pStyle w:val="BodyText"/>
        <w:spacing w:after="480"/>
        <w:ind w:right="720"/>
      </w:pPr>
      <w:r>
        <w:t>*May not sum</w:t>
      </w:r>
      <w:r w:rsidR="0037003B">
        <w:t xml:space="preserve"> due to rounding</w:t>
      </w:r>
      <w:r w:rsidR="004B31F7">
        <w:t>.</w:t>
      </w:r>
    </w:p>
    <w:p w14:paraId="5C01AC90" w14:textId="77777777" w:rsidR="0037003B" w:rsidRDefault="0037003B" w:rsidP="0060227B">
      <w:pPr>
        <w:pStyle w:val="BodyText"/>
        <w:spacing w:after="0"/>
      </w:pPr>
      <w:r>
        <w:t xml:space="preserve">Based on the analysis </w:t>
      </w:r>
      <w:r w:rsidR="00052F93">
        <w:t>above, staff believes DEF’s calculations of the base rate revenue impact resulting from the OBBBA are consistent with the IRC and the 2024 Settlement, and therefore, should be approved</w:t>
      </w:r>
      <w:r w:rsidR="004F23E1">
        <w:t>.</w:t>
      </w:r>
    </w:p>
    <w:p w14:paraId="4745E55B" w14:textId="5271E1D9" w:rsidR="002E42F4" w:rsidRDefault="002E42F4">
      <w:pPr>
        <w:pStyle w:val="IssueHeading"/>
        <w:rPr>
          <w:vanish/>
          <w:specVanish/>
        </w:rPr>
      </w:pPr>
      <w:r w:rsidRPr="004C3641">
        <w:rPr>
          <w:b w:val="0"/>
          <w:i w:val="0"/>
        </w:rPr>
        <w:br w:type="page"/>
      </w:r>
      <w:r w:rsidRPr="004C3641">
        <w:lastRenderedPageBreak/>
        <w:t xml:space="preserve">Issue </w:t>
      </w:r>
      <w:fldSimple w:instr=" SEQ Issue \* MERGEFORMAT ">
        <w:r w:rsidR="00E12BA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12BA8">
        <w:rPr>
          <w:noProof/>
        </w:rPr>
        <w:instrText>2</w:instrText>
      </w:r>
      <w:r>
        <w:fldChar w:fldCharType="end"/>
      </w:r>
      <w:r>
        <w:tab/>
        <w:instrText xml:space="preserve">(Souchik)" \l 1 </w:instrText>
      </w:r>
      <w:r>
        <w:fldChar w:fldCharType="end"/>
      </w:r>
      <w:r>
        <w:t> </w:t>
      </w:r>
    </w:p>
    <w:p w14:paraId="5F7CB41D" w14:textId="77777777" w:rsidR="002E42F4" w:rsidRDefault="002E42F4">
      <w:pPr>
        <w:pStyle w:val="BodyText"/>
      </w:pPr>
      <w:r>
        <w:t> Should the Commission approve DEF</w:t>
      </w:r>
      <w:r w:rsidR="00675EA7">
        <w:t>’</w:t>
      </w:r>
      <w:r w:rsidRPr="00052F93">
        <w:t>s</w:t>
      </w:r>
      <w:r>
        <w:t xml:space="preserve"> request to combine the tax reform base rate adjustment with the Bailey Mill Solar Base Rate Adjustment effective September </w:t>
      </w:r>
      <w:r w:rsidR="00FC7328">
        <w:t xml:space="preserve">1, </w:t>
      </w:r>
      <w:r>
        <w:t>2026?</w:t>
      </w:r>
    </w:p>
    <w:p w14:paraId="4E16B77E" w14:textId="77777777" w:rsidR="002E42F4" w:rsidRPr="004C3641" w:rsidRDefault="002E42F4">
      <w:pPr>
        <w:pStyle w:val="IssueSubsectionHeading"/>
        <w:rPr>
          <w:vanish/>
          <w:specVanish/>
        </w:rPr>
      </w:pPr>
      <w:r w:rsidRPr="004C3641">
        <w:t>Recommendation: </w:t>
      </w:r>
    </w:p>
    <w:p w14:paraId="588A3962" w14:textId="77777777" w:rsidR="002E42F4" w:rsidRDefault="002E42F4">
      <w:pPr>
        <w:pStyle w:val="BodyText"/>
      </w:pPr>
      <w:r>
        <w:t> </w:t>
      </w:r>
      <w:r w:rsidR="00052F93">
        <w:t xml:space="preserve">Yes. In this proceeding the Commission should approve DEF’s request to combine the tax reform base rate adjustment with the Bailey Mill Solar Base Rate Adjustment effective September </w:t>
      </w:r>
      <w:r w:rsidR="00FC7328">
        <w:t xml:space="preserve">1, </w:t>
      </w:r>
      <w:r w:rsidR="00052F93">
        <w:t>2026.</w:t>
      </w:r>
      <w:r>
        <w:t xml:space="preserve"> (Souchik</w:t>
      </w:r>
      <w:r w:rsidR="00700C54">
        <w:t>, P. Kelly</w:t>
      </w:r>
      <w:r>
        <w:t>)</w:t>
      </w:r>
    </w:p>
    <w:p w14:paraId="49C851EC" w14:textId="77777777" w:rsidR="002E42F4" w:rsidRPr="004C3641" w:rsidRDefault="002E42F4">
      <w:pPr>
        <w:pStyle w:val="IssueSubsectionHeading"/>
        <w:rPr>
          <w:vanish/>
          <w:specVanish/>
        </w:rPr>
      </w:pPr>
      <w:r w:rsidRPr="004C3641">
        <w:t>Staff Analysis: </w:t>
      </w:r>
    </w:p>
    <w:p w14:paraId="24FBA51A" w14:textId="1F82234C" w:rsidR="001E3E09" w:rsidRDefault="002E42F4">
      <w:pPr>
        <w:pStyle w:val="BodyText"/>
      </w:pPr>
      <w:r>
        <w:t> </w:t>
      </w:r>
      <w:r w:rsidR="00052F93">
        <w:t>DEF proposed to combine the tax reform adjustment of $338,970</w:t>
      </w:r>
      <w:r w:rsidR="00D10863">
        <w:t xml:space="preserve"> for the 2026 tax year</w:t>
      </w:r>
      <w:r w:rsidR="00052F93">
        <w:t xml:space="preserve"> with the upcoming Bailey Mill </w:t>
      </w:r>
      <w:r w:rsidR="00585F32">
        <w:t>Solar Base Rate Adjustment (</w:t>
      </w:r>
      <w:r w:rsidR="00052F93">
        <w:t>SoBRA</w:t>
      </w:r>
      <w:r w:rsidR="00585F32">
        <w:t>)</w:t>
      </w:r>
      <w:r w:rsidR="00052F93">
        <w:t>.</w:t>
      </w:r>
      <w:r w:rsidR="006A7019">
        <w:t xml:space="preserve"> The Bailey Mill SoBRA has been approved by Order No. PSC-2025-0212-PAA-EI.</w:t>
      </w:r>
      <w:r w:rsidR="006A7019">
        <w:rPr>
          <w:rStyle w:val="FootnoteReference"/>
        </w:rPr>
        <w:footnoteReference w:id="8"/>
      </w:r>
      <w:r w:rsidR="00052F93">
        <w:t xml:space="preserve"> The Bailey Mill solar project is expected to be operational in August 2026 and the SoBRA would be effective in September 2026. DEF stated </w:t>
      </w:r>
      <w:r w:rsidR="005D5209">
        <w:t xml:space="preserve">that </w:t>
      </w:r>
      <w:r w:rsidR="00052F93">
        <w:t xml:space="preserve">it will file the applicable rate adjustments and tariff sheets, itemizing both the Bailey Mill </w:t>
      </w:r>
      <w:r w:rsidR="00D10863">
        <w:t xml:space="preserve">SoBRA </w:t>
      </w:r>
      <w:r w:rsidR="00052F93">
        <w:t>and tax reform</w:t>
      </w:r>
      <w:r w:rsidR="00D10863">
        <w:t xml:space="preserve"> adjustment</w:t>
      </w:r>
      <w:r w:rsidR="00052F93">
        <w:t xml:space="preserve"> </w:t>
      </w:r>
      <w:r w:rsidR="008B679C">
        <w:t>components</w:t>
      </w:r>
      <w:r w:rsidR="00052F93">
        <w:t xml:space="preserve">, approximately two months in advance of the effective date. As DEF stated in its petition, the base rate increase associated with </w:t>
      </w:r>
      <w:r w:rsidR="008B679C">
        <w:t>tax reform is immaterial and proposed to combine the tax reform base rate increase with the Bailey Mill SoBRA</w:t>
      </w:r>
      <w:r w:rsidR="00585F32" w:rsidRPr="00585F32">
        <w:t xml:space="preserve"> </w:t>
      </w:r>
      <w:r w:rsidR="00585F32">
        <w:t>for administrative efficiency</w:t>
      </w:r>
      <w:r w:rsidR="008B679C">
        <w:t>.</w:t>
      </w:r>
    </w:p>
    <w:p w14:paraId="64F98C2B" w14:textId="6BBDA666" w:rsidR="001E3E09" w:rsidRDefault="006A7019" w:rsidP="001E3E09">
      <w:pPr>
        <w:jc w:val="both"/>
      </w:pPr>
      <w:r>
        <w:t xml:space="preserve">In its response to staff’s second data request, DEF stated that it will notify customers of the rate changes effective September 2026 through bill inserts. DEF </w:t>
      </w:r>
      <w:r w:rsidR="00646AF6">
        <w:t>calculated</w:t>
      </w:r>
      <w:r>
        <w:t xml:space="preserve"> the estimated monthly bill impact of the tax reform base rate increase on a 1,000 kilowatt-hour residential bill to be $</w:t>
      </w:r>
      <w:r w:rsidR="001E3E09">
        <w:t>0</w:t>
      </w:r>
      <w:r>
        <w:t>.01.</w:t>
      </w:r>
      <w:r w:rsidR="00E63647">
        <w:rPr>
          <w:rStyle w:val="FootnoteReference"/>
        </w:rPr>
        <w:footnoteReference w:id="9"/>
      </w:r>
    </w:p>
    <w:p w14:paraId="54833087" w14:textId="77777777" w:rsidR="001E3E09" w:rsidRPr="00585F32" w:rsidRDefault="001E3E09" w:rsidP="001E3E09">
      <w:pPr>
        <w:jc w:val="both"/>
      </w:pPr>
    </w:p>
    <w:p w14:paraId="47E97BE4" w14:textId="32351518" w:rsidR="007564D5" w:rsidRPr="00585F32" w:rsidRDefault="001E3E09" w:rsidP="001E3E09">
      <w:pPr>
        <w:jc w:val="both"/>
      </w:pPr>
      <w:r w:rsidRPr="00585F32">
        <w:t>A</w:t>
      </w:r>
      <w:r w:rsidR="007564D5" w:rsidRPr="00585F32">
        <w:t xml:space="preserve">s proposed by DEF, staff will review the tariff filing for the tax reform base rate adjustment at the time of the tariff filing for the Bailey Mill SoBRA. Given the relatively small tax change amount in the context of DEF’s overall revenue requirement, processing this adjustment as a stand-alone base rate adjustment could create unnecessary administrative burden for both </w:t>
      </w:r>
      <w:r w:rsidR="005D5209" w:rsidRPr="00585F32">
        <w:t>DEF</w:t>
      </w:r>
      <w:r w:rsidR="007564D5" w:rsidRPr="00585F32">
        <w:t xml:space="preserve"> and the Commission.</w:t>
      </w:r>
      <w:r w:rsidR="00EC5751" w:rsidRPr="00585F32">
        <w:t xml:space="preserve"> In Order No. PSC-2025-0212-PAA-EI, the Commission granted staff administrative authority to approve tariffs and associated charges for </w:t>
      </w:r>
      <w:r w:rsidR="00585F32">
        <w:t>four of DEF’s solar projects</w:t>
      </w:r>
      <w:r w:rsidR="00EC5751" w:rsidRPr="00585F32">
        <w:t>.</w:t>
      </w:r>
    </w:p>
    <w:p w14:paraId="6342B34A" w14:textId="77777777" w:rsidR="001E3E09" w:rsidRDefault="001E3E09" w:rsidP="001E3E09">
      <w:pPr>
        <w:jc w:val="both"/>
      </w:pPr>
    </w:p>
    <w:p w14:paraId="10E51971" w14:textId="77777777" w:rsidR="007564D5" w:rsidRDefault="007564D5">
      <w:pPr>
        <w:pStyle w:val="BodyText"/>
      </w:pPr>
      <w:r>
        <w:t xml:space="preserve">Therefore, </w:t>
      </w:r>
      <w:r w:rsidR="00D10863">
        <w:t>s</w:t>
      </w:r>
      <w:r>
        <w:t>taff believes the Commission should approve DEF’s request to combine the tax reform base rate adjustment with the Bailey Mill So</w:t>
      </w:r>
      <w:r w:rsidR="00FC7328">
        <w:t>BRA</w:t>
      </w:r>
      <w:r>
        <w:t xml:space="preserve"> effective September</w:t>
      </w:r>
      <w:r w:rsidR="00FC7328">
        <w:t xml:space="preserve"> 1,</w:t>
      </w:r>
      <w:r>
        <w:t xml:space="preserve"> 2026.</w:t>
      </w:r>
    </w:p>
    <w:p w14:paraId="400DCBAF" w14:textId="0C09DC7D" w:rsidR="002E42F4" w:rsidRDefault="002E42F4">
      <w:pPr>
        <w:pStyle w:val="IssueHeading"/>
        <w:rPr>
          <w:vanish/>
          <w:specVanish/>
        </w:rPr>
      </w:pPr>
      <w:r w:rsidRPr="004C3641">
        <w:rPr>
          <w:b w:val="0"/>
          <w:i w:val="0"/>
        </w:rPr>
        <w:br w:type="page"/>
      </w:r>
      <w:r w:rsidRPr="004C3641">
        <w:lastRenderedPageBreak/>
        <w:t xml:space="preserve">Issue </w:t>
      </w:r>
      <w:fldSimple w:instr=" SEQ Issue \* MERGEFORMAT ">
        <w:r w:rsidR="00E12BA8">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12BA8">
        <w:rPr>
          <w:noProof/>
        </w:rPr>
        <w:instrText>3</w:instrText>
      </w:r>
      <w:r>
        <w:fldChar w:fldCharType="end"/>
      </w:r>
      <w:r>
        <w:tab/>
        <w:instrText xml:space="preserve">(Souchik)" \l 1 </w:instrText>
      </w:r>
      <w:r>
        <w:fldChar w:fldCharType="end"/>
      </w:r>
      <w:r>
        <w:t> </w:t>
      </w:r>
    </w:p>
    <w:p w14:paraId="6C4BC4EC" w14:textId="77777777" w:rsidR="002E42F4" w:rsidRDefault="002E42F4">
      <w:pPr>
        <w:pStyle w:val="BodyText"/>
      </w:pPr>
      <w:r>
        <w:t> Should the Commission approve DEF</w:t>
      </w:r>
      <w:r w:rsidR="00675EA7">
        <w:t>’</w:t>
      </w:r>
      <w:r>
        <w:t>s request to include the tax reform base rate adjustment of $225,980 for the period January 1, 2026, through August 31,</w:t>
      </w:r>
      <w:r w:rsidR="009420AB">
        <w:t xml:space="preserve"> </w:t>
      </w:r>
      <w:r>
        <w:t xml:space="preserve">2026, in the Capacity Cost Recovery Clause? </w:t>
      </w:r>
    </w:p>
    <w:p w14:paraId="31CE9576" w14:textId="77777777" w:rsidR="002E42F4" w:rsidRPr="004C3641" w:rsidRDefault="002E42F4">
      <w:pPr>
        <w:pStyle w:val="IssueSubsectionHeading"/>
        <w:rPr>
          <w:vanish/>
          <w:specVanish/>
        </w:rPr>
      </w:pPr>
      <w:r w:rsidRPr="004C3641">
        <w:t>Recommendation: </w:t>
      </w:r>
    </w:p>
    <w:p w14:paraId="5D488FEE" w14:textId="77777777" w:rsidR="002E42F4" w:rsidRDefault="002E42F4">
      <w:pPr>
        <w:pStyle w:val="BodyText"/>
      </w:pPr>
      <w:r>
        <w:t> </w:t>
      </w:r>
      <w:r w:rsidR="00A41641">
        <w:t xml:space="preserve">Yes. The Commission should approve the inclusion of the tax reform base rate adjustment of $225,980 for the period January 1, 2026 through August 31, 2026 in the Capacity Cost Recovery Clause (CCRC). </w:t>
      </w:r>
      <w:r>
        <w:t xml:space="preserve"> (Souchik)</w:t>
      </w:r>
    </w:p>
    <w:p w14:paraId="43C682EA" w14:textId="77777777" w:rsidR="002E42F4" w:rsidRPr="004C3641" w:rsidRDefault="002E42F4">
      <w:pPr>
        <w:pStyle w:val="IssueSubsectionHeading"/>
        <w:rPr>
          <w:vanish/>
          <w:specVanish/>
        </w:rPr>
      </w:pPr>
      <w:r w:rsidRPr="004C3641">
        <w:t>Staff Analysis: </w:t>
      </w:r>
    </w:p>
    <w:p w14:paraId="3199229A" w14:textId="61AD5536" w:rsidR="002E42F4" w:rsidRDefault="002E42F4">
      <w:pPr>
        <w:pStyle w:val="BodyText"/>
      </w:pPr>
      <w:r>
        <w:t> </w:t>
      </w:r>
      <w:r w:rsidR="00A41641">
        <w:t>As discussed in Issue 2, DEF requested to include the annual tax reform base rate adjustment of $338,970 in the Bailey Mill SoBRA beginning</w:t>
      </w:r>
      <w:r w:rsidR="00A54FD9">
        <w:t xml:space="preserve"> September 1, 2026. In addition, DEF requested to include recovery of </w:t>
      </w:r>
      <w:r w:rsidR="00FB1D8E">
        <w:t xml:space="preserve">the </w:t>
      </w:r>
      <w:r w:rsidR="00A54FD9">
        <w:t xml:space="preserve">tax reform base rate revenue requirement impact for the period January 1, 2026, through August 31, 2026, in the CCRC as prescribed by the 2024 Settlement. </w:t>
      </w:r>
      <w:r w:rsidR="001F363C">
        <w:t>The treatment of the base rate revenue requirement impact as a result of tax reform is defined in paragraph 19(b) of the 2024 Settlement, which states:</w:t>
      </w:r>
    </w:p>
    <w:p w14:paraId="5AD12E62" w14:textId="77777777" w:rsidR="001F363C" w:rsidRDefault="001F363C" w:rsidP="001F363C">
      <w:pPr>
        <w:pStyle w:val="BodyText"/>
        <w:ind w:left="720" w:right="720" w:hanging="720"/>
      </w:pPr>
      <w:r>
        <w:tab/>
        <w:t>Any effects of tax reform on retail revenue requirements from the effective date through the date of the base rate adjustment shall be flowed back or collected from customers through the CCRC on the same basis as used in any base rate adjustment.</w:t>
      </w:r>
      <w:r>
        <w:rPr>
          <w:rStyle w:val="FootnoteReference"/>
        </w:rPr>
        <w:footnoteReference w:id="10"/>
      </w:r>
    </w:p>
    <w:p w14:paraId="25ED4789" w14:textId="51205F4F" w:rsidR="001F363C" w:rsidRDefault="00966127" w:rsidP="00FC7328">
      <w:pPr>
        <w:pStyle w:val="BodyText"/>
      </w:pPr>
      <w:r>
        <w:t xml:space="preserve">The effective date of the change in IRC code 174(c) was January 1, 2026, and the proposed </w:t>
      </w:r>
      <w:r w:rsidR="00FB1D8E">
        <w:t xml:space="preserve">implementation </w:t>
      </w:r>
      <w:r>
        <w:t xml:space="preserve">date of the </w:t>
      </w:r>
      <w:r w:rsidR="00FB1D8E">
        <w:t xml:space="preserve">annual </w:t>
      </w:r>
      <w:r>
        <w:t>base rate adjustment</w:t>
      </w:r>
      <w:r w:rsidR="00FB1D8E">
        <w:t xml:space="preserve"> of $338,970 to be collected in the Baily Mill SoBRA</w:t>
      </w:r>
      <w:r>
        <w:t xml:space="preserve"> is September 1, 2026</w:t>
      </w:r>
      <w:r w:rsidR="00FB1D8E">
        <w:t xml:space="preserve">. </w:t>
      </w:r>
      <w:r w:rsidR="0011074E">
        <w:t>Therefor</w:t>
      </w:r>
      <w:r w:rsidR="00793AC5">
        <w:t>e</w:t>
      </w:r>
      <w:r w:rsidR="0011074E">
        <w:t>, f</w:t>
      </w:r>
      <w:r w:rsidR="00FB1D8E">
        <w:t xml:space="preserve">or the first eight months of 2026, </w:t>
      </w:r>
      <w:r w:rsidR="0011074E">
        <w:t>DEF will recover the base rate revenue requirement through the CCRC and not the Baily Mill SoBRA</w:t>
      </w:r>
      <w:r>
        <w:t xml:space="preserve">. </w:t>
      </w:r>
      <w:r w:rsidR="001F363C">
        <w:t>In its response to staff’s first data request,</w:t>
      </w:r>
      <w:r w:rsidR="00FB4474">
        <w:t xml:space="preserve"> DEF explained it would collect $225,980 through the 2026 CCRC, which represents the </w:t>
      </w:r>
      <w:r>
        <w:t xml:space="preserve">tax reform </w:t>
      </w:r>
      <w:r w:rsidR="00FB4474">
        <w:t>base rate revenue requirement impact of the elimination of the meals expense deduction for the period January 1, 2026</w:t>
      </w:r>
      <w:r w:rsidR="00E473E4">
        <w:t>,</w:t>
      </w:r>
      <w:r w:rsidR="00FB4474">
        <w:t xml:space="preserve"> through August 31, 2026</w:t>
      </w:r>
      <w:r w:rsidR="002667C2">
        <w:t>.</w:t>
      </w:r>
      <w:r w:rsidR="00FB4474">
        <w:rPr>
          <w:rStyle w:val="FootnoteReference"/>
        </w:rPr>
        <w:footnoteReference w:id="11"/>
      </w:r>
      <w:r w:rsidR="002667C2">
        <w:t xml:space="preserve"> The amount of $225,980 was calculated by multiplying</w:t>
      </w:r>
      <w:r w:rsidR="00FB4474">
        <w:t xml:space="preserve"> $338,970</w:t>
      </w:r>
      <w:r w:rsidR="002667C2">
        <w:t xml:space="preserve"> by the ratio of 8 of 12 months, or</w:t>
      </w:r>
      <w:r w:rsidR="00992951">
        <w:t xml:space="preserve"> two-thirds</w:t>
      </w:r>
      <w:r w:rsidR="002667C2">
        <w:t xml:space="preserve"> ($338,970</w:t>
      </w:r>
      <w:r w:rsidR="00FC7328">
        <w:t xml:space="preserve"> </w:t>
      </w:r>
      <w:r w:rsidR="002667C2">
        <w:t>x</w:t>
      </w:r>
      <w:r w:rsidR="00FC7328">
        <w:t xml:space="preserve"> </w:t>
      </w:r>
      <w:r w:rsidR="00992951">
        <w:t>2/3</w:t>
      </w:r>
      <w:r w:rsidR="00FC7328">
        <w:t xml:space="preserve"> </w:t>
      </w:r>
      <w:r w:rsidR="002667C2">
        <w:t>=</w:t>
      </w:r>
      <w:r w:rsidR="00FC7328">
        <w:t xml:space="preserve"> </w:t>
      </w:r>
      <w:r w:rsidR="002667C2">
        <w:t>$225,980)</w:t>
      </w:r>
      <w:r w:rsidR="00FB4474">
        <w:t>.</w:t>
      </w:r>
    </w:p>
    <w:p w14:paraId="1ADE15C2" w14:textId="77777777" w:rsidR="00FB4474" w:rsidRDefault="00FB4474" w:rsidP="00FC7328">
      <w:pPr>
        <w:pStyle w:val="BodyText"/>
      </w:pPr>
      <w:r>
        <w:t>Staff believes DEF’s request to include $225,980 in the CCRC is reasonable, consistent with the 202</w:t>
      </w:r>
      <w:r w:rsidR="005D5209">
        <w:t>4</w:t>
      </w:r>
      <w:r>
        <w:t xml:space="preserve"> Settlement, and should be approved.</w:t>
      </w:r>
    </w:p>
    <w:p w14:paraId="54F575CA" w14:textId="411B19DA" w:rsidR="00E14E65" w:rsidRDefault="00E14E65">
      <w:pPr>
        <w:pStyle w:val="IssueHeading"/>
        <w:rPr>
          <w:vanish/>
          <w:specVanish/>
        </w:rPr>
      </w:pPr>
      <w:r w:rsidRPr="004C3641">
        <w:rPr>
          <w:b w:val="0"/>
          <w:i w:val="0"/>
        </w:rPr>
        <w:br w:type="page"/>
      </w:r>
      <w:r w:rsidRPr="004C3641">
        <w:lastRenderedPageBreak/>
        <w:t xml:space="preserve">Issue </w:t>
      </w:r>
      <w:fldSimple w:instr=" SEQ Issue \* MERGEFORMAT ">
        <w:r w:rsidR="00E12BA8">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E12BA8">
        <w:rPr>
          <w:noProof/>
        </w:rPr>
        <w:instrText>4</w:instrText>
      </w:r>
      <w:r>
        <w:fldChar w:fldCharType="end"/>
      </w:r>
      <w:r>
        <w:tab/>
        <w:instrText xml:space="preserve">(M. Thompson)" \l 1 </w:instrText>
      </w:r>
      <w:r>
        <w:fldChar w:fldCharType="end"/>
      </w:r>
      <w:r>
        <w:t> </w:t>
      </w:r>
    </w:p>
    <w:p w14:paraId="67B496B4" w14:textId="77777777" w:rsidR="00E14E65" w:rsidRDefault="00E14E65">
      <w:pPr>
        <w:pStyle w:val="BodyText"/>
      </w:pPr>
      <w:r>
        <w:t> Should this docket be closed?</w:t>
      </w:r>
    </w:p>
    <w:p w14:paraId="16066CCE" w14:textId="77777777" w:rsidR="00E14E65" w:rsidRPr="004C3641" w:rsidRDefault="00E14E65">
      <w:pPr>
        <w:pStyle w:val="IssueSubsectionHeading"/>
        <w:rPr>
          <w:vanish/>
          <w:specVanish/>
        </w:rPr>
      </w:pPr>
      <w:r w:rsidRPr="004C3641">
        <w:t>Recommendation: </w:t>
      </w:r>
    </w:p>
    <w:p w14:paraId="0F88E684" w14:textId="77777777" w:rsidR="00E14E65" w:rsidRDefault="00E14E65">
      <w:pPr>
        <w:pStyle w:val="BodyText"/>
      </w:pPr>
      <w:r>
        <w:t> If no person who substantial interests are affected by the proposed agency actions files a protest within 21 days of the issuance of the order, this docket should be closed upon the issuance of a consummating order. (M. Thompson)</w:t>
      </w:r>
    </w:p>
    <w:p w14:paraId="12001AF7" w14:textId="77777777" w:rsidR="00E14E65" w:rsidRPr="004C3641" w:rsidRDefault="00E14E65">
      <w:pPr>
        <w:pStyle w:val="IssueSubsectionHeading"/>
        <w:rPr>
          <w:vanish/>
          <w:specVanish/>
        </w:rPr>
      </w:pPr>
      <w:r w:rsidRPr="004C3641">
        <w:t>Staff Analysis: </w:t>
      </w:r>
    </w:p>
    <w:p w14:paraId="2917345F" w14:textId="77777777" w:rsidR="00E14E65" w:rsidRDefault="00E14E65">
      <w:pPr>
        <w:pStyle w:val="BodyText"/>
      </w:pPr>
      <w:r>
        <w:t xml:space="preserve"> If no person who substantial interests are affected by the proposed agency actions files a protest within 21 days of the issuance of the order, this docket should be closed upon the issuance of a consummating order. </w:t>
      </w:r>
    </w:p>
    <w:p w14:paraId="7A40F4A7" w14:textId="77777777"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4DB1" w14:textId="77777777" w:rsidR="0069380F" w:rsidRDefault="0069380F">
      <w:r>
        <w:separator/>
      </w:r>
    </w:p>
  </w:endnote>
  <w:endnote w:type="continuationSeparator" w:id="0">
    <w:p w14:paraId="18E767BF" w14:textId="77777777" w:rsidR="0069380F" w:rsidRDefault="0069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AE9C" w14:textId="77777777" w:rsidR="00E12BA8" w:rsidRDefault="00E1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B70F" w14:textId="24450085" w:rsidR="005D5209" w:rsidRDefault="005D52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34A87">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B52E" w14:textId="77777777" w:rsidR="00E12BA8" w:rsidRDefault="00E12B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1216" w14:textId="77777777" w:rsidR="005D5209" w:rsidRDefault="005D5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C985" w14:textId="77777777" w:rsidR="0069380F" w:rsidRDefault="0069380F">
      <w:r>
        <w:separator/>
      </w:r>
    </w:p>
  </w:footnote>
  <w:footnote w:type="continuationSeparator" w:id="0">
    <w:p w14:paraId="0476ABC7" w14:textId="77777777" w:rsidR="0069380F" w:rsidRDefault="0069380F">
      <w:r>
        <w:continuationSeparator/>
      </w:r>
    </w:p>
  </w:footnote>
  <w:footnote w:id="1">
    <w:p w14:paraId="2A8C9AFC" w14:textId="77777777" w:rsidR="005D5209" w:rsidRPr="008E46E5" w:rsidRDefault="005D5209">
      <w:pPr>
        <w:pStyle w:val="FootnoteText"/>
      </w:pPr>
      <w:r>
        <w:rPr>
          <w:rStyle w:val="FootnoteReference"/>
        </w:rPr>
        <w:footnoteRef/>
      </w:r>
      <w:r>
        <w:t xml:space="preserve"> Order No. PSC-2024-0472-AS-EI, issued November 12, 2024, in Docket No. 20240025-EI, </w:t>
      </w:r>
      <w:r>
        <w:rPr>
          <w:i/>
        </w:rPr>
        <w:t>In re: Petition for rate increase by Duke Energy Florida, LLC.</w:t>
      </w:r>
    </w:p>
  </w:footnote>
  <w:footnote w:id="2">
    <w:p w14:paraId="6F227742" w14:textId="77777777" w:rsidR="005D5209" w:rsidRPr="006D207D" w:rsidRDefault="005D5209">
      <w:pPr>
        <w:pStyle w:val="FootnoteText"/>
      </w:pPr>
      <w:r>
        <w:rPr>
          <w:rStyle w:val="FootnoteReference"/>
        </w:rPr>
        <w:footnoteRef/>
      </w:r>
      <w:r>
        <w:t xml:space="preserve"> </w:t>
      </w:r>
      <w:r>
        <w:rPr>
          <w:i/>
        </w:rPr>
        <w:t>Id.</w:t>
      </w:r>
    </w:p>
  </w:footnote>
  <w:footnote w:id="3">
    <w:p w14:paraId="18460448" w14:textId="77777777" w:rsidR="005D5209" w:rsidRPr="00212DEB" w:rsidRDefault="005D5209">
      <w:pPr>
        <w:pStyle w:val="FootnoteText"/>
      </w:pPr>
      <w:r>
        <w:rPr>
          <w:rStyle w:val="FootnoteReference"/>
        </w:rPr>
        <w:footnoteRef/>
      </w:r>
      <w:r>
        <w:t xml:space="preserve"> </w:t>
      </w:r>
      <w:r>
        <w:rPr>
          <w:i/>
        </w:rPr>
        <w:t>Id.</w:t>
      </w:r>
    </w:p>
  </w:footnote>
  <w:footnote w:id="4">
    <w:p w14:paraId="511F07CF" w14:textId="77777777" w:rsidR="005D5209" w:rsidRDefault="005D5209">
      <w:pPr>
        <w:pStyle w:val="FootnoteText"/>
      </w:pPr>
      <w:r>
        <w:rPr>
          <w:rStyle w:val="FootnoteReference"/>
        </w:rPr>
        <w:footnoteRef/>
      </w:r>
      <w:r>
        <w:t xml:space="preserve"> One Big Beautiful Bill Act, H.R.1, 119th Congress (2025-2026). </w:t>
      </w:r>
      <w:r w:rsidR="00BB544C" w:rsidRPr="00BB544C">
        <w:t>https://www.congress.gov/bill/119th-congress/house-bill/1/text</w:t>
      </w:r>
    </w:p>
  </w:footnote>
  <w:footnote w:id="5">
    <w:p w14:paraId="2E7B7F3F" w14:textId="77777777" w:rsidR="005D5209" w:rsidRDefault="005D5209">
      <w:pPr>
        <w:pStyle w:val="FootnoteText"/>
      </w:pPr>
      <w:r>
        <w:rPr>
          <w:rStyle w:val="FootnoteReference"/>
        </w:rPr>
        <w:footnoteRef/>
      </w:r>
      <w:r>
        <w:t xml:space="preserve"> Document No. 07149-2026.</w:t>
      </w:r>
    </w:p>
  </w:footnote>
  <w:footnote w:id="6">
    <w:p w14:paraId="52CD4EB4" w14:textId="77777777" w:rsidR="005D5209" w:rsidRDefault="005D5209">
      <w:pPr>
        <w:pStyle w:val="FootnoteText"/>
      </w:pPr>
      <w:r>
        <w:rPr>
          <w:rStyle w:val="FootnoteReference"/>
        </w:rPr>
        <w:footnoteRef/>
      </w:r>
      <w:r>
        <w:t xml:space="preserve"> 26 U.S. Code Section 162.</w:t>
      </w:r>
    </w:p>
  </w:footnote>
  <w:footnote w:id="7">
    <w:p w14:paraId="29513FC9" w14:textId="77777777" w:rsidR="007A641F" w:rsidRDefault="007A641F">
      <w:pPr>
        <w:pStyle w:val="FootnoteText"/>
      </w:pPr>
      <w:r>
        <w:rPr>
          <w:rStyle w:val="FootnoteReference"/>
        </w:rPr>
        <w:footnoteRef/>
      </w:r>
      <w:r>
        <w:t xml:space="preserve"> Document Nos. 07149-2026 and 02723-2026.</w:t>
      </w:r>
    </w:p>
  </w:footnote>
  <w:footnote w:id="8">
    <w:p w14:paraId="2D08C72E" w14:textId="77777777" w:rsidR="006A7019" w:rsidRPr="009C4C36" w:rsidRDefault="006A7019">
      <w:pPr>
        <w:pStyle w:val="FootnoteText"/>
        <w:rPr>
          <w:i/>
        </w:rPr>
      </w:pPr>
      <w:r>
        <w:rPr>
          <w:rStyle w:val="FootnoteReference"/>
        </w:rPr>
        <w:footnoteRef/>
      </w:r>
      <w:r>
        <w:t xml:space="preserve"> Order No. PSC-2025-0212-PAA-EI, issued June 18, 2025, in Docket No. 20250034-EI, </w:t>
      </w:r>
      <w:r w:rsidRPr="009C4C36">
        <w:rPr>
          <w:i/>
        </w:rPr>
        <w:t xml:space="preserve">In re: Petition for a </w:t>
      </w:r>
      <w:r w:rsidR="009C4C36" w:rsidRPr="009C4C36">
        <w:rPr>
          <w:i/>
        </w:rPr>
        <w:t>limited</w:t>
      </w:r>
      <w:r w:rsidRPr="009C4C36">
        <w:rPr>
          <w:i/>
        </w:rPr>
        <w:t xml:space="preserve"> proceeding to approve first solar base rate adjustment, by Duke Energy Florida, LLC.</w:t>
      </w:r>
    </w:p>
  </w:footnote>
  <w:footnote w:id="9">
    <w:p w14:paraId="65A585B9" w14:textId="3C89AC70" w:rsidR="00E63647" w:rsidRDefault="00E63647">
      <w:pPr>
        <w:pStyle w:val="FootnoteText"/>
      </w:pPr>
      <w:r>
        <w:rPr>
          <w:rStyle w:val="FootnoteReference"/>
        </w:rPr>
        <w:footnoteRef/>
      </w:r>
      <w:r>
        <w:t xml:space="preserve"> </w:t>
      </w:r>
      <w:r w:rsidR="00E473E4">
        <w:t>Document No. 02723-2026.</w:t>
      </w:r>
    </w:p>
  </w:footnote>
  <w:footnote w:id="10">
    <w:p w14:paraId="44CDFC4A" w14:textId="77777777" w:rsidR="005D5209" w:rsidRDefault="005D5209">
      <w:pPr>
        <w:pStyle w:val="FootnoteText"/>
      </w:pPr>
      <w:r>
        <w:rPr>
          <w:rStyle w:val="FootnoteReference"/>
        </w:rPr>
        <w:footnoteRef/>
      </w:r>
      <w:r>
        <w:t xml:space="preserve"> Order No. PSC-2024-0472-AS-EI.</w:t>
      </w:r>
    </w:p>
  </w:footnote>
  <w:footnote w:id="11">
    <w:p w14:paraId="2D546EC9" w14:textId="77777777" w:rsidR="005D5209" w:rsidRDefault="005D5209">
      <w:pPr>
        <w:pStyle w:val="FootnoteText"/>
      </w:pPr>
      <w:r>
        <w:rPr>
          <w:rStyle w:val="FootnoteReference"/>
        </w:rPr>
        <w:footnoteRef/>
      </w:r>
      <w:r>
        <w:t xml:space="preserve"> Document No. 02113-2026.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741D" w14:textId="77777777" w:rsidR="00E12BA8" w:rsidRDefault="00E1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FA4B1" w14:textId="77777777" w:rsidR="005D5209" w:rsidRDefault="005D520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20260044-EI</w:t>
    </w:r>
    <w:bookmarkEnd w:id="15"/>
  </w:p>
  <w:p w14:paraId="176E132A" w14:textId="6CCC0E76" w:rsidR="005D5209" w:rsidRDefault="005D5209">
    <w:pPr>
      <w:pStyle w:val="Header"/>
    </w:pPr>
    <w:r>
      <w:t xml:space="preserve">Date: </w:t>
    </w:r>
    <w:fldSimple w:instr=" REF FilingDate ">
      <w:r w:rsidR="00E12BA8">
        <w:t>May 20,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EF79" w14:textId="77777777" w:rsidR="00E12BA8" w:rsidRDefault="00E12B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56A0" w14:textId="08AF6D60" w:rsidR="005D5209" w:rsidRDefault="005D5209" w:rsidP="00220732">
    <w:pPr>
      <w:pStyle w:val="Header"/>
      <w:tabs>
        <w:tab w:val="clear" w:pos="4320"/>
        <w:tab w:val="clear" w:pos="8640"/>
        <w:tab w:val="right" w:pos="9360"/>
      </w:tabs>
    </w:pPr>
    <w:r>
      <w:fldChar w:fldCharType="begin"/>
    </w:r>
    <w:r>
      <w:instrText xml:space="preserve"> REF DocketLabel</w:instrText>
    </w:r>
    <w:r>
      <w:fldChar w:fldCharType="separate"/>
    </w:r>
    <w:r w:rsidR="00E12BA8">
      <w:t>Docket No.</w:t>
    </w:r>
    <w:r>
      <w:fldChar w:fldCharType="end"/>
    </w:r>
    <w:r>
      <w:t xml:space="preserve"> </w:t>
    </w:r>
    <w:r>
      <w:fldChar w:fldCharType="begin"/>
    </w:r>
    <w:r>
      <w:instrText xml:space="preserve"> REF DocketList</w:instrText>
    </w:r>
    <w:r>
      <w:fldChar w:fldCharType="separate"/>
    </w:r>
    <w:r w:rsidR="00E12BA8">
      <w:t>20260044-EI</w:t>
    </w:r>
    <w:r>
      <w:fldChar w:fldCharType="end"/>
    </w:r>
    <w:r>
      <w:tab/>
      <w:t xml:space="preserve">Issue </w:t>
    </w:r>
    <w:fldSimple w:instr=" Seq Issue \c \* Arabic ">
      <w:r w:rsidR="00434A87">
        <w:rPr>
          <w:noProof/>
        </w:rPr>
        <w:t>4</w:t>
      </w:r>
    </w:fldSimple>
  </w:p>
  <w:p w14:paraId="1AC7E2E9" w14:textId="430507BD" w:rsidR="005D5209" w:rsidRDefault="005D5209">
    <w:pPr>
      <w:pStyle w:val="Header"/>
    </w:pPr>
    <w:r>
      <w:t xml:space="preserve">Date: </w:t>
    </w:r>
    <w:fldSimple w:instr=" REF FilingDate ">
      <w:r w:rsidR="00E12BA8">
        <w:t>May 20,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3F79" w14:textId="77777777" w:rsidR="005D5209" w:rsidRDefault="005D5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2575B9"/>
    <w:rsid w:val="000043D5"/>
    <w:rsid w:val="00006170"/>
    <w:rsid w:val="00010E37"/>
    <w:rsid w:val="00016C7B"/>
    <w:rsid w:val="000172DA"/>
    <w:rsid w:val="00022008"/>
    <w:rsid w:val="00022337"/>
    <w:rsid w:val="00023A0E"/>
    <w:rsid w:val="000247C5"/>
    <w:rsid w:val="00026A10"/>
    <w:rsid w:val="000277C2"/>
    <w:rsid w:val="00034BB3"/>
    <w:rsid w:val="00035B48"/>
    <w:rsid w:val="00036CE2"/>
    <w:rsid w:val="00041117"/>
    <w:rsid w:val="000421EA"/>
    <w:rsid w:val="000437FE"/>
    <w:rsid w:val="000513BE"/>
    <w:rsid w:val="00051573"/>
    <w:rsid w:val="00052F93"/>
    <w:rsid w:val="00053174"/>
    <w:rsid w:val="0005451B"/>
    <w:rsid w:val="000572C5"/>
    <w:rsid w:val="00065A06"/>
    <w:rsid w:val="000662C7"/>
    <w:rsid w:val="000666F3"/>
    <w:rsid w:val="00066C79"/>
    <w:rsid w:val="00070B0E"/>
    <w:rsid w:val="00070DCB"/>
    <w:rsid w:val="00072CCA"/>
    <w:rsid w:val="00073120"/>
    <w:rsid w:val="000764D0"/>
    <w:rsid w:val="000828D3"/>
    <w:rsid w:val="000858F5"/>
    <w:rsid w:val="00087A0E"/>
    <w:rsid w:val="00090DB4"/>
    <w:rsid w:val="00097804"/>
    <w:rsid w:val="000A2B57"/>
    <w:rsid w:val="000A418B"/>
    <w:rsid w:val="000B0ACE"/>
    <w:rsid w:val="000B0DE9"/>
    <w:rsid w:val="000B47C8"/>
    <w:rsid w:val="000C34E6"/>
    <w:rsid w:val="000C3ADF"/>
    <w:rsid w:val="000C4431"/>
    <w:rsid w:val="000C5435"/>
    <w:rsid w:val="000C6607"/>
    <w:rsid w:val="000C6975"/>
    <w:rsid w:val="000C78A6"/>
    <w:rsid w:val="000C7E66"/>
    <w:rsid w:val="000D1C06"/>
    <w:rsid w:val="000D3043"/>
    <w:rsid w:val="000D4319"/>
    <w:rsid w:val="000D4831"/>
    <w:rsid w:val="000E24FA"/>
    <w:rsid w:val="000E338A"/>
    <w:rsid w:val="000E4392"/>
    <w:rsid w:val="000E620E"/>
    <w:rsid w:val="000F05CD"/>
    <w:rsid w:val="000F1131"/>
    <w:rsid w:val="000F244D"/>
    <w:rsid w:val="000F374A"/>
    <w:rsid w:val="000F4DAF"/>
    <w:rsid w:val="000F53C1"/>
    <w:rsid w:val="00103353"/>
    <w:rsid w:val="00105BA1"/>
    <w:rsid w:val="001066FE"/>
    <w:rsid w:val="001076AF"/>
    <w:rsid w:val="0011074E"/>
    <w:rsid w:val="001109F6"/>
    <w:rsid w:val="00114300"/>
    <w:rsid w:val="00116C6B"/>
    <w:rsid w:val="00117C8C"/>
    <w:rsid w:val="001239F0"/>
    <w:rsid w:val="00124C38"/>
    <w:rsid w:val="00124E2E"/>
    <w:rsid w:val="00125ED4"/>
    <w:rsid w:val="00127E1E"/>
    <w:rsid w:val="001303BF"/>
    <w:rsid w:val="001305E9"/>
    <w:rsid w:val="001307AF"/>
    <w:rsid w:val="0013312D"/>
    <w:rsid w:val="0013347E"/>
    <w:rsid w:val="00135687"/>
    <w:rsid w:val="00136BD1"/>
    <w:rsid w:val="00141E8D"/>
    <w:rsid w:val="00146B5D"/>
    <w:rsid w:val="00150ECE"/>
    <w:rsid w:val="0015506E"/>
    <w:rsid w:val="00157CCC"/>
    <w:rsid w:val="00163031"/>
    <w:rsid w:val="001654C4"/>
    <w:rsid w:val="0016701C"/>
    <w:rsid w:val="00171A90"/>
    <w:rsid w:val="00172227"/>
    <w:rsid w:val="00176D70"/>
    <w:rsid w:val="001771F9"/>
    <w:rsid w:val="00180254"/>
    <w:rsid w:val="00191E1F"/>
    <w:rsid w:val="00191EE8"/>
    <w:rsid w:val="00192943"/>
    <w:rsid w:val="00193BAF"/>
    <w:rsid w:val="00194791"/>
    <w:rsid w:val="00197A5C"/>
    <w:rsid w:val="001A206F"/>
    <w:rsid w:val="001A7406"/>
    <w:rsid w:val="001A7AE4"/>
    <w:rsid w:val="001B1EDC"/>
    <w:rsid w:val="001B4053"/>
    <w:rsid w:val="001B4FEE"/>
    <w:rsid w:val="001B51C5"/>
    <w:rsid w:val="001B672A"/>
    <w:rsid w:val="001B6F3F"/>
    <w:rsid w:val="001B7E16"/>
    <w:rsid w:val="001C1269"/>
    <w:rsid w:val="001C13F4"/>
    <w:rsid w:val="001C2C42"/>
    <w:rsid w:val="001C52B5"/>
    <w:rsid w:val="001D0D3E"/>
    <w:rsid w:val="001D2817"/>
    <w:rsid w:val="001D2899"/>
    <w:rsid w:val="001E14A3"/>
    <w:rsid w:val="001E390F"/>
    <w:rsid w:val="001E3E09"/>
    <w:rsid w:val="001E7FF4"/>
    <w:rsid w:val="001F2245"/>
    <w:rsid w:val="001F2C63"/>
    <w:rsid w:val="001F363C"/>
    <w:rsid w:val="001F48C7"/>
    <w:rsid w:val="001F60EB"/>
    <w:rsid w:val="001F6DA1"/>
    <w:rsid w:val="001F7295"/>
    <w:rsid w:val="001F72FF"/>
    <w:rsid w:val="00200178"/>
    <w:rsid w:val="00200F4C"/>
    <w:rsid w:val="00204200"/>
    <w:rsid w:val="002044E6"/>
    <w:rsid w:val="00205C82"/>
    <w:rsid w:val="00205DC2"/>
    <w:rsid w:val="00205EC1"/>
    <w:rsid w:val="00212B17"/>
    <w:rsid w:val="00212DEB"/>
    <w:rsid w:val="00215417"/>
    <w:rsid w:val="002163B6"/>
    <w:rsid w:val="00217215"/>
    <w:rsid w:val="00220732"/>
    <w:rsid w:val="00221095"/>
    <w:rsid w:val="0022121F"/>
    <w:rsid w:val="00221D32"/>
    <w:rsid w:val="0022219D"/>
    <w:rsid w:val="00222AC1"/>
    <w:rsid w:val="00223810"/>
    <w:rsid w:val="00225C3F"/>
    <w:rsid w:val="00226ED6"/>
    <w:rsid w:val="00246E5F"/>
    <w:rsid w:val="00247C78"/>
    <w:rsid w:val="0025163A"/>
    <w:rsid w:val="00252C6A"/>
    <w:rsid w:val="0025460D"/>
    <w:rsid w:val="002572CB"/>
    <w:rsid w:val="002575B9"/>
    <w:rsid w:val="00263D44"/>
    <w:rsid w:val="002667C2"/>
    <w:rsid w:val="002702AD"/>
    <w:rsid w:val="00274114"/>
    <w:rsid w:val="0027502C"/>
    <w:rsid w:val="00276BC8"/>
    <w:rsid w:val="002778C9"/>
    <w:rsid w:val="00281EB4"/>
    <w:rsid w:val="00292D82"/>
    <w:rsid w:val="00293EE7"/>
    <w:rsid w:val="002941AB"/>
    <w:rsid w:val="002963CB"/>
    <w:rsid w:val="00297E23"/>
    <w:rsid w:val="002A1A42"/>
    <w:rsid w:val="002A450F"/>
    <w:rsid w:val="002A5B1E"/>
    <w:rsid w:val="002B2DAC"/>
    <w:rsid w:val="002B3BA8"/>
    <w:rsid w:val="002B4A01"/>
    <w:rsid w:val="002C291B"/>
    <w:rsid w:val="002C2F72"/>
    <w:rsid w:val="002C3C93"/>
    <w:rsid w:val="002C746A"/>
    <w:rsid w:val="002C7E4E"/>
    <w:rsid w:val="002D226D"/>
    <w:rsid w:val="002D41F6"/>
    <w:rsid w:val="002D74E3"/>
    <w:rsid w:val="002D7D6D"/>
    <w:rsid w:val="002E1FBC"/>
    <w:rsid w:val="002E42F4"/>
    <w:rsid w:val="002F02A4"/>
    <w:rsid w:val="002F1E9F"/>
    <w:rsid w:val="002F6030"/>
    <w:rsid w:val="003001AC"/>
    <w:rsid w:val="003037E1"/>
    <w:rsid w:val="00307E51"/>
    <w:rsid w:val="003103EC"/>
    <w:rsid w:val="00312132"/>
    <w:rsid w:val="003130BA"/>
    <w:rsid w:val="003144EF"/>
    <w:rsid w:val="0031480E"/>
    <w:rsid w:val="00314D0A"/>
    <w:rsid w:val="00316877"/>
    <w:rsid w:val="00321C2D"/>
    <w:rsid w:val="00322F74"/>
    <w:rsid w:val="003240BC"/>
    <w:rsid w:val="00325E15"/>
    <w:rsid w:val="00335116"/>
    <w:rsid w:val="00335C7F"/>
    <w:rsid w:val="003361D6"/>
    <w:rsid w:val="00340073"/>
    <w:rsid w:val="003411D8"/>
    <w:rsid w:val="0034192C"/>
    <w:rsid w:val="003445B0"/>
    <w:rsid w:val="00350EE5"/>
    <w:rsid w:val="00353B66"/>
    <w:rsid w:val="00355393"/>
    <w:rsid w:val="00355934"/>
    <w:rsid w:val="0035698B"/>
    <w:rsid w:val="00357928"/>
    <w:rsid w:val="0036010E"/>
    <w:rsid w:val="00360C5C"/>
    <w:rsid w:val="003632FD"/>
    <w:rsid w:val="00364392"/>
    <w:rsid w:val="00366EFD"/>
    <w:rsid w:val="0037003B"/>
    <w:rsid w:val="00370F78"/>
    <w:rsid w:val="00372805"/>
    <w:rsid w:val="00372B0C"/>
    <w:rsid w:val="00373180"/>
    <w:rsid w:val="00375AB9"/>
    <w:rsid w:val="00376343"/>
    <w:rsid w:val="0037691E"/>
    <w:rsid w:val="00377467"/>
    <w:rsid w:val="00381AAA"/>
    <w:rsid w:val="003821A0"/>
    <w:rsid w:val="00385B04"/>
    <w:rsid w:val="003864CF"/>
    <w:rsid w:val="003948AE"/>
    <w:rsid w:val="003A08C0"/>
    <w:rsid w:val="003A22A6"/>
    <w:rsid w:val="003A2A58"/>
    <w:rsid w:val="003A32EB"/>
    <w:rsid w:val="003A5494"/>
    <w:rsid w:val="003B2510"/>
    <w:rsid w:val="003B2B0C"/>
    <w:rsid w:val="003B3E3F"/>
    <w:rsid w:val="003B4355"/>
    <w:rsid w:val="003B5D0A"/>
    <w:rsid w:val="003B5D32"/>
    <w:rsid w:val="003C2CC4"/>
    <w:rsid w:val="003C3710"/>
    <w:rsid w:val="003C42A3"/>
    <w:rsid w:val="003C48F7"/>
    <w:rsid w:val="003C540A"/>
    <w:rsid w:val="003D2FBB"/>
    <w:rsid w:val="003E0463"/>
    <w:rsid w:val="003E0E35"/>
    <w:rsid w:val="003E0EFC"/>
    <w:rsid w:val="003E1286"/>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3F58"/>
    <w:rsid w:val="004042B4"/>
    <w:rsid w:val="00410DC4"/>
    <w:rsid w:val="0041271A"/>
    <w:rsid w:val="00412DAE"/>
    <w:rsid w:val="0041302D"/>
    <w:rsid w:val="0041464A"/>
    <w:rsid w:val="004242E6"/>
    <w:rsid w:val="00427B35"/>
    <w:rsid w:val="00431598"/>
    <w:rsid w:val="004319AD"/>
    <w:rsid w:val="00432C7A"/>
    <w:rsid w:val="0043346D"/>
    <w:rsid w:val="00434A87"/>
    <w:rsid w:val="0043744A"/>
    <w:rsid w:val="00441B7F"/>
    <w:rsid w:val="004426B8"/>
    <w:rsid w:val="00444432"/>
    <w:rsid w:val="00447D5C"/>
    <w:rsid w:val="00450202"/>
    <w:rsid w:val="004502B2"/>
    <w:rsid w:val="00452913"/>
    <w:rsid w:val="00455499"/>
    <w:rsid w:val="0045578D"/>
    <w:rsid w:val="004633F6"/>
    <w:rsid w:val="004649A7"/>
    <w:rsid w:val="00466221"/>
    <w:rsid w:val="00467DBC"/>
    <w:rsid w:val="0047095A"/>
    <w:rsid w:val="00471860"/>
    <w:rsid w:val="00471DFE"/>
    <w:rsid w:val="0047246B"/>
    <w:rsid w:val="00477026"/>
    <w:rsid w:val="00477730"/>
    <w:rsid w:val="00480137"/>
    <w:rsid w:val="004A2B11"/>
    <w:rsid w:val="004A43DB"/>
    <w:rsid w:val="004A744D"/>
    <w:rsid w:val="004B1491"/>
    <w:rsid w:val="004B31F7"/>
    <w:rsid w:val="004B60BD"/>
    <w:rsid w:val="004B6A20"/>
    <w:rsid w:val="004C3150"/>
    <w:rsid w:val="004C3641"/>
    <w:rsid w:val="004C3873"/>
    <w:rsid w:val="004C4390"/>
    <w:rsid w:val="004C4AF7"/>
    <w:rsid w:val="004C7501"/>
    <w:rsid w:val="004D020C"/>
    <w:rsid w:val="004D2881"/>
    <w:rsid w:val="004D2D7D"/>
    <w:rsid w:val="004D385F"/>
    <w:rsid w:val="004D3C84"/>
    <w:rsid w:val="004D5B39"/>
    <w:rsid w:val="004D7976"/>
    <w:rsid w:val="004E0CEA"/>
    <w:rsid w:val="004E1D87"/>
    <w:rsid w:val="004E330D"/>
    <w:rsid w:val="004E4985"/>
    <w:rsid w:val="004E5147"/>
    <w:rsid w:val="004E69B5"/>
    <w:rsid w:val="004F150F"/>
    <w:rsid w:val="004F23E1"/>
    <w:rsid w:val="004F50D1"/>
    <w:rsid w:val="004F5C43"/>
    <w:rsid w:val="00501F02"/>
    <w:rsid w:val="005050A2"/>
    <w:rsid w:val="00506030"/>
    <w:rsid w:val="0050652D"/>
    <w:rsid w:val="00506C03"/>
    <w:rsid w:val="00511A11"/>
    <w:rsid w:val="005128FD"/>
    <w:rsid w:val="00516496"/>
    <w:rsid w:val="00522A52"/>
    <w:rsid w:val="00522E7D"/>
    <w:rsid w:val="00523B11"/>
    <w:rsid w:val="0052455B"/>
    <w:rsid w:val="00524C43"/>
    <w:rsid w:val="0052572A"/>
    <w:rsid w:val="00532DFB"/>
    <w:rsid w:val="005334D5"/>
    <w:rsid w:val="00534DCF"/>
    <w:rsid w:val="00543CB3"/>
    <w:rsid w:val="005442E4"/>
    <w:rsid w:val="00545997"/>
    <w:rsid w:val="00545D3C"/>
    <w:rsid w:val="00547652"/>
    <w:rsid w:val="00553885"/>
    <w:rsid w:val="0055529B"/>
    <w:rsid w:val="00560FF0"/>
    <w:rsid w:val="00561111"/>
    <w:rsid w:val="005614BD"/>
    <w:rsid w:val="005626D2"/>
    <w:rsid w:val="00562F3D"/>
    <w:rsid w:val="0057154F"/>
    <w:rsid w:val="00580E0E"/>
    <w:rsid w:val="00580F69"/>
    <w:rsid w:val="00581CA3"/>
    <w:rsid w:val="00585031"/>
    <w:rsid w:val="00585F32"/>
    <w:rsid w:val="00586E8B"/>
    <w:rsid w:val="00587090"/>
    <w:rsid w:val="00587A44"/>
    <w:rsid w:val="00590CE2"/>
    <w:rsid w:val="00591EC1"/>
    <w:rsid w:val="00593F36"/>
    <w:rsid w:val="00595A5E"/>
    <w:rsid w:val="005964FD"/>
    <w:rsid w:val="00597730"/>
    <w:rsid w:val="005977EC"/>
    <w:rsid w:val="00597DE7"/>
    <w:rsid w:val="005A1CD3"/>
    <w:rsid w:val="005A441F"/>
    <w:rsid w:val="005A4AA2"/>
    <w:rsid w:val="005A5994"/>
    <w:rsid w:val="005B34B6"/>
    <w:rsid w:val="005B3FBB"/>
    <w:rsid w:val="005B606A"/>
    <w:rsid w:val="005B6C8F"/>
    <w:rsid w:val="005B6EC3"/>
    <w:rsid w:val="005B7E23"/>
    <w:rsid w:val="005C17D7"/>
    <w:rsid w:val="005C33CE"/>
    <w:rsid w:val="005C404A"/>
    <w:rsid w:val="005C51D5"/>
    <w:rsid w:val="005C6348"/>
    <w:rsid w:val="005C6C4A"/>
    <w:rsid w:val="005D0F74"/>
    <w:rsid w:val="005D2E7D"/>
    <w:rsid w:val="005D4A8F"/>
    <w:rsid w:val="005D5209"/>
    <w:rsid w:val="005D561B"/>
    <w:rsid w:val="005D578F"/>
    <w:rsid w:val="005D5ECF"/>
    <w:rsid w:val="005E2AB6"/>
    <w:rsid w:val="005E2EC9"/>
    <w:rsid w:val="005E4AA0"/>
    <w:rsid w:val="005E572A"/>
    <w:rsid w:val="005E7730"/>
    <w:rsid w:val="005E7E8E"/>
    <w:rsid w:val="005F4159"/>
    <w:rsid w:val="005F468D"/>
    <w:rsid w:val="005F5556"/>
    <w:rsid w:val="005F69A3"/>
    <w:rsid w:val="0060227B"/>
    <w:rsid w:val="00604CC7"/>
    <w:rsid w:val="00613441"/>
    <w:rsid w:val="006147F2"/>
    <w:rsid w:val="00615423"/>
    <w:rsid w:val="006165B2"/>
    <w:rsid w:val="00617276"/>
    <w:rsid w:val="00623438"/>
    <w:rsid w:val="0062527B"/>
    <w:rsid w:val="00625D97"/>
    <w:rsid w:val="00625F1C"/>
    <w:rsid w:val="0062658E"/>
    <w:rsid w:val="00626640"/>
    <w:rsid w:val="0062681D"/>
    <w:rsid w:val="006279E1"/>
    <w:rsid w:val="00630CEB"/>
    <w:rsid w:val="00632264"/>
    <w:rsid w:val="00633722"/>
    <w:rsid w:val="006355F2"/>
    <w:rsid w:val="00646AF6"/>
    <w:rsid w:val="00646D15"/>
    <w:rsid w:val="006470BC"/>
    <w:rsid w:val="006554D3"/>
    <w:rsid w:val="006603F4"/>
    <w:rsid w:val="00661708"/>
    <w:rsid w:val="00666522"/>
    <w:rsid w:val="00667036"/>
    <w:rsid w:val="00667B89"/>
    <w:rsid w:val="00673BDB"/>
    <w:rsid w:val="00673F3D"/>
    <w:rsid w:val="00674341"/>
    <w:rsid w:val="00675EA7"/>
    <w:rsid w:val="006771B8"/>
    <w:rsid w:val="00682631"/>
    <w:rsid w:val="00683A89"/>
    <w:rsid w:val="006843B6"/>
    <w:rsid w:val="0068481F"/>
    <w:rsid w:val="00685BE0"/>
    <w:rsid w:val="0069380F"/>
    <w:rsid w:val="00693EA1"/>
    <w:rsid w:val="006945FC"/>
    <w:rsid w:val="0069636F"/>
    <w:rsid w:val="00696F5D"/>
    <w:rsid w:val="00697249"/>
    <w:rsid w:val="006A06F3"/>
    <w:rsid w:val="006A1A67"/>
    <w:rsid w:val="006A7019"/>
    <w:rsid w:val="006B09C4"/>
    <w:rsid w:val="006B3947"/>
    <w:rsid w:val="006B3C79"/>
    <w:rsid w:val="006B4293"/>
    <w:rsid w:val="006B624F"/>
    <w:rsid w:val="006B6B43"/>
    <w:rsid w:val="006B7742"/>
    <w:rsid w:val="006C0C95"/>
    <w:rsid w:val="006C31E3"/>
    <w:rsid w:val="006D18D3"/>
    <w:rsid w:val="006D1EE9"/>
    <w:rsid w:val="006D207D"/>
    <w:rsid w:val="006D24F7"/>
    <w:rsid w:val="006D339D"/>
    <w:rsid w:val="006D3BD1"/>
    <w:rsid w:val="006E010E"/>
    <w:rsid w:val="006E08CB"/>
    <w:rsid w:val="006E598D"/>
    <w:rsid w:val="006E64A8"/>
    <w:rsid w:val="006E6EB7"/>
    <w:rsid w:val="006F09A6"/>
    <w:rsid w:val="00700C54"/>
    <w:rsid w:val="00700E59"/>
    <w:rsid w:val="00702D32"/>
    <w:rsid w:val="0070437D"/>
    <w:rsid w:val="00704CF1"/>
    <w:rsid w:val="00704E33"/>
    <w:rsid w:val="00705B04"/>
    <w:rsid w:val="00705F12"/>
    <w:rsid w:val="0070734B"/>
    <w:rsid w:val="0071040E"/>
    <w:rsid w:val="00711556"/>
    <w:rsid w:val="00711EDF"/>
    <w:rsid w:val="00713826"/>
    <w:rsid w:val="007138F9"/>
    <w:rsid w:val="00717EE9"/>
    <w:rsid w:val="00724992"/>
    <w:rsid w:val="00724F64"/>
    <w:rsid w:val="00727F90"/>
    <w:rsid w:val="00734820"/>
    <w:rsid w:val="007349DC"/>
    <w:rsid w:val="007359A9"/>
    <w:rsid w:val="0074365E"/>
    <w:rsid w:val="007445EE"/>
    <w:rsid w:val="00744B55"/>
    <w:rsid w:val="007515FD"/>
    <w:rsid w:val="00753AB2"/>
    <w:rsid w:val="007564D5"/>
    <w:rsid w:val="0075695E"/>
    <w:rsid w:val="00760D80"/>
    <w:rsid w:val="00761CB4"/>
    <w:rsid w:val="00764170"/>
    <w:rsid w:val="00767110"/>
    <w:rsid w:val="00772C4A"/>
    <w:rsid w:val="00777769"/>
    <w:rsid w:val="00780729"/>
    <w:rsid w:val="00780C09"/>
    <w:rsid w:val="00780DDF"/>
    <w:rsid w:val="007834E9"/>
    <w:rsid w:val="00787DBC"/>
    <w:rsid w:val="0079019A"/>
    <w:rsid w:val="00792935"/>
    <w:rsid w:val="00793AC5"/>
    <w:rsid w:val="00793EAA"/>
    <w:rsid w:val="007A04A1"/>
    <w:rsid w:val="007A1840"/>
    <w:rsid w:val="007A41DD"/>
    <w:rsid w:val="007A641F"/>
    <w:rsid w:val="007A6BF7"/>
    <w:rsid w:val="007B02BF"/>
    <w:rsid w:val="007B04E6"/>
    <w:rsid w:val="007B06F5"/>
    <w:rsid w:val="007B1840"/>
    <w:rsid w:val="007B730C"/>
    <w:rsid w:val="007C0528"/>
    <w:rsid w:val="007C08EA"/>
    <w:rsid w:val="007C3D38"/>
    <w:rsid w:val="007D0F35"/>
    <w:rsid w:val="007D1783"/>
    <w:rsid w:val="007D4546"/>
    <w:rsid w:val="007D499F"/>
    <w:rsid w:val="007D4FEB"/>
    <w:rsid w:val="007D6146"/>
    <w:rsid w:val="007E0CE7"/>
    <w:rsid w:val="007E5041"/>
    <w:rsid w:val="007E6DAF"/>
    <w:rsid w:val="007F1193"/>
    <w:rsid w:val="007F3C1E"/>
    <w:rsid w:val="007F417F"/>
    <w:rsid w:val="007F7644"/>
    <w:rsid w:val="008042BD"/>
    <w:rsid w:val="00804E17"/>
    <w:rsid w:val="008050B3"/>
    <w:rsid w:val="00805CCD"/>
    <w:rsid w:val="008143B9"/>
    <w:rsid w:val="00816624"/>
    <w:rsid w:val="00816C31"/>
    <w:rsid w:val="00822427"/>
    <w:rsid w:val="00822562"/>
    <w:rsid w:val="00823663"/>
    <w:rsid w:val="00823664"/>
    <w:rsid w:val="00825CBF"/>
    <w:rsid w:val="00826677"/>
    <w:rsid w:val="00830496"/>
    <w:rsid w:val="008305B7"/>
    <w:rsid w:val="00832DDC"/>
    <w:rsid w:val="008426B0"/>
    <w:rsid w:val="008431BB"/>
    <w:rsid w:val="00845E34"/>
    <w:rsid w:val="00850BAC"/>
    <w:rsid w:val="00850DD2"/>
    <w:rsid w:val="00854A3E"/>
    <w:rsid w:val="00854FAF"/>
    <w:rsid w:val="00855D08"/>
    <w:rsid w:val="008618A4"/>
    <w:rsid w:val="00862EE2"/>
    <w:rsid w:val="00863930"/>
    <w:rsid w:val="00864A21"/>
    <w:rsid w:val="008731AB"/>
    <w:rsid w:val="008742A7"/>
    <w:rsid w:val="00874344"/>
    <w:rsid w:val="0087505D"/>
    <w:rsid w:val="00877703"/>
    <w:rsid w:val="00882155"/>
    <w:rsid w:val="0088233B"/>
    <w:rsid w:val="008827AD"/>
    <w:rsid w:val="00884888"/>
    <w:rsid w:val="0088599E"/>
    <w:rsid w:val="00886B78"/>
    <w:rsid w:val="00886C37"/>
    <w:rsid w:val="008873FD"/>
    <w:rsid w:val="008915FC"/>
    <w:rsid w:val="00892D99"/>
    <w:rsid w:val="00893315"/>
    <w:rsid w:val="00894C09"/>
    <w:rsid w:val="008A216F"/>
    <w:rsid w:val="008A2DC1"/>
    <w:rsid w:val="008A66B3"/>
    <w:rsid w:val="008B5C68"/>
    <w:rsid w:val="008B62AE"/>
    <w:rsid w:val="008B679C"/>
    <w:rsid w:val="008B7A28"/>
    <w:rsid w:val="008C04B5"/>
    <w:rsid w:val="008C14FA"/>
    <w:rsid w:val="008C7B0B"/>
    <w:rsid w:val="008D23E7"/>
    <w:rsid w:val="008D4057"/>
    <w:rsid w:val="008D676C"/>
    <w:rsid w:val="008D6C49"/>
    <w:rsid w:val="008E007E"/>
    <w:rsid w:val="008E1F19"/>
    <w:rsid w:val="008E3913"/>
    <w:rsid w:val="008E46E5"/>
    <w:rsid w:val="008E60D6"/>
    <w:rsid w:val="008F2262"/>
    <w:rsid w:val="008F4D2B"/>
    <w:rsid w:val="008F5B91"/>
    <w:rsid w:val="008F6D9C"/>
    <w:rsid w:val="008F7736"/>
    <w:rsid w:val="0090019E"/>
    <w:rsid w:val="00900435"/>
    <w:rsid w:val="00901086"/>
    <w:rsid w:val="00901C8A"/>
    <w:rsid w:val="00902F66"/>
    <w:rsid w:val="00903113"/>
    <w:rsid w:val="00903C72"/>
    <w:rsid w:val="00904E17"/>
    <w:rsid w:val="00904F3B"/>
    <w:rsid w:val="00905886"/>
    <w:rsid w:val="009070D6"/>
    <w:rsid w:val="009076C6"/>
    <w:rsid w:val="0091019E"/>
    <w:rsid w:val="009106F1"/>
    <w:rsid w:val="00912404"/>
    <w:rsid w:val="009129BB"/>
    <w:rsid w:val="00912FC0"/>
    <w:rsid w:val="009145D6"/>
    <w:rsid w:val="00914BEE"/>
    <w:rsid w:val="00915541"/>
    <w:rsid w:val="00920E64"/>
    <w:rsid w:val="00922002"/>
    <w:rsid w:val="009225CB"/>
    <w:rsid w:val="00924020"/>
    <w:rsid w:val="00924BF4"/>
    <w:rsid w:val="00925337"/>
    <w:rsid w:val="009271A7"/>
    <w:rsid w:val="0092762F"/>
    <w:rsid w:val="009306F3"/>
    <w:rsid w:val="00932812"/>
    <w:rsid w:val="00935709"/>
    <w:rsid w:val="0093658B"/>
    <w:rsid w:val="00937CC5"/>
    <w:rsid w:val="00941FC4"/>
    <w:rsid w:val="009420AB"/>
    <w:rsid w:val="00942599"/>
    <w:rsid w:val="009429FF"/>
    <w:rsid w:val="00943A10"/>
    <w:rsid w:val="009444D1"/>
    <w:rsid w:val="00945BD6"/>
    <w:rsid w:val="009479FB"/>
    <w:rsid w:val="00951C45"/>
    <w:rsid w:val="00951DD8"/>
    <w:rsid w:val="00951EE9"/>
    <w:rsid w:val="00954EDE"/>
    <w:rsid w:val="0096053F"/>
    <w:rsid w:val="009656F2"/>
    <w:rsid w:val="00966127"/>
    <w:rsid w:val="009663D3"/>
    <w:rsid w:val="00966A08"/>
    <w:rsid w:val="009701B7"/>
    <w:rsid w:val="00971207"/>
    <w:rsid w:val="00971EEF"/>
    <w:rsid w:val="00972FDC"/>
    <w:rsid w:val="00973455"/>
    <w:rsid w:val="00975CB4"/>
    <w:rsid w:val="009829B7"/>
    <w:rsid w:val="009835FA"/>
    <w:rsid w:val="009863B0"/>
    <w:rsid w:val="00987DE1"/>
    <w:rsid w:val="00990571"/>
    <w:rsid w:val="00991905"/>
    <w:rsid w:val="009926B2"/>
    <w:rsid w:val="00992951"/>
    <w:rsid w:val="0099671E"/>
    <w:rsid w:val="0099673A"/>
    <w:rsid w:val="009A0E8C"/>
    <w:rsid w:val="009A3291"/>
    <w:rsid w:val="009A3330"/>
    <w:rsid w:val="009A548F"/>
    <w:rsid w:val="009A7C96"/>
    <w:rsid w:val="009B483E"/>
    <w:rsid w:val="009B4ACC"/>
    <w:rsid w:val="009B61BF"/>
    <w:rsid w:val="009C3253"/>
    <w:rsid w:val="009C3DB9"/>
    <w:rsid w:val="009C4C36"/>
    <w:rsid w:val="009C5968"/>
    <w:rsid w:val="009D0436"/>
    <w:rsid w:val="009D1361"/>
    <w:rsid w:val="009D46E5"/>
    <w:rsid w:val="009D568A"/>
    <w:rsid w:val="009E01EF"/>
    <w:rsid w:val="009E2B39"/>
    <w:rsid w:val="009E7956"/>
    <w:rsid w:val="009F04EC"/>
    <w:rsid w:val="009F2A7C"/>
    <w:rsid w:val="009F3B36"/>
    <w:rsid w:val="00A019B9"/>
    <w:rsid w:val="00A03157"/>
    <w:rsid w:val="00A10E4E"/>
    <w:rsid w:val="00A11756"/>
    <w:rsid w:val="00A12497"/>
    <w:rsid w:val="00A12508"/>
    <w:rsid w:val="00A1282B"/>
    <w:rsid w:val="00A1386C"/>
    <w:rsid w:val="00A13A27"/>
    <w:rsid w:val="00A15B7C"/>
    <w:rsid w:val="00A175B6"/>
    <w:rsid w:val="00A21835"/>
    <w:rsid w:val="00A2374B"/>
    <w:rsid w:val="00A23AAB"/>
    <w:rsid w:val="00A23D95"/>
    <w:rsid w:val="00A27D6E"/>
    <w:rsid w:val="00A30AEE"/>
    <w:rsid w:val="00A328EC"/>
    <w:rsid w:val="00A33A51"/>
    <w:rsid w:val="00A413A5"/>
    <w:rsid w:val="00A41641"/>
    <w:rsid w:val="00A41717"/>
    <w:rsid w:val="00A41CA6"/>
    <w:rsid w:val="00A4267E"/>
    <w:rsid w:val="00A431ED"/>
    <w:rsid w:val="00A47927"/>
    <w:rsid w:val="00A47FFC"/>
    <w:rsid w:val="00A52C51"/>
    <w:rsid w:val="00A5442F"/>
    <w:rsid w:val="00A54FD9"/>
    <w:rsid w:val="00A54FF9"/>
    <w:rsid w:val="00A55BAD"/>
    <w:rsid w:val="00A56765"/>
    <w:rsid w:val="00A64F65"/>
    <w:rsid w:val="00A66D7D"/>
    <w:rsid w:val="00A67095"/>
    <w:rsid w:val="00A675AC"/>
    <w:rsid w:val="00A7097D"/>
    <w:rsid w:val="00A71D9A"/>
    <w:rsid w:val="00A741E7"/>
    <w:rsid w:val="00A7581F"/>
    <w:rsid w:val="00A808CD"/>
    <w:rsid w:val="00A81274"/>
    <w:rsid w:val="00A84932"/>
    <w:rsid w:val="00A84C8F"/>
    <w:rsid w:val="00A85CBE"/>
    <w:rsid w:val="00A86ACA"/>
    <w:rsid w:val="00A90058"/>
    <w:rsid w:val="00A91FFB"/>
    <w:rsid w:val="00A9226D"/>
    <w:rsid w:val="00A92439"/>
    <w:rsid w:val="00A92FB1"/>
    <w:rsid w:val="00A95980"/>
    <w:rsid w:val="00A95A0C"/>
    <w:rsid w:val="00AA2765"/>
    <w:rsid w:val="00AA2A28"/>
    <w:rsid w:val="00AA77B5"/>
    <w:rsid w:val="00AB0AB1"/>
    <w:rsid w:val="00AB30FD"/>
    <w:rsid w:val="00AB6C44"/>
    <w:rsid w:val="00AB6C5D"/>
    <w:rsid w:val="00AC3401"/>
    <w:rsid w:val="00AC51A7"/>
    <w:rsid w:val="00AC603B"/>
    <w:rsid w:val="00AD0E89"/>
    <w:rsid w:val="00AD1D87"/>
    <w:rsid w:val="00AD20BA"/>
    <w:rsid w:val="00AD444B"/>
    <w:rsid w:val="00AD5614"/>
    <w:rsid w:val="00AD6C78"/>
    <w:rsid w:val="00AD6DEE"/>
    <w:rsid w:val="00AD7012"/>
    <w:rsid w:val="00AD7738"/>
    <w:rsid w:val="00AE03F0"/>
    <w:rsid w:val="00AE2EAB"/>
    <w:rsid w:val="00AE3D5B"/>
    <w:rsid w:val="00AF13D0"/>
    <w:rsid w:val="00AF13DB"/>
    <w:rsid w:val="00AF34BA"/>
    <w:rsid w:val="00AF3D9B"/>
    <w:rsid w:val="00AF5E0E"/>
    <w:rsid w:val="00AF5F89"/>
    <w:rsid w:val="00AF6FB4"/>
    <w:rsid w:val="00AF73CB"/>
    <w:rsid w:val="00B002D6"/>
    <w:rsid w:val="00B02EF0"/>
    <w:rsid w:val="00B03379"/>
    <w:rsid w:val="00B03483"/>
    <w:rsid w:val="00B03FA5"/>
    <w:rsid w:val="00B04110"/>
    <w:rsid w:val="00B0509D"/>
    <w:rsid w:val="00B05B51"/>
    <w:rsid w:val="00B13A74"/>
    <w:rsid w:val="00B14E5A"/>
    <w:rsid w:val="00B15370"/>
    <w:rsid w:val="00B16DA4"/>
    <w:rsid w:val="00B17BEB"/>
    <w:rsid w:val="00B21A3C"/>
    <w:rsid w:val="00B223C0"/>
    <w:rsid w:val="00B234ED"/>
    <w:rsid w:val="00B2443F"/>
    <w:rsid w:val="00B249B2"/>
    <w:rsid w:val="00B24BEC"/>
    <w:rsid w:val="00B25CA3"/>
    <w:rsid w:val="00B2765A"/>
    <w:rsid w:val="00B27DEB"/>
    <w:rsid w:val="00B3109A"/>
    <w:rsid w:val="00B314D2"/>
    <w:rsid w:val="00B319B1"/>
    <w:rsid w:val="00B31BD5"/>
    <w:rsid w:val="00B32D37"/>
    <w:rsid w:val="00B336AA"/>
    <w:rsid w:val="00B41AA8"/>
    <w:rsid w:val="00B42B45"/>
    <w:rsid w:val="00B50262"/>
    <w:rsid w:val="00B516ED"/>
    <w:rsid w:val="00B565DA"/>
    <w:rsid w:val="00B57A6A"/>
    <w:rsid w:val="00B62D0D"/>
    <w:rsid w:val="00B760F1"/>
    <w:rsid w:val="00B7669E"/>
    <w:rsid w:val="00B76EBB"/>
    <w:rsid w:val="00B77DA1"/>
    <w:rsid w:val="00B822A0"/>
    <w:rsid w:val="00B82F85"/>
    <w:rsid w:val="00B858AE"/>
    <w:rsid w:val="00B85964"/>
    <w:rsid w:val="00B95303"/>
    <w:rsid w:val="00B95C76"/>
    <w:rsid w:val="00B95EF7"/>
    <w:rsid w:val="00B96250"/>
    <w:rsid w:val="00BA0D55"/>
    <w:rsid w:val="00BA37B3"/>
    <w:rsid w:val="00BA4CC6"/>
    <w:rsid w:val="00BA7F46"/>
    <w:rsid w:val="00BB0F1D"/>
    <w:rsid w:val="00BB1628"/>
    <w:rsid w:val="00BB217B"/>
    <w:rsid w:val="00BB2616"/>
    <w:rsid w:val="00BB3493"/>
    <w:rsid w:val="00BB544C"/>
    <w:rsid w:val="00BB6E4C"/>
    <w:rsid w:val="00BB7468"/>
    <w:rsid w:val="00BC0514"/>
    <w:rsid w:val="00BC188A"/>
    <w:rsid w:val="00BC3B87"/>
    <w:rsid w:val="00BC402E"/>
    <w:rsid w:val="00BC70C6"/>
    <w:rsid w:val="00BD0F48"/>
    <w:rsid w:val="00BD1284"/>
    <w:rsid w:val="00BD14E5"/>
    <w:rsid w:val="00BE0E50"/>
    <w:rsid w:val="00BE10E0"/>
    <w:rsid w:val="00BE18B7"/>
    <w:rsid w:val="00BE1D3A"/>
    <w:rsid w:val="00BE566F"/>
    <w:rsid w:val="00BE6023"/>
    <w:rsid w:val="00BE686D"/>
    <w:rsid w:val="00BE6DDB"/>
    <w:rsid w:val="00BE6E32"/>
    <w:rsid w:val="00BE6FDA"/>
    <w:rsid w:val="00BF03E0"/>
    <w:rsid w:val="00BF17CC"/>
    <w:rsid w:val="00BF5010"/>
    <w:rsid w:val="00BF6CD4"/>
    <w:rsid w:val="00C002C1"/>
    <w:rsid w:val="00C00683"/>
    <w:rsid w:val="00C03009"/>
    <w:rsid w:val="00C03D5F"/>
    <w:rsid w:val="00C13791"/>
    <w:rsid w:val="00C210BD"/>
    <w:rsid w:val="00C2575A"/>
    <w:rsid w:val="00C31BB3"/>
    <w:rsid w:val="00C32F9A"/>
    <w:rsid w:val="00C36977"/>
    <w:rsid w:val="00C435C5"/>
    <w:rsid w:val="00C4436C"/>
    <w:rsid w:val="00C46628"/>
    <w:rsid w:val="00C467DA"/>
    <w:rsid w:val="00C477D9"/>
    <w:rsid w:val="00C530DF"/>
    <w:rsid w:val="00C53BC8"/>
    <w:rsid w:val="00C5731A"/>
    <w:rsid w:val="00C57869"/>
    <w:rsid w:val="00C57D5A"/>
    <w:rsid w:val="00C6097E"/>
    <w:rsid w:val="00C60BA3"/>
    <w:rsid w:val="00C623F7"/>
    <w:rsid w:val="00C6297D"/>
    <w:rsid w:val="00C62A81"/>
    <w:rsid w:val="00C63E8F"/>
    <w:rsid w:val="00C67CD7"/>
    <w:rsid w:val="00C71E00"/>
    <w:rsid w:val="00C72152"/>
    <w:rsid w:val="00C75BC5"/>
    <w:rsid w:val="00C81670"/>
    <w:rsid w:val="00C81773"/>
    <w:rsid w:val="00C82861"/>
    <w:rsid w:val="00C8396C"/>
    <w:rsid w:val="00C846A3"/>
    <w:rsid w:val="00C8564E"/>
    <w:rsid w:val="00C86896"/>
    <w:rsid w:val="00C907A8"/>
    <w:rsid w:val="00C91670"/>
    <w:rsid w:val="00C93211"/>
    <w:rsid w:val="00C93DB8"/>
    <w:rsid w:val="00C940CD"/>
    <w:rsid w:val="00C942EC"/>
    <w:rsid w:val="00C94E7A"/>
    <w:rsid w:val="00C96047"/>
    <w:rsid w:val="00C96C9E"/>
    <w:rsid w:val="00C979D0"/>
    <w:rsid w:val="00CA0818"/>
    <w:rsid w:val="00CA15C8"/>
    <w:rsid w:val="00CA2C8F"/>
    <w:rsid w:val="00CA30DA"/>
    <w:rsid w:val="00CA3A24"/>
    <w:rsid w:val="00CA618F"/>
    <w:rsid w:val="00CB16BF"/>
    <w:rsid w:val="00CB1777"/>
    <w:rsid w:val="00CB33E9"/>
    <w:rsid w:val="00CC10A9"/>
    <w:rsid w:val="00CD0655"/>
    <w:rsid w:val="00CD0660"/>
    <w:rsid w:val="00CD4FA1"/>
    <w:rsid w:val="00CD7089"/>
    <w:rsid w:val="00CD71AF"/>
    <w:rsid w:val="00CE2BF8"/>
    <w:rsid w:val="00CE484E"/>
    <w:rsid w:val="00CE4D20"/>
    <w:rsid w:val="00CE656F"/>
    <w:rsid w:val="00CE6A0B"/>
    <w:rsid w:val="00CF0DA8"/>
    <w:rsid w:val="00CF2E25"/>
    <w:rsid w:val="00CF4453"/>
    <w:rsid w:val="00CF4629"/>
    <w:rsid w:val="00CF5589"/>
    <w:rsid w:val="00CF5D94"/>
    <w:rsid w:val="00CF7E0F"/>
    <w:rsid w:val="00D00893"/>
    <w:rsid w:val="00D034D7"/>
    <w:rsid w:val="00D04BE4"/>
    <w:rsid w:val="00D0564B"/>
    <w:rsid w:val="00D06FC7"/>
    <w:rsid w:val="00D10863"/>
    <w:rsid w:val="00D12565"/>
    <w:rsid w:val="00D140C1"/>
    <w:rsid w:val="00D14127"/>
    <w:rsid w:val="00D20741"/>
    <w:rsid w:val="00D211DE"/>
    <w:rsid w:val="00D22397"/>
    <w:rsid w:val="00D27915"/>
    <w:rsid w:val="00D311F7"/>
    <w:rsid w:val="00D479AE"/>
    <w:rsid w:val="00D50749"/>
    <w:rsid w:val="00D50FCD"/>
    <w:rsid w:val="00D533E3"/>
    <w:rsid w:val="00D60B16"/>
    <w:rsid w:val="00D60C20"/>
    <w:rsid w:val="00D60F02"/>
    <w:rsid w:val="00D64A0B"/>
    <w:rsid w:val="00D66C54"/>
    <w:rsid w:val="00D66E49"/>
    <w:rsid w:val="00D67AEB"/>
    <w:rsid w:val="00D70D71"/>
    <w:rsid w:val="00D72F74"/>
    <w:rsid w:val="00D80838"/>
    <w:rsid w:val="00D81563"/>
    <w:rsid w:val="00D837C1"/>
    <w:rsid w:val="00D84CE4"/>
    <w:rsid w:val="00D85907"/>
    <w:rsid w:val="00D860AC"/>
    <w:rsid w:val="00D86315"/>
    <w:rsid w:val="00D9073E"/>
    <w:rsid w:val="00D9221D"/>
    <w:rsid w:val="00D9253C"/>
    <w:rsid w:val="00D958DF"/>
    <w:rsid w:val="00D96DA1"/>
    <w:rsid w:val="00DA41A8"/>
    <w:rsid w:val="00DA51E7"/>
    <w:rsid w:val="00DB0260"/>
    <w:rsid w:val="00DB1C78"/>
    <w:rsid w:val="00DB7D96"/>
    <w:rsid w:val="00DC0098"/>
    <w:rsid w:val="00DC23FE"/>
    <w:rsid w:val="00DC59E6"/>
    <w:rsid w:val="00DC7AB8"/>
    <w:rsid w:val="00DD06F8"/>
    <w:rsid w:val="00DD150B"/>
    <w:rsid w:val="00DD3356"/>
    <w:rsid w:val="00DD5025"/>
    <w:rsid w:val="00DD5464"/>
    <w:rsid w:val="00DD6F85"/>
    <w:rsid w:val="00DD748A"/>
    <w:rsid w:val="00DE254E"/>
    <w:rsid w:val="00DE32C0"/>
    <w:rsid w:val="00DE52C0"/>
    <w:rsid w:val="00DE75CA"/>
    <w:rsid w:val="00DE76A7"/>
    <w:rsid w:val="00DF1163"/>
    <w:rsid w:val="00DF1510"/>
    <w:rsid w:val="00E02F1F"/>
    <w:rsid w:val="00E05454"/>
    <w:rsid w:val="00E06484"/>
    <w:rsid w:val="00E06B24"/>
    <w:rsid w:val="00E12BA8"/>
    <w:rsid w:val="00E14E65"/>
    <w:rsid w:val="00E1515C"/>
    <w:rsid w:val="00E157D8"/>
    <w:rsid w:val="00E20A7D"/>
    <w:rsid w:val="00E20ED5"/>
    <w:rsid w:val="00E23FE4"/>
    <w:rsid w:val="00E26550"/>
    <w:rsid w:val="00E275D8"/>
    <w:rsid w:val="00E27895"/>
    <w:rsid w:val="00E30F6A"/>
    <w:rsid w:val="00E3117C"/>
    <w:rsid w:val="00E31288"/>
    <w:rsid w:val="00E31662"/>
    <w:rsid w:val="00E3191F"/>
    <w:rsid w:val="00E34307"/>
    <w:rsid w:val="00E34511"/>
    <w:rsid w:val="00E35E6C"/>
    <w:rsid w:val="00E3635B"/>
    <w:rsid w:val="00E375C3"/>
    <w:rsid w:val="00E375CA"/>
    <w:rsid w:val="00E45D12"/>
    <w:rsid w:val="00E46EA7"/>
    <w:rsid w:val="00E47341"/>
    <w:rsid w:val="00E473E4"/>
    <w:rsid w:val="00E5364F"/>
    <w:rsid w:val="00E53CDE"/>
    <w:rsid w:val="00E567E8"/>
    <w:rsid w:val="00E61EE4"/>
    <w:rsid w:val="00E63647"/>
    <w:rsid w:val="00E63766"/>
    <w:rsid w:val="00E64679"/>
    <w:rsid w:val="00E65EBC"/>
    <w:rsid w:val="00E6602E"/>
    <w:rsid w:val="00E677FE"/>
    <w:rsid w:val="00E67B74"/>
    <w:rsid w:val="00E73432"/>
    <w:rsid w:val="00E77B0C"/>
    <w:rsid w:val="00E77FB8"/>
    <w:rsid w:val="00E838B0"/>
    <w:rsid w:val="00E85188"/>
    <w:rsid w:val="00E86A7C"/>
    <w:rsid w:val="00E878E1"/>
    <w:rsid w:val="00E87F2C"/>
    <w:rsid w:val="00E91C03"/>
    <w:rsid w:val="00E93E24"/>
    <w:rsid w:val="00E95278"/>
    <w:rsid w:val="00E96A42"/>
    <w:rsid w:val="00EA2273"/>
    <w:rsid w:val="00EA7C3C"/>
    <w:rsid w:val="00EB2DB3"/>
    <w:rsid w:val="00EC2A7A"/>
    <w:rsid w:val="00EC3FBB"/>
    <w:rsid w:val="00EC5475"/>
    <w:rsid w:val="00EC5751"/>
    <w:rsid w:val="00EC6B7A"/>
    <w:rsid w:val="00EC77F1"/>
    <w:rsid w:val="00ED3A87"/>
    <w:rsid w:val="00ED4A1D"/>
    <w:rsid w:val="00ED5B67"/>
    <w:rsid w:val="00EE1A5C"/>
    <w:rsid w:val="00EE5F5A"/>
    <w:rsid w:val="00EF0327"/>
    <w:rsid w:val="00EF1018"/>
    <w:rsid w:val="00EF22FB"/>
    <w:rsid w:val="00EF264C"/>
    <w:rsid w:val="00EF3FEE"/>
    <w:rsid w:val="00EF6B41"/>
    <w:rsid w:val="00F04B59"/>
    <w:rsid w:val="00F07B69"/>
    <w:rsid w:val="00F07D48"/>
    <w:rsid w:val="00F11741"/>
    <w:rsid w:val="00F117B0"/>
    <w:rsid w:val="00F12B1C"/>
    <w:rsid w:val="00F13CF8"/>
    <w:rsid w:val="00F14474"/>
    <w:rsid w:val="00F15855"/>
    <w:rsid w:val="00F200B2"/>
    <w:rsid w:val="00F227DC"/>
    <w:rsid w:val="00F25326"/>
    <w:rsid w:val="00F26155"/>
    <w:rsid w:val="00F263B9"/>
    <w:rsid w:val="00F30701"/>
    <w:rsid w:val="00F32978"/>
    <w:rsid w:val="00F441A3"/>
    <w:rsid w:val="00F45CB2"/>
    <w:rsid w:val="00F468B5"/>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278"/>
    <w:rsid w:val="00FA5861"/>
    <w:rsid w:val="00FA59CD"/>
    <w:rsid w:val="00FB0CDC"/>
    <w:rsid w:val="00FB1740"/>
    <w:rsid w:val="00FB1D8E"/>
    <w:rsid w:val="00FB4235"/>
    <w:rsid w:val="00FB4474"/>
    <w:rsid w:val="00FC4446"/>
    <w:rsid w:val="00FC5469"/>
    <w:rsid w:val="00FC63F9"/>
    <w:rsid w:val="00FC6D7D"/>
    <w:rsid w:val="00FC7328"/>
    <w:rsid w:val="00FD16B0"/>
    <w:rsid w:val="00FD27CE"/>
    <w:rsid w:val="00FD4FED"/>
    <w:rsid w:val="00FD6074"/>
    <w:rsid w:val="00FE005E"/>
    <w:rsid w:val="00FE00C8"/>
    <w:rsid w:val="00FE0577"/>
    <w:rsid w:val="00FE21A9"/>
    <w:rsid w:val="00FE2FF8"/>
    <w:rsid w:val="00FE564E"/>
    <w:rsid w:val="00FE59EC"/>
    <w:rsid w:val="00FE5B67"/>
    <w:rsid w:val="00FE60D6"/>
    <w:rsid w:val="00FE7B28"/>
    <w:rsid w:val="00FF21F2"/>
    <w:rsid w:val="00FF4046"/>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A6A7AD"/>
  <w15:docId w15:val="{EA471CCD-9BD2-4C61-830B-B74E2EA6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E46E5"/>
    <w:rPr>
      <w:vertAlign w:val="superscript"/>
    </w:rPr>
  </w:style>
  <w:style w:type="character" w:styleId="FollowedHyperlink">
    <w:name w:val="FollowedHyperlink"/>
    <w:basedOn w:val="DefaultParagraphFont"/>
    <w:semiHidden/>
    <w:unhideWhenUsed/>
    <w:rsid w:val="00070B0E"/>
    <w:rPr>
      <w:color w:val="800080" w:themeColor="followedHyperlink"/>
      <w:u w:val="single"/>
    </w:rPr>
  </w:style>
  <w:style w:type="paragraph" w:styleId="ListParagraph">
    <w:name w:val="List Paragraph"/>
    <w:basedOn w:val="Normal"/>
    <w:uiPriority w:val="34"/>
    <w:qFormat/>
    <w:rsid w:val="005C404A"/>
    <w:pPr>
      <w:ind w:left="720"/>
      <w:contextualSpacing/>
    </w:pPr>
  </w:style>
  <w:style w:type="character" w:styleId="CommentReference">
    <w:name w:val="annotation reference"/>
    <w:basedOn w:val="DefaultParagraphFont"/>
    <w:semiHidden/>
    <w:unhideWhenUsed/>
    <w:rsid w:val="00585F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1633-90F7-4F4B-AC8F-2B7E818D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2313</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Andrew  Souchik</dc:creator>
  <cp:keywords/>
  <dc:description/>
  <cp:lastModifiedBy>April Teichler</cp:lastModifiedBy>
  <cp:revision>2</cp:revision>
  <cp:lastPrinted>2026-05-19T16:33:00Z</cp:lastPrinted>
  <dcterms:created xsi:type="dcterms:W3CDTF">2026-05-20T12:06:00Z</dcterms:created>
  <dcterms:modified xsi:type="dcterms:W3CDTF">2026-05-20T12:06:00Z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Document">
    <vt:bool>false</vt:bool>
  </property>
  <property fmtid="{D5CDD505-2E9C-101B-9397-08002B2CF9AE}" pid="3" name="SubDocument">
    <vt:bool>false</vt:bool>
  </property>
  <property fmtid="{D5CDD505-2E9C-101B-9397-08002B2CF9AE}" pid="4" name="DocketList">
    <vt:lpwstr>20260044-EI</vt:lpwstr>
  </property>
</Properties>
</file>