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24E7" w14:textId="74DA10F8" w:rsidR="00060BD5" w:rsidRDefault="00B348E2" w:rsidP="00B348E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E0792">
        <w:rPr>
          <w:b/>
          <w:bCs/>
          <w:sz w:val="28"/>
          <w:szCs w:val="28"/>
        </w:rPr>
        <w:t>Third Quarter Report to PSC/TASA Committee for SFY 2021-2022</w:t>
      </w:r>
    </w:p>
    <w:p w14:paraId="026B1103" w14:textId="5A91C7A2" w:rsidR="00DC1894" w:rsidRPr="00AE0792" w:rsidRDefault="00DC1894" w:rsidP="00B34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Florida Telecommunications Relay, Inc.  (FTRI)</w:t>
      </w:r>
    </w:p>
    <w:p w14:paraId="132C17FF" w14:textId="1E72BAD2" w:rsidR="00267F4D" w:rsidRPr="00EA2831" w:rsidRDefault="00EA2831" w:rsidP="008C31C2">
      <w:pPr>
        <w:jc w:val="center"/>
        <w:rPr>
          <w:b/>
          <w:bCs/>
          <w:sz w:val="24"/>
          <w:szCs w:val="24"/>
        </w:rPr>
      </w:pPr>
      <w:r w:rsidRPr="00EA2831">
        <w:rPr>
          <w:b/>
          <w:bCs/>
          <w:sz w:val="24"/>
          <w:szCs w:val="24"/>
        </w:rPr>
        <w:t>May 24, 2022, TASA Advisory Committee Meeting</w:t>
      </w:r>
    </w:p>
    <w:p w14:paraId="72912945" w14:textId="3275D751" w:rsidR="00B348E2" w:rsidRPr="008C31C2" w:rsidRDefault="00B348E2" w:rsidP="008C31C2">
      <w:pPr>
        <w:jc w:val="center"/>
        <w:rPr>
          <w:b/>
          <w:bCs/>
          <w:sz w:val="24"/>
          <w:szCs w:val="24"/>
          <w:u w:val="single"/>
        </w:rPr>
      </w:pPr>
      <w:r w:rsidRPr="008C31C2">
        <w:rPr>
          <w:b/>
          <w:bCs/>
          <w:sz w:val="24"/>
          <w:szCs w:val="24"/>
          <w:u w:val="single"/>
        </w:rPr>
        <w:t>C</w:t>
      </w:r>
      <w:r w:rsidR="00AE0792" w:rsidRPr="008C31C2">
        <w:rPr>
          <w:b/>
          <w:bCs/>
          <w:sz w:val="24"/>
          <w:szCs w:val="24"/>
          <w:u w:val="single"/>
        </w:rPr>
        <w:t>LIENT SERVICES REPORT</w:t>
      </w:r>
    </w:p>
    <w:p w14:paraId="53A3F384" w14:textId="172F57D0" w:rsidR="0035290A" w:rsidRPr="008C31C2" w:rsidRDefault="0035290A" w:rsidP="0035290A">
      <w:pPr>
        <w:jc w:val="center"/>
        <w:rPr>
          <w:b/>
          <w:bCs/>
        </w:rPr>
      </w:pPr>
      <w:r w:rsidRPr="008C31C2">
        <w:rPr>
          <w:b/>
          <w:bCs/>
        </w:rPr>
        <w:t>SNAPSHOT OF FTRI SERVICES AS OF 3/31/2022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605"/>
        <w:gridCol w:w="1707"/>
        <w:gridCol w:w="1258"/>
        <w:gridCol w:w="270"/>
        <w:gridCol w:w="1796"/>
        <w:gridCol w:w="1258"/>
        <w:gridCol w:w="270"/>
        <w:gridCol w:w="1186"/>
      </w:tblGrid>
      <w:tr w:rsidR="00695D02" w14:paraId="3A431E7B" w14:textId="77777777" w:rsidTr="00695D02">
        <w:tc>
          <w:tcPr>
            <w:tcW w:w="2610" w:type="dxa"/>
          </w:tcPr>
          <w:p w14:paraId="53C1DF93" w14:textId="77777777" w:rsidR="00695D02" w:rsidRDefault="00695D02" w:rsidP="007279D3">
            <w:pPr>
              <w:jc w:val="center"/>
            </w:pPr>
          </w:p>
        </w:tc>
        <w:tc>
          <w:tcPr>
            <w:tcW w:w="1710" w:type="dxa"/>
          </w:tcPr>
          <w:p w14:paraId="4FAAF553" w14:textId="77777777" w:rsidR="00695D02" w:rsidRDefault="00695D02" w:rsidP="007279D3">
            <w:pPr>
              <w:jc w:val="center"/>
              <w:rPr>
                <w:b/>
                <w:bCs/>
              </w:rPr>
            </w:pPr>
            <w:r w:rsidRPr="00FE645D">
              <w:rPr>
                <w:b/>
                <w:bCs/>
              </w:rPr>
              <w:t>3</w:t>
            </w:r>
            <w:r w:rsidRPr="00FE645D">
              <w:rPr>
                <w:b/>
                <w:bCs/>
                <w:vertAlign w:val="superscript"/>
              </w:rPr>
              <w:t>rd</w:t>
            </w:r>
            <w:r w:rsidRPr="00FE645D">
              <w:rPr>
                <w:b/>
                <w:bCs/>
              </w:rPr>
              <w:t xml:space="preserve"> Qtr. (3 M</w:t>
            </w:r>
            <w:r>
              <w:rPr>
                <w:b/>
                <w:bCs/>
              </w:rPr>
              <w:t>o</w:t>
            </w:r>
            <w:r w:rsidRPr="00FE645D">
              <w:rPr>
                <w:b/>
                <w:bCs/>
              </w:rPr>
              <w:t>s.)</w:t>
            </w:r>
          </w:p>
          <w:p w14:paraId="6C9252B5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  <w:tc>
          <w:tcPr>
            <w:tcW w:w="1260" w:type="dxa"/>
          </w:tcPr>
          <w:p w14:paraId="447BD6A0" w14:textId="77777777" w:rsidR="00695D02" w:rsidRPr="004319A1" w:rsidRDefault="00695D02" w:rsidP="007279D3">
            <w:pPr>
              <w:jc w:val="center"/>
              <w:rPr>
                <w:b/>
                <w:bCs/>
              </w:rPr>
            </w:pPr>
            <w:r w:rsidRPr="004319A1">
              <w:rPr>
                <w:b/>
                <w:bCs/>
              </w:rPr>
              <w:t>9 Mos.</w:t>
            </w:r>
          </w:p>
          <w:p w14:paraId="5DE58F1E" w14:textId="77777777" w:rsidR="00695D02" w:rsidRPr="004319A1" w:rsidRDefault="00695D02" w:rsidP="007279D3">
            <w:pPr>
              <w:jc w:val="center"/>
              <w:rPr>
                <w:b/>
                <w:bCs/>
              </w:rPr>
            </w:pPr>
            <w:r w:rsidRPr="004319A1">
              <w:rPr>
                <w:b/>
                <w:bCs/>
              </w:rPr>
              <w:t>2021-2022</w:t>
            </w:r>
          </w:p>
        </w:tc>
        <w:tc>
          <w:tcPr>
            <w:tcW w:w="270" w:type="dxa"/>
            <w:shd w:val="clear" w:color="auto" w:fill="00B0F0"/>
          </w:tcPr>
          <w:p w14:paraId="166DABAE" w14:textId="77777777" w:rsidR="00695D02" w:rsidRPr="00267F4D" w:rsidRDefault="00695D02" w:rsidP="007279D3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4AB04751" w14:textId="27703352" w:rsidR="00695D02" w:rsidRPr="0023016B" w:rsidRDefault="00695D02" w:rsidP="007279D3">
            <w:pPr>
              <w:jc w:val="center"/>
              <w:rPr>
                <w:b/>
                <w:bCs/>
              </w:rPr>
            </w:pPr>
            <w:r w:rsidRPr="0023016B">
              <w:rPr>
                <w:b/>
                <w:bCs/>
              </w:rPr>
              <w:t>3rd Qtr. (3 Mos.)</w:t>
            </w:r>
          </w:p>
          <w:p w14:paraId="67ACCAF6" w14:textId="77777777" w:rsidR="00695D02" w:rsidRDefault="00695D02" w:rsidP="007279D3">
            <w:pPr>
              <w:jc w:val="center"/>
            </w:pPr>
            <w:r w:rsidRPr="0023016B">
              <w:rPr>
                <w:b/>
                <w:bCs/>
              </w:rPr>
              <w:t>2020-2021</w:t>
            </w:r>
          </w:p>
        </w:tc>
        <w:tc>
          <w:tcPr>
            <w:tcW w:w="1260" w:type="dxa"/>
          </w:tcPr>
          <w:p w14:paraId="6AF325B8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  <w:r w:rsidRPr="00FE645D">
              <w:rPr>
                <w:b/>
                <w:bCs/>
              </w:rPr>
              <w:t>9 Mos.</w:t>
            </w:r>
          </w:p>
          <w:p w14:paraId="0CFAE255" w14:textId="77777777" w:rsidR="00695D02" w:rsidRPr="00473997" w:rsidRDefault="00695D02" w:rsidP="007279D3">
            <w:pPr>
              <w:jc w:val="center"/>
            </w:pPr>
            <w:r w:rsidRPr="00FE645D">
              <w:rPr>
                <w:b/>
                <w:bCs/>
              </w:rPr>
              <w:t>202</w:t>
            </w:r>
            <w:r>
              <w:rPr>
                <w:b/>
                <w:bCs/>
              </w:rPr>
              <w:t>0</w:t>
            </w:r>
            <w:r w:rsidRPr="00FE645D">
              <w:rPr>
                <w:b/>
                <w:bCs/>
              </w:rPr>
              <w:t>-202</w:t>
            </w: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  <w:shd w:val="clear" w:color="auto" w:fill="00B0F0"/>
          </w:tcPr>
          <w:p w14:paraId="052B2657" w14:textId="77777777" w:rsidR="00695D02" w:rsidRDefault="00695D02" w:rsidP="007279D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C98C4E" w14:textId="4130B8B7" w:rsidR="00695D02" w:rsidRDefault="00695D02" w:rsidP="00727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as of</w:t>
            </w:r>
          </w:p>
          <w:p w14:paraId="4218535E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3/31/2022</w:t>
            </w:r>
          </w:p>
        </w:tc>
      </w:tr>
      <w:tr w:rsidR="00695D02" w14:paraId="196F195D" w14:textId="77777777" w:rsidTr="00695D02">
        <w:tc>
          <w:tcPr>
            <w:tcW w:w="2610" w:type="dxa"/>
          </w:tcPr>
          <w:p w14:paraId="3BF52CA6" w14:textId="77777777" w:rsidR="00695D02" w:rsidRDefault="00695D02" w:rsidP="007279D3">
            <w:pPr>
              <w:jc w:val="center"/>
            </w:pPr>
            <w:r>
              <w:t># Services</w:t>
            </w:r>
          </w:p>
        </w:tc>
        <w:tc>
          <w:tcPr>
            <w:tcW w:w="1710" w:type="dxa"/>
          </w:tcPr>
          <w:p w14:paraId="47BEBF96" w14:textId="77777777" w:rsidR="00695D02" w:rsidRPr="004319A1" w:rsidRDefault="00695D02" w:rsidP="007279D3">
            <w:pPr>
              <w:jc w:val="center"/>
            </w:pPr>
            <w:r w:rsidRPr="004319A1">
              <w:t>1</w:t>
            </w:r>
            <w:r>
              <w:t>,</w:t>
            </w:r>
            <w:r w:rsidRPr="004319A1">
              <w:t>737</w:t>
            </w:r>
          </w:p>
        </w:tc>
        <w:tc>
          <w:tcPr>
            <w:tcW w:w="1260" w:type="dxa"/>
          </w:tcPr>
          <w:p w14:paraId="7BC8AAD1" w14:textId="77777777" w:rsidR="00695D02" w:rsidRDefault="00695D02" w:rsidP="007279D3">
            <w:pPr>
              <w:jc w:val="center"/>
            </w:pPr>
            <w:r>
              <w:t>4,800</w:t>
            </w:r>
          </w:p>
        </w:tc>
        <w:tc>
          <w:tcPr>
            <w:tcW w:w="270" w:type="dxa"/>
            <w:shd w:val="clear" w:color="auto" w:fill="00B0F0"/>
          </w:tcPr>
          <w:p w14:paraId="63E12CC0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5C4DFF26" w14:textId="085FF25A" w:rsidR="00695D02" w:rsidRDefault="00695D02" w:rsidP="007279D3">
            <w:pPr>
              <w:jc w:val="center"/>
            </w:pPr>
            <w:r w:rsidRPr="00473997">
              <w:t>1,972</w:t>
            </w:r>
          </w:p>
        </w:tc>
        <w:tc>
          <w:tcPr>
            <w:tcW w:w="1260" w:type="dxa"/>
          </w:tcPr>
          <w:p w14:paraId="37422BF2" w14:textId="77777777" w:rsidR="00695D02" w:rsidRPr="00473997" w:rsidRDefault="00695D02" w:rsidP="007279D3">
            <w:pPr>
              <w:jc w:val="center"/>
            </w:pPr>
            <w:r>
              <w:t>6,202</w:t>
            </w:r>
          </w:p>
        </w:tc>
        <w:tc>
          <w:tcPr>
            <w:tcW w:w="270" w:type="dxa"/>
            <w:shd w:val="clear" w:color="auto" w:fill="00B0F0"/>
          </w:tcPr>
          <w:p w14:paraId="0AAE2790" w14:textId="77777777" w:rsidR="00695D02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009CC646" w14:textId="636A939F" w:rsidR="00695D02" w:rsidRDefault="00695D02" w:rsidP="007279D3">
            <w:pPr>
              <w:jc w:val="center"/>
            </w:pPr>
          </w:p>
        </w:tc>
      </w:tr>
      <w:tr w:rsidR="00695D02" w14:paraId="10B0DC07" w14:textId="77777777" w:rsidTr="00695D02">
        <w:tc>
          <w:tcPr>
            <w:tcW w:w="2610" w:type="dxa"/>
          </w:tcPr>
          <w:p w14:paraId="562CC586" w14:textId="77777777" w:rsidR="00695D02" w:rsidRDefault="00695D02" w:rsidP="007279D3">
            <w:pPr>
              <w:jc w:val="center"/>
            </w:pPr>
            <w:r>
              <w:t># New Clients</w:t>
            </w:r>
          </w:p>
        </w:tc>
        <w:tc>
          <w:tcPr>
            <w:tcW w:w="1710" w:type="dxa"/>
          </w:tcPr>
          <w:p w14:paraId="0EA288A0" w14:textId="77777777" w:rsidR="00695D02" w:rsidRPr="004319A1" w:rsidRDefault="00695D02" w:rsidP="007279D3">
            <w:pPr>
              <w:jc w:val="center"/>
            </w:pPr>
            <w:r w:rsidRPr="004319A1">
              <w:t>561</w:t>
            </w:r>
          </w:p>
        </w:tc>
        <w:tc>
          <w:tcPr>
            <w:tcW w:w="1260" w:type="dxa"/>
          </w:tcPr>
          <w:p w14:paraId="0C602351" w14:textId="77777777" w:rsidR="00695D02" w:rsidRDefault="00695D02" w:rsidP="007279D3">
            <w:pPr>
              <w:jc w:val="center"/>
            </w:pPr>
            <w:r>
              <w:t>1,555</w:t>
            </w:r>
          </w:p>
        </w:tc>
        <w:tc>
          <w:tcPr>
            <w:tcW w:w="270" w:type="dxa"/>
            <w:shd w:val="clear" w:color="auto" w:fill="00B0F0"/>
          </w:tcPr>
          <w:p w14:paraId="28EF2A4F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5F378EF3" w14:textId="507EBB95" w:rsidR="00695D02" w:rsidRDefault="00695D02" w:rsidP="007279D3">
            <w:pPr>
              <w:jc w:val="center"/>
            </w:pPr>
            <w:r>
              <w:t>616</w:t>
            </w:r>
          </w:p>
        </w:tc>
        <w:tc>
          <w:tcPr>
            <w:tcW w:w="1260" w:type="dxa"/>
          </w:tcPr>
          <w:p w14:paraId="7173E6C7" w14:textId="77777777" w:rsidR="00695D02" w:rsidRPr="00473997" w:rsidRDefault="00695D02" w:rsidP="007279D3">
            <w:pPr>
              <w:jc w:val="center"/>
            </w:pPr>
            <w:r>
              <w:t>1,867</w:t>
            </w:r>
          </w:p>
        </w:tc>
        <w:tc>
          <w:tcPr>
            <w:tcW w:w="270" w:type="dxa"/>
            <w:shd w:val="clear" w:color="auto" w:fill="00B0F0"/>
          </w:tcPr>
          <w:p w14:paraId="1A351221" w14:textId="77777777" w:rsidR="00695D02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06694CB8" w14:textId="563068E6" w:rsidR="00695D02" w:rsidRDefault="00695D02" w:rsidP="007279D3">
            <w:pPr>
              <w:jc w:val="center"/>
            </w:pPr>
          </w:p>
        </w:tc>
      </w:tr>
      <w:tr w:rsidR="00695D02" w14:paraId="7EC625F5" w14:textId="77777777" w:rsidTr="00695D02">
        <w:tc>
          <w:tcPr>
            <w:tcW w:w="2610" w:type="dxa"/>
          </w:tcPr>
          <w:p w14:paraId="6BF5C052" w14:textId="77777777" w:rsidR="00695D02" w:rsidRDefault="00695D02" w:rsidP="007279D3">
            <w:pPr>
              <w:jc w:val="center"/>
            </w:pPr>
            <w:r>
              <w:t># New Clients over Age 60</w:t>
            </w:r>
          </w:p>
        </w:tc>
        <w:tc>
          <w:tcPr>
            <w:tcW w:w="1710" w:type="dxa"/>
          </w:tcPr>
          <w:p w14:paraId="4DE00A71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  <w:r>
              <w:t>93% (520)</w:t>
            </w:r>
          </w:p>
        </w:tc>
        <w:tc>
          <w:tcPr>
            <w:tcW w:w="1260" w:type="dxa"/>
          </w:tcPr>
          <w:p w14:paraId="26FD663F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23F30422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62484684" w14:textId="7A36D0BE" w:rsidR="00695D02" w:rsidRDefault="00695D02" w:rsidP="007279D3">
            <w:pPr>
              <w:jc w:val="center"/>
            </w:pPr>
            <w:r w:rsidRPr="00473997">
              <w:t>89% (550)</w:t>
            </w:r>
          </w:p>
        </w:tc>
        <w:tc>
          <w:tcPr>
            <w:tcW w:w="1260" w:type="dxa"/>
          </w:tcPr>
          <w:p w14:paraId="09C628AC" w14:textId="77777777" w:rsidR="00695D02" w:rsidRPr="00473997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3FF1EEC8" w14:textId="77777777" w:rsidR="00695D02" w:rsidRPr="00473997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1213057C" w14:textId="010535E9" w:rsidR="00695D02" w:rsidRPr="00473997" w:rsidRDefault="00695D02" w:rsidP="007279D3">
            <w:pPr>
              <w:jc w:val="center"/>
            </w:pPr>
          </w:p>
        </w:tc>
      </w:tr>
      <w:tr w:rsidR="00695D02" w14:paraId="473AC0A2" w14:textId="77777777" w:rsidTr="00695D02">
        <w:tc>
          <w:tcPr>
            <w:tcW w:w="2610" w:type="dxa"/>
          </w:tcPr>
          <w:p w14:paraId="12AB25E3" w14:textId="77777777" w:rsidR="00695D02" w:rsidRDefault="00695D02" w:rsidP="007279D3">
            <w:pPr>
              <w:jc w:val="center"/>
            </w:pPr>
            <w:r>
              <w:t>Total # of Equipment to Active Clients</w:t>
            </w:r>
          </w:p>
        </w:tc>
        <w:tc>
          <w:tcPr>
            <w:tcW w:w="1710" w:type="dxa"/>
          </w:tcPr>
          <w:p w14:paraId="4AD92EEF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14:paraId="08EA6CE1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370B5CB8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245FB65A" w14:textId="3CF2509D" w:rsidR="00695D02" w:rsidRDefault="00695D02" w:rsidP="007279D3">
            <w:pPr>
              <w:jc w:val="center"/>
            </w:pPr>
          </w:p>
        </w:tc>
        <w:tc>
          <w:tcPr>
            <w:tcW w:w="1260" w:type="dxa"/>
          </w:tcPr>
          <w:p w14:paraId="06E36088" w14:textId="77777777" w:rsidR="00695D02" w:rsidRPr="00473997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37141DD4" w14:textId="77777777" w:rsidR="00695D02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5BFAFFF8" w14:textId="3F623EE8" w:rsidR="00695D02" w:rsidRPr="00473997" w:rsidRDefault="00695D02" w:rsidP="007279D3">
            <w:pPr>
              <w:jc w:val="center"/>
            </w:pPr>
            <w:r>
              <w:t>430,063</w:t>
            </w:r>
          </w:p>
        </w:tc>
      </w:tr>
      <w:tr w:rsidR="00695D02" w14:paraId="1BC73082" w14:textId="77777777" w:rsidTr="00695D02">
        <w:tc>
          <w:tcPr>
            <w:tcW w:w="2610" w:type="dxa"/>
          </w:tcPr>
          <w:p w14:paraId="33FCE423" w14:textId="77777777" w:rsidR="00695D02" w:rsidRDefault="00695D02" w:rsidP="007279D3">
            <w:pPr>
              <w:jc w:val="center"/>
            </w:pPr>
            <w:r>
              <w:t># Active Clients</w:t>
            </w:r>
          </w:p>
        </w:tc>
        <w:tc>
          <w:tcPr>
            <w:tcW w:w="1710" w:type="dxa"/>
          </w:tcPr>
          <w:p w14:paraId="07C8F207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14:paraId="42F9ABD1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37484829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7F415062" w14:textId="49F0D5D6" w:rsidR="00695D02" w:rsidRDefault="00695D02" w:rsidP="007279D3">
            <w:pPr>
              <w:jc w:val="center"/>
            </w:pPr>
          </w:p>
        </w:tc>
        <w:tc>
          <w:tcPr>
            <w:tcW w:w="1260" w:type="dxa"/>
          </w:tcPr>
          <w:p w14:paraId="07B5A92E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52560D66" w14:textId="77777777" w:rsidR="00695D02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5F27FAA3" w14:textId="19C915CD" w:rsidR="00695D02" w:rsidRDefault="00695D02" w:rsidP="007279D3">
            <w:pPr>
              <w:jc w:val="center"/>
            </w:pPr>
            <w:r>
              <w:t>341,239</w:t>
            </w:r>
          </w:p>
        </w:tc>
      </w:tr>
      <w:tr w:rsidR="00695D02" w14:paraId="20774AB1" w14:textId="77777777" w:rsidTr="00695D02">
        <w:trPr>
          <w:trHeight w:val="170"/>
        </w:trPr>
        <w:tc>
          <w:tcPr>
            <w:tcW w:w="2610" w:type="dxa"/>
          </w:tcPr>
          <w:p w14:paraId="439CB747" w14:textId="77777777" w:rsidR="00695D02" w:rsidRDefault="00695D02" w:rsidP="007279D3">
            <w:pPr>
              <w:jc w:val="center"/>
            </w:pPr>
            <w:r>
              <w:t># Inactive Clients</w:t>
            </w:r>
          </w:p>
        </w:tc>
        <w:tc>
          <w:tcPr>
            <w:tcW w:w="1710" w:type="dxa"/>
          </w:tcPr>
          <w:p w14:paraId="6E3006A4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14:paraId="437BB857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40134750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7C5BB7B2" w14:textId="6B05296E" w:rsidR="00695D02" w:rsidRDefault="00695D02" w:rsidP="007279D3">
            <w:pPr>
              <w:jc w:val="center"/>
            </w:pPr>
          </w:p>
        </w:tc>
        <w:tc>
          <w:tcPr>
            <w:tcW w:w="1260" w:type="dxa"/>
          </w:tcPr>
          <w:p w14:paraId="65A31C8D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00E79A04" w14:textId="77777777" w:rsidR="00695D02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3D8B34D9" w14:textId="4A4CD72C" w:rsidR="00695D02" w:rsidRDefault="00695D02" w:rsidP="007279D3">
            <w:pPr>
              <w:jc w:val="center"/>
            </w:pPr>
            <w:r>
              <w:t>231,196</w:t>
            </w:r>
          </w:p>
        </w:tc>
      </w:tr>
      <w:tr w:rsidR="00695D02" w14:paraId="12D9004A" w14:textId="77777777" w:rsidTr="00695D02">
        <w:tc>
          <w:tcPr>
            <w:tcW w:w="2610" w:type="dxa"/>
          </w:tcPr>
          <w:p w14:paraId="1B792452" w14:textId="77777777" w:rsidR="00695D02" w:rsidRDefault="00695D02" w:rsidP="007279D3">
            <w:pPr>
              <w:jc w:val="center"/>
            </w:pPr>
            <w:r>
              <w:t>No Status</w:t>
            </w:r>
          </w:p>
        </w:tc>
        <w:tc>
          <w:tcPr>
            <w:tcW w:w="1710" w:type="dxa"/>
          </w:tcPr>
          <w:p w14:paraId="1173243A" w14:textId="77777777" w:rsidR="00695D02" w:rsidRPr="00FE645D" w:rsidRDefault="00695D02" w:rsidP="007279D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14:paraId="09416EA9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273EE451" w14:textId="77777777" w:rsidR="00695D02" w:rsidRPr="00267F4D" w:rsidRDefault="00695D02" w:rsidP="007279D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00" w:type="dxa"/>
          </w:tcPr>
          <w:p w14:paraId="2E3EF59B" w14:textId="3EA3A6B3" w:rsidR="00695D02" w:rsidRDefault="00695D02" w:rsidP="007279D3">
            <w:pPr>
              <w:jc w:val="center"/>
            </w:pPr>
          </w:p>
        </w:tc>
        <w:tc>
          <w:tcPr>
            <w:tcW w:w="1260" w:type="dxa"/>
          </w:tcPr>
          <w:p w14:paraId="4060F53A" w14:textId="77777777" w:rsidR="00695D02" w:rsidRDefault="00695D02" w:rsidP="007279D3">
            <w:pPr>
              <w:jc w:val="center"/>
            </w:pPr>
          </w:p>
        </w:tc>
        <w:tc>
          <w:tcPr>
            <w:tcW w:w="270" w:type="dxa"/>
            <w:shd w:val="clear" w:color="auto" w:fill="00B0F0"/>
          </w:tcPr>
          <w:p w14:paraId="7F6FB24C" w14:textId="77777777" w:rsidR="00695D02" w:rsidRDefault="00695D02" w:rsidP="007279D3">
            <w:pPr>
              <w:jc w:val="center"/>
            </w:pPr>
          </w:p>
        </w:tc>
        <w:tc>
          <w:tcPr>
            <w:tcW w:w="1170" w:type="dxa"/>
          </w:tcPr>
          <w:p w14:paraId="62AC9B91" w14:textId="500C3590" w:rsidR="00695D02" w:rsidRDefault="00695D02" w:rsidP="007279D3">
            <w:pPr>
              <w:jc w:val="center"/>
            </w:pPr>
            <w:r>
              <w:t>48</w:t>
            </w:r>
          </w:p>
        </w:tc>
      </w:tr>
    </w:tbl>
    <w:p w14:paraId="39E476BF" w14:textId="77777777" w:rsidR="0035290A" w:rsidRDefault="0035290A" w:rsidP="00B348E2"/>
    <w:p w14:paraId="494FB3D5" w14:textId="260F143A" w:rsidR="00B348E2" w:rsidRDefault="0035290A" w:rsidP="00FE5800">
      <w:pPr>
        <w:spacing w:after="0" w:line="240" w:lineRule="auto"/>
      </w:pPr>
      <w:r>
        <w:t xml:space="preserve">       </w:t>
      </w:r>
      <w:r w:rsidR="00B348E2" w:rsidRPr="00DF7E66">
        <w:rPr>
          <w:b/>
          <w:bCs/>
          <w:u w:val="single"/>
        </w:rPr>
        <w:t xml:space="preserve">Noteworthy </w:t>
      </w:r>
      <w:r w:rsidR="00CF144E">
        <w:rPr>
          <w:b/>
          <w:bCs/>
          <w:u w:val="single"/>
        </w:rPr>
        <w:t xml:space="preserve">Equipment Distribution Program (EDP) </w:t>
      </w:r>
      <w:r w:rsidR="00B348E2" w:rsidRPr="00DF7E66">
        <w:rPr>
          <w:b/>
          <w:bCs/>
          <w:u w:val="single"/>
        </w:rPr>
        <w:t>Developments</w:t>
      </w:r>
      <w:r w:rsidR="00B348E2">
        <w:t>:</w:t>
      </w:r>
    </w:p>
    <w:p w14:paraId="6D0552B3" w14:textId="335FE735" w:rsidR="0049356B" w:rsidRDefault="0049356B" w:rsidP="0049356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first nine months of SFY 2021-2022, </w:t>
      </w:r>
      <w:r w:rsidR="00EA2831">
        <w:t>FTRI</w:t>
      </w:r>
      <w:r>
        <w:t xml:space="preserve"> had a monthly average of 533 services (with 173 new per month average).  We are </w:t>
      </w:r>
      <w:r w:rsidR="00DC1894">
        <w:t xml:space="preserve">starting to see </w:t>
      </w:r>
      <w:r>
        <w:t>an increase in the number of services in recent months. with March 2022 showing 610 services provided (222 new</w:t>
      </w:r>
      <w:r w:rsidRPr="002B2140">
        <w:t>).  A</w:t>
      </w:r>
      <w:r>
        <w:t>nd,</w:t>
      </w:r>
      <w:r w:rsidRPr="002B2140">
        <w:t xml:space="preserve"> for April 2022, the first month of 4</w:t>
      </w:r>
      <w:r w:rsidRPr="002B2140">
        <w:rPr>
          <w:vertAlign w:val="superscript"/>
        </w:rPr>
        <w:t>th</w:t>
      </w:r>
      <w:r w:rsidRPr="002B2140">
        <w:t xml:space="preserve"> Qtr., there was a total of </w:t>
      </w:r>
      <w:r>
        <w:t>635</w:t>
      </w:r>
      <w:r w:rsidRPr="002B2140">
        <w:t xml:space="preserve"> services (2</w:t>
      </w:r>
      <w:r>
        <w:t>71</w:t>
      </w:r>
      <w:r w:rsidRPr="002B2140">
        <w:t xml:space="preserve"> new).  Thus, w</w:t>
      </w:r>
      <w:r>
        <w:t>e have two successive months of 600+ services provided with over 200+ new services.</w:t>
      </w:r>
    </w:p>
    <w:p w14:paraId="24F0B419" w14:textId="1A5E307D" w:rsidR="0035290A" w:rsidRDefault="0035290A" w:rsidP="00FE5800">
      <w:pPr>
        <w:pStyle w:val="ListParagraph"/>
        <w:numPr>
          <w:ilvl w:val="0"/>
          <w:numId w:val="1"/>
        </w:numPr>
        <w:spacing w:after="0" w:line="240" w:lineRule="auto"/>
      </w:pPr>
      <w:r w:rsidRPr="00B348E2">
        <w:t xml:space="preserve">20 Regional Distribution Centers </w:t>
      </w:r>
      <w:r w:rsidR="00DC42C3">
        <w:t xml:space="preserve">(RDCs) </w:t>
      </w:r>
      <w:r w:rsidRPr="00B348E2">
        <w:t xml:space="preserve">continue to </w:t>
      </w:r>
      <w:r>
        <w:t>work with FTRI</w:t>
      </w:r>
    </w:p>
    <w:p w14:paraId="4139FA73" w14:textId="49AE66BC" w:rsidR="0035290A" w:rsidRDefault="0035290A" w:rsidP="00FE580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Most popular: XLC8-XLCGo, Alto Plus, </w:t>
      </w:r>
      <w:r w:rsidR="00DF7E66">
        <w:t xml:space="preserve">&amp; </w:t>
      </w:r>
      <w:r>
        <w:t>XLC</w:t>
      </w:r>
      <w:r w:rsidR="00DF7E66">
        <w:t>7</w:t>
      </w:r>
      <w:r>
        <w:t>BT Cordless (84.5% of equipment provided)</w:t>
      </w:r>
    </w:p>
    <w:p w14:paraId="6849DFAC" w14:textId="4E53AB8A" w:rsidR="0035290A" w:rsidRDefault="0035290A" w:rsidP="00FE5800">
      <w:pPr>
        <w:pStyle w:val="ListParagraph"/>
        <w:numPr>
          <w:ilvl w:val="0"/>
          <w:numId w:val="1"/>
        </w:numPr>
        <w:spacing w:after="0" w:line="240" w:lineRule="auto"/>
      </w:pPr>
      <w:r>
        <w:t>Service fees to increase – as planned for SFY 2022-2023, pending PSC approval of FTRI Proposed Surcharge/Budget</w:t>
      </w:r>
    </w:p>
    <w:p w14:paraId="25A1E56B" w14:textId="77777777" w:rsidR="00DC1894" w:rsidRDefault="00DC1894" w:rsidP="008C31C2">
      <w:pPr>
        <w:jc w:val="center"/>
        <w:rPr>
          <w:b/>
          <w:bCs/>
          <w:u w:val="single"/>
        </w:rPr>
      </w:pPr>
    </w:p>
    <w:p w14:paraId="64A8B62E" w14:textId="4F1CF9A4" w:rsidR="0035290A" w:rsidRDefault="000619F5" w:rsidP="008C31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="00AE0792">
        <w:rPr>
          <w:b/>
          <w:bCs/>
          <w:u w:val="single"/>
        </w:rPr>
        <w:t>UTREACH REPORT</w:t>
      </w:r>
    </w:p>
    <w:p w14:paraId="651C3C8E" w14:textId="77777777" w:rsidR="00DC1894" w:rsidRDefault="00057E31" w:rsidP="00057E31">
      <w:pPr>
        <w:pStyle w:val="ListParagraph"/>
        <w:numPr>
          <w:ilvl w:val="0"/>
          <w:numId w:val="2"/>
        </w:numPr>
      </w:pPr>
      <w:r>
        <w:t>Continue to move towards</w:t>
      </w:r>
      <w:r w:rsidR="00DC1894">
        <w:t xml:space="preserve"> use of</w:t>
      </w:r>
      <w:r>
        <w:t xml:space="preserve"> </w:t>
      </w:r>
      <w:r w:rsidRPr="00F361A7">
        <w:rPr>
          <w:b/>
          <w:bCs/>
          <w:u w:val="single"/>
        </w:rPr>
        <w:t>Digital Media/Marketing</w:t>
      </w:r>
      <w:r>
        <w:t xml:space="preserve"> and less with </w:t>
      </w:r>
      <w:r w:rsidRPr="00F361A7">
        <w:rPr>
          <w:b/>
          <w:bCs/>
          <w:u w:val="single"/>
        </w:rPr>
        <w:t>Print Media</w:t>
      </w:r>
      <w:r w:rsidR="00DC1894">
        <w:t>.</w:t>
      </w:r>
    </w:p>
    <w:p w14:paraId="4D58C4C8" w14:textId="0135A038" w:rsidR="00057E31" w:rsidRDefault="00DC1894" w:rsidP="00057E31">
      <w:pPr>
        <w:pStyle w:val="ListParagraph"/>
        <w:numPr>
          <w:ilvl w:val="0"/>
          <w:numId w:val="2"/>
        </w:numPr>
      </w:pPr>
      <w:r>
        <w:t>A</w:t>
      </w:r>
      <w:r w:rsidR="00057E31">
        <w:t xml:space="preserve">s for </w:t>
      </w:r>
      <w:r w:rsidR="00057E31" w:rsidRPr="008C31C2">
        <w:rPr>
          <w:b/>
          <w:bCs/>
          <w:u w:val="single"/>
        </w:rPr>
        <w:t>Print Media</w:t>
      </w:r>
      <w:r w:rsidR="00057E31">
        <w:t>,</w:t>
      </w:r>
      <w:r w:rsidR="00AE0792">
        <w:t xml:space="preserve"> </w:t>
      </w:r>
      <w:r w:rsidR="008C31C2">
        <w:t>more</w:t>
      </w:r>
      <w:r w:rsidR="00057E31">
        <w:t xml:space="preserve"> focus on Community Newsletters; </w:t>
      </w:r>
      <w:r w:rsidR="00AE0792">
        <w:t xml:space="preserve">utilize </w:t>
      </w:r>
      <w:r w:rsidR="00057E31" w:rsidRPr="00041E26">
        <w:t>available BOGO</w:t>
      </w:r>
    </w:p>
    <w:p w14:paraId="01502E28" w14:textId="77777777" w:rsidR="00EA2831" w:rsidRPr="00041E26" w:rsidRDefault="00EA2831" w:rsidP="00EA2831">
      <w:pPr>
        <w:pStyle w:val="ListParagraph"/>
      </w:pPr>
    </w:p>
    <w:p w14:paraId="618212A2" w14:textId="15AAFB15" w:rsidR="00057E31" w:rsidRDefault="0049356B" w:rsidP="00057E31">
      <w:pPr>
        <w:pStyle w:val="ListParagraph"/>
        <w:numPr>
          <w:ilvl w:val="0"/>
          <w:numId w:val="2"/>
        </w:numPr>
      </w:pPr>
      <w:r>
        <w:rPr>
          <w:b/>
          <w:bCs/>
        </w:rPr>
        <w:t>Examples of P</w:t>
      </w:r>
      <w:r w:rsidR="00057E31" w:rsidRPr="00041E26">
        <w:rPr>
          <w:b/>
          <w:bCs/>
        </w:rPr>
        <w:t>rint Media</w:t>
      </w:r>
      <w:r w:rsidR="00057E31">
        <w:t>: Newspapers, Community Newsletters, Insert Ads</w:t>
      </w:r>
    </w:p>
    <w:p w14:paraId="5611B2DB" w14:textId="7C0775A4" w:rsidR="00057E31" w:rsidRDefault="0049356B" w:rsidP="00057E31">
      <w:pPr>
        <w:pStyle w:val="ListParagraph"/>
        <w:numPr>
          <w:ilvl w:val="0"/>
          <w:numId w:val="2"/>
        </w:numPr>
      </w:pPr>
      <w:r>
        <w:rPr>
          <w:b/>
          <w:bCs/>
        </w:rPr>
        <w:t>Examples of D</w:t>
      </w:r>
      <w:r w:rsidR="00057E31" w:rsidRPr="00041E26">
        <w:rPr>
          <w:b/>
          <w:bCs/>
        </w:rPr>
        <w:t>igital Media</w:t>
      </w:r>
      <w:r w:rsidR="00057E31" w:rsidRPr="00041E26">
        <w:t>: Val</w:t>
      </w:r>
      <w:r w:rsidR="00057E31">
        <w:t>-</w:t>
      </w:r>
      <w:r w:rsidR="00057E31" w:rsidRPr="00041E26">
        <w:t>Pak ad, Val</w:t>
      </w:r>
      <w:r w:rsidR="00057E31">
        <w:t>a</w:t>
      </w:r>
      <w:r w:rsidR="00057E31" w:rsidRPr="00041E26">
        <w:t>ss</w:t>
      </w:r>
      <w:r w:rsidR="00057E31">
        <w:t>is</w:t>
      </w:r>
      <w:r w:rsidR="00057E31" w:rsidRPr="00041E26">
        <w:t xml:space="preserve"> (inside cover), Facebook, Ge</w:t>
      </w:r>
      <w:r w:rsidR="00057E31">
        <w:t>of</w:t>
      </w:r>
      <w:r w:rsidR="00057E31" w:rsidRPr="00041E26">
        <w:t>ence, Pro</w:t>
      </w:r>
      <w:r w:rsidR="00057E31">
        <w:t>grammatic Video, Website, Video/You-Tube, Programmatic, Google</w:t>
      </w:r>
    </w:p>
    <w:p w14:paraId="45391A5C" w14:textId="77777777" w:rsidR="00EA2831" w:rsidRDefault="00EA2831" w:rsidP="00EA2831">
      <w:pPr>
        <w:pStyle w:val="ListParagraph"/>
      </w:pPr>
    </w:p>
    <w:p w14:paraId="00076BE1" w14:textId="3FBC923C" w:rsidR="00057E31" w:rsidRDefault="00057E31" w:rsidP="00057E31">
      <w:pPr>
        <w:pStyle w:val="ListParagraph"/>
        <w:numPr>
          <w:ilvl w:val="0"/>
          <w:numId w:val="2"/>
        </w:numPr>
      </w:pPr>
      <w:r w:rsidRPr="008C31C2">
        <w:rPr>
          <w:b/>
          <w:bCs/>
          <w:u w:val="single"/>
        </w:rPr>
        <w:t>New Projects</w:t>
      </w:r>
      <w:r w:rsidR="0049356B">
        <w:rPr>
          <w:b/>
          <w:bCs/>
          <w:u w:val="single"/>
        </w:rPr>
        <w:t xml:space="preserve"> Added</w:t>
      </w:r>
      <w:r>
        <w:t>: Service Provider Visits with Palm Cards/Stands provided; Poster Postings in Libraries or Community Places (i.e., stores)</w:t>
      </w:r>
    </w:p>
    <w:p w14:paraId="37C254EE" w14:textId="04A90509" w:rsidR="00057E31" w:rsidRDefault="007458DA" w:rsidP="00057E31">
      <w:pPr>
        <w:pStyle w:val="ListParagraph"/>
        <w:numPr>
          <w:ilvl w:val="0"/>
          <w:numId w:val="2"/>
        </w:numPr>
      </w:pPr>
      <w:bookmarkStart w:id="1" w:name="_Hlk101776050"/>
      <w:r>
        <w:rPr>
          <w:b/>
          <w:bCs/>
          <w:u w:val="single"/>
        </w:rPr>
        <w:t xml:space="preserve">Top Five </w:t>
      </w:r>
      <w:r w:rsidR="00057E31" w:rsidRPr="008C31C2">
        <w:rPr>
          <w:b/>
          <w:bCs/>
          <w:u w:val="single"/>
        </w:rPr>
        <w:t>Referral Sources</w:t>
      </w:r>
      <w:r>
        <w:rPr>
          <w:b/>
          <w:bCs/>
          <w:u w:val="single"/>
        </w:rPr>
        <w:t xml:space="preserve"> in 3</w:t>
      </w:r>
      <w:r w:rsidRPr="007458DA"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Qtr.</w:t>
      </w:r>
      <w:r w:rsidR="00057E31">
        <w:t xml:space="preserve">: </w:t>
      </w:r>
      <w:r>
        <w:t>Insert Ads (16.61%), Friend/Family (15.18%), Health Fair/Exhibit (13.57%), and Val-Pak (10.00%)</w:t>
      </w:r>
    </w:p>
    <w:p w14:paraId="6332CB63" w14:textId="5DB85276" w:rsidR="00DC1894" w:rsidRDefault="00DC1894" w:rsidP="00DC1894"/>
    <w:p w14:paraId="03405CAD" w14:textId="04E1031C" w:rsidR="00DC1894" w:rsidRDefault="00DC1894" w:rsidP="00DC1894"/>
    <w:p w14:paraId="4EEAEF5F" w14:textId="77777777" w:rsidR="00DC1894" w:rsidRPr="00267F4D" w:rsidRDefault="00DC1894" w:rsidP="00DC1894">
      <w:pPr>
        <w:pStyle w:val="ListParagraph"/>
        <w:jc w:val="center"/>
        <w:rPr>
          <w:sz w:val="28"/>
          <w:szCs w:val="28"/>
        </w:rPr>
      </w:pPr>
      <w:r w:rsidRPr="00267F4D">
        <w:rPr>
          <w:b/>
          <w:bCs/>
          <w:sz w:val="28"/>
          <w:szCs w:val="28"/>
        </w:rPr>
        <w:t>Third Quarter FTRI Report to PSC/TASA (Continued)</w:t>
      </w:r>
    </w:p>
    <w:p w14:paraId="474103D7" w14:textId="77777777" w:rsidR="00DC1894" w:rsidRDefault="00DC1894" w:rsidP="00DC1894"/>
    <w:bookmarkEnd w:id="1"/>
    <w:p w14:paraId="3540FF29" w14:textId="6FFC9CB5" w:rsidR="00057E31" w:rsidRDefault="00057E31" w:rsidP="00057E31">
      <w:r>
        <w:t xml:space="preserve">       </w:t>
      </w:r>
      <w:r w:rsidRPr="00DF7E66">
        <w:rPr>
          <w:b/>
          <w:bCs/>
          <w:u w:val="single"/>
        </w:rPr>
        <w:t>Outreach Events</w:t>
      </w:r>
      <w:r w:rsidR="00DC1894">
        <w:rPr>
          <w:b/>
          <w:bCs/>
          <w:u w:val="single"/>
        </w:rPr>
        <w:t xml:space="preserve"> – Compare between SFY 2021-2022 and SFY 2020-2021</w:t>
      </w:r>
      <w:r w:rsidRPr="00FE5800">
        <w:t>:</w:t>
      </w:r>
    </w:p>
    <w:p w14:paraId="4914ADE9" w14:textId="7E214D82" w:rsidR="00DC1894" w:rsidRDefault="00DC1894" w:rsidP="00057E31">
      <w:r>
        <w:t xml:space="preserve">       The Regional Distribution Centers (RDCs) are doing more Outreach</w:t>
      </w:r>
      <w:r w:rsidR="00EA2831">
        <w:t xml:space="preserve"> activities</w:t>
      </w:r>
      <w:r>
        <w:t xml:space="preserve"> this year.</w:t>
      </w:r>
    </w:p>
    <w:p w14:paraId="1989A110" w14:textId="77777777" w:rsidR="00057E31" w:rsidRDefault="00057E31" w:rsidP="00057E31">
      <w:pPr>
        <w:pStyle w:val="ListParagraph"/>
        <w:numPr>
          <w:ilvl w:val="0"/>
          <w:numId w:val="3"/>
        </w:numPr>
      </w:pPr>
      <w:r w:rsidRPr="00DF7E66">
        <w:rPr>
          <w:b/>
          <w:bCs/>
        </w:rPr>
        <w:t>2021-2022</w:t>
      </w:r>
      <w:r>
        <w:t>: 3</w:t>
      </w:r>
      <w:r w:rsidRPr="00057E31">
        <w:rPr>
          <w:vertAlign w:val="superscript"/>
        </w:rPr>
        <w:t>rd</w:t>
      </w:r>
      <w:r>
        <w:t xml:space="preserve"> Qtr. (3 Months) - $17,984.29 (79 events)</w:t>
      </w:r>
    </w:p>
    <w:p w14:paraId="4FF49C22" w14:textId="4143EE4F" w:rsidR="00057E31" w:rsidRDefault="00057E31" w:rsidP="00057E31">
      <w:pPr>
        <w:pStyle w:val="ListParagraph"/>
        <w:numPr>
          <w:ilvl w:val="0"/>
          <w:numId w:val="3"/>
        </w:numPr>
        <w:rPr>
          <w:u w:val="single"/>
        </w:rPr>
      </w:pPr>
      <w:r w:rsidRPr="000619F5">
        <w:rPr>
          <w:b/>
          <w:bCs/>
          <w:u w:val="single"/>
        </w:rPr>
        <w:t>2021-2022</w:t>
      </w:r>
      <w:r w:rsidRPr="000619F5">
        <w:rPr>
          <w:u w:val="single"/>
        </w:rPr>
        <w:t>: (9 months) - $43,822.33 (200 events)</w:t>
      </w:r>
    </w:p>
    <w:p w14:paraId="661A1FA5" w14:textId="77777777" w:rsidR="00DC1894" w:rsidRPr="000619F5" w:rsidRDefault="00DC1894" w:rsidP="00DC1894">
      <w:pPr>
        <w:pStyle w:val="ListParagraph"/>
        <w:rPr>
          <w:u w:val="single"/>
        </w:rPr>
      </w:pPr>
    </w:p>
    <w:p w14:paraId="001A001B" w14:textId="77777777" w:rsidR="00057E31" w:rsidRDefault="00057E31" w:rsidP="00057E31">
      <w:pPr>
        <w:pStyle w:val="ListParagraph"/>
        <w:numPr>
          <w:ilvl w:val="0"/>
          <w:numId w:val="3"/>
        </w:numPr>
      </w:pPr>
      <w:r w:rsidRPr="00DF7E66">
        <w:rPr>
          <w:b/>
          <w:bCs/>
        </w:rPr>
        <w:t>2020-2021</w:t>
      </w:r>
      <w:r>
        <w:t>: 3</w:t>
      </w:r>
      <w:r w:rsidRPr="00057E31">
        <w:rPr>
          <w:vertAlign w:val="superscript"/>
        </w:rPr>
        <w:t>rd</w:t>
      </w:r>
      <w:r>
        <w:t xml:space="preserve"> Qtr. (3 months) - $15,739.00 (59 events)</w:t>
      </w:r>
    </w:p>
    <w:p w14:paraId="24876799" w14:textId="34112DA0" w:rsidR="000619F5" w:rsidRDefault="00057E31" w:rsidP="000619F5">
      <w:pPr>
        <w:pStyle w:val="ListParagraph"/>
        <w:numPr>
          <w:ilvl w:val="0"/>
          <w:numId w:val="3"/>
        </w:numPr>
      </w:pPr>
      <w:r w:rsidRPr="00DF7E66">
        <w:rPr>
          <w:b/>
          <w:bCs/>
        </w:rPr>
        <w:t>2020-2021</w:t>
      </w:r>
      <w:r w:rsidR="00DF7E66">
        <w:t xml:space="preserve">: </w:t>
      </w:r>
      <w:r>
        <w:t>(9 months) - $26,870.32 (163 events)</w:t>
      </w:r>
    </w:p>
    <w:p w14:paraId="44E2B1B9" w14:textId="77777777" w:rsidR="00057E31" w:rsidRDefault="00057E31" w:rsidP="00057E31">
      <w:pPr>
        <w:pStyle w:val="ListParagraph"/>
      </w:pPr>
    </w:p>
    <w:p w14:paraId="2078A349" w14:textId="77777777" w:rsidR="00DC1894" w:rsidRDefault="00DC1894" w:rsidP="00267F4D">
      <w:pPr>
        <w:jc w:val="center"/>
        <w:rPr>
          <w:b/>
          <w:bCs/>
          <w:u w:val="single"/>
        </w:rPr>
      </w:pPr>
    </w:p>
    <w:p w14:paraId="2BF00A86" w14:textId="133CD9B5" w:rsidR="00057E31" w:rsidRDefault="00057E31" w:rsidP="00267F4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AE0792">
        <w:rPr>
          <w:b/>
          <w:bCs/>
          <w:u w:val="single"/>
        </w:rPr>
        <w:t>LANS/NEEDS/CHALLENGES</w:t>
      </w:r>
    </w:p>
    <w:p w14:paraId="27A62AD2" w14:textId="0FC98FF6" w:rsidR="008B6569" w:rsidRDefault="00EA2831" w:rsidP="00057E31">
      <w:pPr>
        <w:pStyle w:val="ListParagraph"/>
        <w:numPr>
          <w:ilvl w:val="0"/>
          <w:numId w:val="4"/>
        </w:numPr>
      </w:pPr>
      <w:r>
        <w:t xml:space="preserve">FTRI will need </w:t>
      </w:r>
      <w:r w:rsidR="008B6569">
        <w:t>to replace Business Manager who will retire June 30 and this job opening is being announced via different media outlets</w:t>
      </w:r>
    </w:p>
    <w:p w14:paraId="09634550" w14:textId="66D0130B" w:rsidR="00DC42C3" w:rsidRDefault="00EA2831" w:rsidP="00057E31">
      <w:pPr>
        <w:pStyle w:val="ListParagraph"/>
        <w:numPr>
          <w:ilvl w:val="0"/>
          <w:numId w:val="4"/>
        </w:numPr>
      </w:pPr>
      <w:r>
        <w:t>FTRI a</w:t>
      </w:r>
      <w:r w:rsidR="00DC42C3">
        <w:t>wait</w:t>
      </w:r>
      <w:r>
        <w:t>s</w:t>
      </w:r>
      <w:r w:rsidR="00DC42C3">
        <w:t xml:space="preserve"> PSC Approval of FTRI SFY 2022-2023 Proposed Surcharge/Budget</w:t>
      </w:r>
      <w:r w:rsidR="0049356B">
        <w:t xml:space="preserve"> </w:t>
      </w:r>
      <w:r w:rsidR="00DC1894">
        <w:t xml:space="preserve">on July 7 </w:t>
      </w:r>
      <w:r w:rsidR="0049356B">
        <w:t>with increased service fees</w:t>
      </w:r>
      <w:r w:rsidR="00DC1894">
        <w:t xml:space="preserve"> for RDCs</w:t>
      </w:r>
    </w:p>
    <w:p w14:paraId="05D3EF14" w14:textId="22362C55" w:rsidR="00DC42C3" w:rsidRDefault="00EA2831" w:rsidP="00057E31">
      <w:pPr>
        <w:pStyle w:val="ListParagraph"/>
        <w:numPr>
          <w:ilvl w:val="0"/>
          <w:numId w:val="4"/>
        </w:numPr>
      </w:pPr>
      <w:r>
        <w:t xml:space="preserve">FTRI is preparing </w:t>
      </w:r>
      <w:r w:rsidR="00DC42C3">
        <w:t xml:space="preserve">July </w:t>
      </w:r>
      <w:r w:rsidR="009217B4">
        <w:t xml:space="preserve">2022 </w:t>
      </w:r>
      <w:r w:rsidR="00DC42C3">
        <w:t xml:space="preserve">Contract Renewals with </w:t>
      </w:r>
      <w:r>
        <w:t xml:space="preserve">active </w:t>
      </w:r>
      <w:r w:rsidR="00DC42C3">
        <w:t>RDCs</w:t>
      </w:r>
    </w:p>
    <w:p w14:paraId="7F74112E" w14:textId="3E0A434A" w:rsidR="00DC42C3" w:rsidRDefault="00EA2831" w:rsidP="00DC1894">
      <w:pPr>
        <w:pStyle w:val="ListParagraph"/>
        <w:numPr>
          <w:ilvl w:val="0"/>
          <w:numId w:val="4"/>
        </w:numPr>
      </w:pPr>
      <w:r>
        <w:t>FTRI p</w:t>
      </w:r>
      <w:r w:rsidR="00DC42C3">
        <w:t>lan</w:t>
      </w:r>
      <w:r>
        <w:t>s</w:t>
      </w:r>
      <w:r w:rsidR="00DC42C3">
        <w:t xml:space="preserve"> Quarterly Zoom Meetings with active RDCs</w:t>
      </w:r>
    </w:p>
    <w:p w14:paraId="77669975" w14:textId="1047DED8" w:rsidR="00B348E2" w:rsidRDefault="00057E31" w:rsidP="00057E31">
      <w:pPr>
        <w:pStyle w:val="ListParagraph"/>
        <w:numPr>
          <w:ilvl w:val="0"/>
          <w:numId w:val="4"/>
        </w:numPr>
      </w:pPr>
      <w:r>
        <w:t>T</w:t>
      </w:r>
      <w:r w:rsidR="00EA2831">
        <w:t>he T</w:t>
      </w:r>
      <w:r>
        <w:t>ASA Law</w:t>
      </w:r>
      <w:r w:rsidR="00DC1894">
        <w:t xml:space="preserve"> needs to be changed/updated;</w:t>
      </w:r>
      <w:r w:rsidR="00DC42C3">
        <w:t xml:space="preserve"> </w:t>
      </w:r>
      <w:r>
        <w:t>need</w:t>
      </w:r>
      <w:r w:rsidR="0049356B">
        <w:t xml:space="preserve"> to educate state legislators to </w:t>
      </w:r>
      <w:r>
        <w:t>update TASA</w:t>
      </w:r>
    </w:p>
    <w:p w14:paraId="1A45CAF8" w14:textId="1A4795C8" w:rsidR="0049356B" w:rsidRDefault="00EA2831" w:rsidP="00057E31">
      <w:pPr>
        <w:pStyle w:val="ListParagraph"/>
        <w:numPr>
          <w:ilvl w:val="0"/>
          <w:numId w:val="4"/>
        </w:numPr>
      </w:pPr>
      <w:r>
        <w:t>FTRI will s</w:t>
      </w:r>
      <w:r w:rsidR="0049356B">
        <w:t xml:space="preserve">eek to speak to HL groups about </w:t>
      </w:r>
      <w:r>
        <w:t>the</w:t>
      </w:r>
      <w:r w:rsidR="0049356B">
        <w:t xml:space="preserve"> need to change TASA for better services/products</w:t>
      </w:r>
    </w:p>
    <w:p w14:paraId="1B95FD19" w14:textId="0F152E4E" w:rsidR="00DC42C3" w:rsidRPr="00041E26" w:rsidRDefault="00EA2831" w:rsidP="00DC42C3">
      <w:pPr>
        <w:pStyle w:val="ListParagraph"/>
        <w:numPr>
          <w:ilvl w:val="0"/>
          <w:numId w:val="4"/>
        </w:numPr>
      </w:pPr>
      <w:r>
        <w:t>On behalf of Deaf, hard of hearing, and Deafblind folks, FTRI is researching</w:t>
      </w:r>
      <w:r w:rsidR="00DC42C3">
        <w:t xml:space="preserve"> Real-Time-Text (RTT) as replacement for TTY</w:t>
      </w:r>
      <w:r>
        <w:t xml:space="preserve">, and </w:t>
      </w:r>
      <w:r w:rsidR="00DF7E66">
        <w:t>work with</w:t>
      </w:r>
      <w:r w:rsidR="00DC42C3">
        <w:t xml:space="preserve"> TRS</w:t>
      </w:r>
      <w:r w:rsidR="00DF7E66">
        <w:t xml:space="preserve"> &amp; </w:t>
      </w:r>
      <w:r w:rsidR="00DC42C3">
        <w:t>PSAPs</w:t>
      </w:r>
      <w:r w:rsidR="00DF7E66">
        <w:t xml:space="preserve"> in FL</w:t>
      </w:r>
    </w:p>
    <w:p w14:paraId="36A8A605" w14:textId="77777777" w:rsidR="00B348E2" w:rsidRPr="00041E26" w:rsidRDefault="00B348E2" w:rsidP="00B348E2"/>
    <w:sectPr w:rsidR="00B348E2" w:rsidRPr="00041E26" w:rsidSect="00695D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334D" w14:textId="77777777" w:rsidR="00267F4D" w:rsidRDefault="00267F4D" w:rsidP="00267F4D">
      <w:pPr>
        <w:spacing w:after="0" w:line="240" w:lineRule="auto"/>
      </w:pPr>
      <w:r>
        <w:separator/>
      </w:r>
    </w:p>
  </w:endnote>
  <w:endnote w:type="continuationSeparator" w:id="0">
    <w:p w14:paraId="3C0C4A58" w14:textId="77777777" w:rsidR="00267F4D" w:rsidRDefault="00267F4D" w:rsidP="002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24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DA1B3" w14:textId="38096F62" w:rsidR="00267F4D" w:rsidRDefault="00267F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F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4EBED" w14:textId="77777777" w:rsidR="00267F4D" w:rsidRDefault="0026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F0CD" w14:textId="77777777" w:rsidR="00267F4D" w:rsidRDefault="00267F4D" w:rsidP="00267F4D">
      <w:pPr>
        <w:spacing w:after="0" w:line="240" w:lineRule="auto"/>
      </w:pPr>
      <w:r>
        <w:separator/>
      </w:r>
    </w:p>
  </w:footnote>
  <w:footnote w:type="continuationSeparator" w:id="0">
    <w:p w14:paraId="0CC5675C" w14:textId="77777777" w:rsidR="00267F4D" w:rsidRDefault="00267F4D" w:rsidP="0026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779"/>
    <w:multiLevelType w:val="hybridMultilevel"/>
    <w:tmpl w:val="C864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F94"/>
    <w:multiLevelType w:val="hybridMultilevel"/>
    <w:tmpl w:val="1332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2B2F"/>
    <w:multiLevelType w:val="hybridMultilevel"/>
    <w:tmpl w:val="EA1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143E"/>
    <w:multiLevelType w:val="hybridMultilevel"/>
    <w:tmpl w:val="84E8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E2"/>
    <w:rsid w:val="00041E26"/>
    <w:rsid w:val="00057E31"/>
    <w:rsid w:val="00060BD5"/>
    <w:rsid w:val="000619F5"/>
    <w:rsid w:val="000D2F69"/>
    <w:rsid w:val="00267F4D"/>
    <w:rsid w:val="0035290A"/>
    <w:rsid w:val="00441DC6"/>
    <w:rsid w:val="0049356B"/>
    <w:rsid w:val="00655E80"/>
    <w:rsid w:val="00695D02"/>
    <w:rsid w:val="007458DA"/>
    <w:rsid w:val="008B6569"/>
    <w:rsid w:val="008C31C2"/>
    <w:rsid w:val="009217B4"/>
    <w:rsid w:val="00AE0792"/>
    <w:rsid w:val="00B348E2"/>
    <w:rsid w:val="00BB0F1F"/>
    <w:rsid w:val="00CF144E"/>
    <w:rsid w:val="00CF70B3"/>
    <w:rsid w:val="00DC1894"/>
    <w:rsid w:val="00DC42C3"/>
    <w:rsid w:val="00DF7E66"/>
    <w:rsid w:val="00EA2831"/>
    <w:rsid w:val="00F361A7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93D4"/>
  <w15:chartTrackingRefBased/>
  <w15:docId w15:val="{8925BC04-8022-4E43-B040-BD5033F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E2"/>
    <w:pPr>
      <w:ind w:left="720"/>
      <w:contextualSpacing/>
    </w:pPr>
  </w:style>
  <w:style w:type="table" w:styleId="TableGrid">
    <w:name w:val="Table Grid"/>
    <w:basedOn w:val="TableNormal"/>
    <w:uiPriority w:val="39"/>
    <w:rsid w:val="0035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4D"/>
  </w:style>
  <w:style w:type="paragraph" w:styleId="Footer">
    <w:name w:val="footer"/>
    <w:basedOn w:val="Normal"/>
    <w:link w:val="FooterChar"/>
    <w:uiPriority w:val="99"/>
    <w:unhideWhenUsed/>
    <w:rsid w:val="0026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Bradley</dc:creator>
  <cp:keywords/>
  <dc:description/>
  <cp:lastModifiedBy>Curtis Williams</cp:lastModifiedBy>
  <cp:revision>2</cp:revision>
  <cp:lastPrinted>2022-05-09T19:11:00Z</cp:lastPrinted>
  <dcterms:created xsi:type="dcterms:W3CDTF">2022-05-17T20:11:00Z</dcterms:created>
  <dcterms:modified xsi:type="dcterms:W3CDTF">2022-05-17T20:11:00Z</dcterms:modified>
</cp:coreProperties>
</file>